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SCHEDULE 13G</w:t>
            </w:r>
          </w:p>
        </w:tc>
        <w:tc>
          <w:tcPr>
            <w:tcW w:w="5280" w:type="dxa"/>
            <w:vAlign w:val="bottom"/>
          </w:tcPr>
          <w:p>
            <w:pPr>
              <w:spacing w:after="0"/>
              <w:rPr>
                <w:sz w:val="17"/>
                <w:szCs w:val="17"/>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w w:val="96"/>
              </w:rPr>
              <w:t>Amendment No. 2</w:t>
            </w:r>
          </w:p>
        </w:tc>
        <w:tc>
          <w:tcPr>
            <w:tcW w:w="5280" w:type="dxa"/>
            <w:vAlign w:val="bottom"/>
          </w:tcPr>
          <w:p>
            <w:pPr>
              <w:spacing w:after="0"/>
              <w:rPr>
                <w:sz w:val="24"/>
                <w:szCs w:val="24"/>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Marvell</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Technology Group Ltd.</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Common Stock</w:t>
            </w:r>
          </w:p>
        </w:tc>
        <w:tc>
          <w:tcPr>
            <w:tcW w:w="5280" w:type="dxa"/>
            <w:vAlign w:val="bottom"/>
          </w:tcPr>
          <w:p>
            <w:pPr>
              <w:spacing w:after="0"/>
              <w:rPr>
                <w:sz w:val="17"/>
                <w:szCs w:val="17"/>
                <w:color w:val="auto"/>
              </w:rPr>
            </w:pPr>
          </w:p>
        </w:tc>
      </w:tr>
      <w:tr>
        <w:trPr>
          <w:trHeight w:val="203"/>
        </w:trPr>
        <w:tc>
          <w:tcPr>
            <w:tcW w:w="686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Cusip #G5876H105</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FMR Corp.</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Delaware</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2,134,096</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38,050,411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38,050,411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14.097%</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HC</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Edward C. Johnson 3d</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38,050,411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38,050,411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14.097%</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38,050,411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38,050,411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14.097%</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w:t>
            </w:r>
          </w:p>
        </w:tc>
      </w:tr>
      <w:tr>
        <w:trPr>
          <w:trHeight w:val="810"/>
        </w:trPr>
        <w:tc>
          <w:tcPr>
            <w:tcW w:w="860" w:type="dxa"/>
            <w:vAlign w:val="bottom"/>
          </w:tcPr>
          <w:p>
            <w:pPr>
              <w:spacing w:after="0"/>
              <w:rPr>
                <w:sz w:val="24"/>
                <w:szCs w:val="24"/>
                <w:color w:val="auto"/>
              </w:rPr>
            </w:pP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SCHEDULE 13G - TO BE INCLUDED IN</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STATEMENTS</w:t>
            </w:r>
          </w:p>
        </w:tc>
        <w:tc>
          <w:tcPr>
            <w:tcW w:w="5280" w:type="dxa"/>
            <w:vAlign w:val="bottom"/>
          </w:tcPr>
          <w:p>
            <w:pPr>
              <w:spacing w:after="0"/>
              <w:rPr>
                <w:sz w:val="17"/>
                <w:szCs w:val="17"/>
                <w:color w:val="auto"/>
              </w:rPr>
            </w:pPr>
          </w:p>
        </w:tc>
      </w:tr>
      <w:tr>
        <w:trPr>
          <w:trHeight w:val="203"/>
        </w:trPr>
        <w:tc>
          <w:tcPr>
            <w:tcW w:w="860" w:type="dxa"/>
            <w:vAlign w:val="bottom"/>
          </w:tcPr>
          <w:p>
            <w:pPr>
              <w:spacing w:after="0"/>
              <w:rPr>
                <w:sz w:val="17"/>
                <w:szCs w:val="17"/>
                <w:color w:val="auto"/>
              </w:rPr>
            </w:pP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FILED PURSUANT TO RULE 13d-1(b) or 13d-2(b)</w:t>
            </w:r>
          </w:p>
        </w:tc>
      </w:tr>
      <w:tr>
        <w:trPr>
          <w:trHeight w:val="1013"/>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Issuer's Principal Executive Offices:</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Windsor Place, 4th Floor</w:t>
            </w: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22 Queen Street, P.O. Box HM 1179</w:t>
            </w: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Hamilton HM EX</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FMR Corp.</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w w:val="97"/>
              </w:rPr>
              <w:t>Address or Principal Business Office or, if None,</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5280" w:type="dxa"/>
            <w:vAlign w:val="bottom"/>
          </w:tcPr>
          <w:p>
            <w:pPr>
              <w:spacing w:after="0"/>
              <w:rPr>
                <w:sz w:val="17"/>
                <w:szCs w:val="17"/>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82 Devonshire Street, Boston,</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Massachusetts</w:t>
            </w:r>
          </w:p>
        </w:tc>
        <w:tc>
          <w:tcPr>
            <w:tcW w:w="5280" w:type="dxa"/>
            <w:vAlign w:val="bottom"/>
          </w:tcPr>
          <w:p>
            <w:pPr>
              <w:spacing w:after="0" w:line="203" w:lineRule="exact"/>
              <w:rPr>
                <w:sz w:val="20"/>
                <w:szCs w:val="20"/>
                <w:color w:val="auto"/>
              </w:rPr>
            </w:pPr>
            <w:r>
              <w:rPr>
                <w:rFonts w:ascii="Courier New" w:cs="Courier New" w:eastAsia="Courier New" w:hAnsi="Courier New"/>
                <w:sz w:val="18"/>
                <w:szCs w:val="18"/>
                <w:color w:val="auto"/>
              </w:rPr>
              <w:t>02109</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2(c).</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2(d).</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Common Stock</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2(e).</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CUSIP Number:</w:t>
            </w:r>
          </w:p>
        </w:tc>
      </w:tr>
    </w:tbl>
    <w:p>
      <w:pPr>
        <w:sectPr>
          <w:pgSz w:w="11900" w:h="16855" w:orient="portrait"/>
          <w:cols w:equalWidth="0" w:num="1">
            <w:col w:w="10219"/>
          </w:cols>
          <w:pgMar w:left="240" w:top="244" w:right="1440" w:bottom="0" w:gutter="0" w:footer="0" w:header="0"/>
        </w:sectPr>
      </w:pPr>
    </w:p>
    <w:bookmarkStart w:id="1" w:name="page2"/>
    <w:bookmarkEnd w:id="1"/>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0"/>
          <w:szCs w:val="20"/>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38,050,411</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14.097%</w:t>
            </w:r>
          </w:p>
        </w:tc>
        <w:tc>
          <w:tcPr>
            <w:tcW w:w="110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2,134,096</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38,050,411</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7" w:lineRule="auto"/>
        <w:rPr>
          <w:sz w:val="20"/>
          <w:szCs w:val="20"/>
          <w:color w:val="auto"/>
        </w:rPr>
      </w:pPr>
      <w:r>
        <w:rPr>
          <w:rFonts w:ascii="Courier New" w:cs="Courier New" w:eastAsia="Courier New" w:hAnsi="Courier New"/>
          <w:sz w:val="18"/>
          <w:szCs w:val="18"/>
          <w:color w:val="auto"/>
        </w:rPr>
        <w:t>Ltd.. The interest of one person, Fidelity Contrafund, an investment company registered under the Investment Company Act of 1940, in the Common Stock of Marvell Technology Group Ltd., amounted to 14,907,400 shares or 5.523% of the total outstanding Common Stock at November</w:t>
      </w:r>
    </w:p>
    <w:p>
      <w:pPr>
        <w:spacing w:after="0"/>
        <w:rPr>
          <w:sz w:val="20"/>
          <w:szCs w:val="20"/>
          <w:color w:val="auto"/>
        </w:rPr>
      </w:pPr>
      <w:r>
        <w:rPr>
          <w:rFonts w:ascii="Courier New" w:cs="Courier New" w:eastAsia="Courier New" w:hAnsi="Courier New"/>
          <w:sz w:val="18"/>
          <w:szCs w:val="18"/>
          <w:color w:val="auto"/>
        </w:rPr>
        <w:t>30, 2004.</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739"/>
        <w:spacing w:after="0" w:line="290" w:lineRule="auto"/>
        <w:rPr>
          <w:sz w:val="20"/>
          <w:szCs w:val="20"/>
          <w:color w:val="auto"/>
        </w:rPr>
      </w:pPr>
      <w:r>
        <w:rPr>
          <w:rFonts w:ascii="Courier New" w:cs="Courier New" w:eastAsia="Courier New" w:hAnsi="Courier New"/>
          <w:sz w:val="16"/>
          <w:szCs w:val="16"/>
          <w:color w:val="auto"/>
        </w:rPr>
        <w:t>the Common Stock of Marvell Technology Group Ltd. at November 30, 2004 is true, complete and correct.</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December 10, 2004</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rPr>
          <w:sz w:val="20"/>
          <w:szCs w:val="20"/>
          <w:color w:val="auto"/>
        </w:rPr>
      </w:pPr>
      <w:r>
        <w:rPr>
          <w:rFonts w:ascii="Courier New" w:cs="Courier New" w:eastAsia="Courier New" w:hAnsi="Courier New"/>
          <w:sz w:val="18"/>
          <w:szCs w:val="18"/>
          <w:color w:val="auto"/>
        </w:rPr>
        <w:t>dated December 30, 1997 by and on behalf</w:t>
      </w:r>
    </w:p>
    <w:p>
      <w:pPr>
        <w:spacing w:after="0" w:line="237" w:lineRule="auto"/>
        <w:rPr>
          <w:sz w:val="20"/>
          <w:szCs w:val="20"/>
          <w:color w:val="auto"/>
        </w:rPr>
      </w:pPr>
      <w:r>
        <w:rPr>
          <w:rFonts w:ascii="Courier New" w:cs="Courier New" w:eastAsia="Courier New" w:hAnsi="Courier New"/>
          <w:sz w:val="18"/>
          <w:szCs w:val="18"/>
          <w:color w:val="auto"/>
        </w:rPr>
        <w:t>of FMR Corp. and its direct and indirect</w:t>
      </w:r>
    </w:p>
    <w:p>
      <w:pPr>
        <w:spacing w:after="0" w:line="238" w:lineRule="auto"/>
        <w:rPr>
          <w:sz w:val="20"/>
          <w:szCs w:val="20"/>
          <w:color w:val="auto"/>
        </w:rPr>
      </w:pPr>
      <w:r>
        <w:rPr>
          <w:rFonts w:ascii="Courier New" w:cs="Courier New" w:eastAsia="Courier New" w:hAnsi="Courier New"/>
          <w:sz w:val="18"/>
          <w:szCs w:val="18"/>
          <w:color w:val="auto"/>
        </w:rPr>
        <w:t>subsidiaries</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38" w:lineRule="auto"/>
        <w:rPr>
          <w:sz w:val="20"/>
          <w:szCs w:val="20"/>
          <w:color w:val="auto"/>
        </w:rPr>
      </w:pPr>
      <w:r>
        <w:rPr>
          <w:rFonts w:ascii="Courier New" w:cs="Courier New" w:eastAsia="Courier New" w:hAnsi="Courier New"/>
          <w:sz w:val="18"/>
          <w:szCs w:val="18"/>
          <w:color w:val="auto"/>
        </w:rPr>
        <w:t>13G, Fidelity Management &amp; Research Company</w:t>
      </w:r>
    </w:p>
    <w:p>
      <w:pPr>
        <w:spacing w:after="0"/>
        <w:rPr>
          <w:sz w:val="20"/>
          <w:szCs w:val="20"/>
          <w:color w:val="auto"/>
        </w:rPr>
      </w:pPr>
      <w:r>
        <w:rPr>
          <w:rFonts w:ascii="Courier New" w:cs="Courier New" w:eastAsia="Courier New" w:hAnsi="Courier New"/>
          <w:sz w:val="18"/>
          <w:szCs w:val="18"/>
          <w:color w:val="auto"/>
        </w:rPr>
        <w:t>("Fidelity"), 82 Devonshire Street, Boston, Massachusetts</w:t>
      </w:r>
    </w:p>
    <w:p>
      <w:pPr>
        <w:spacing w:after="0" w:line="237" w:lineRule="auto"/>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7" w:lineRule="auto"/>
        <w:rPr>
          <w:sz w:val="20"/>
          <w:szCs w:val="20"/>
          <w:color w:val="auto"/>
        </w:rPr>
      </w:pPr>
      <w:r>
        <w:rPr>
          <w:rFonts w:ascii="Courier New" w:cs="Courier New" w:eastAsia="Courier New" w:hAnsi="Courier New"/>
          <w:sz w:val="18"/>
          <w:szCs w:val="18"/>
          <w:color w:val="auto"/>
        </w:rPr>
        <w:t>35,772,415 shares or 13.253%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7"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line="237" w:lineRule="auto"/>
        <w:rPr>
          <w:sz w:val="20"/>
          <w:szCs w:val="20"/>
          <w:color w:val="auto"/>
        </w:rPr>
      </w:pPr>
      <w:r>
        <w:rPr>
          <w:rFonts w:ascii="Courier New" w:cs="Courier New" w:eastAsia="Courier New" w:hAnsi="Courier New"/>
          <w:sz w:val="18"/>
          <w:szCs w:val="18"/>
          <w:color w:val="auto"/>
        </w:rPr>
        <w:t>the Investment Company Act of 1940.</w:t>
      </w:r>
    </w:p>
    <w:p>
      <w:pPr>
        <w:spacing w:after="0" w:line="207" w:lineRule="exact"/>
        <w:rPr>
          <w:sz w:val="20"/>
          <w:szCs w:val="20"/>
          <w:color w:val="auto"/>
        </w:rPr>
      </w:pPr>
    </w:p>
    <w:p>
      <w:pPr>
        <w:ind w:right="4099" w:firstLine="843"/>
        <w:spacing w:after="0" w:line="237" w:lineRule="auto"/>
        <w:rPr>
          <w:sz w:val="20"/>
          <w:szCs w:val="20"/>
          <w:color w:val="auto"/>
        </w:rPr>
      </w:pPr>
      <w:r>
        <w:rPr>
          <w:rFonts w:ascii="Courier New" w:cs="Courier New" w:eastAsia="Courier New" w:hAnsi="Courier New"/>
          <w:sz w:val="18"/>
          <w:szCs w:val="18"/>
          <w:color w:val="auto"/>
        </w:rPr>
        <w:t>The ownership of one investment company, Fidelity Contrafund, amounted to 14,907,400 shares or 5.523% of the Common Stock outstanding. Fidelity Contrafund has its principal business office at 82 Devonshire Street, Boston, Massachusetts 02109.</w:t>
      </w:r>
    </w:p>
    <w:p>
      <w:pPr>
        <w:spacing w:after="0" w:line="209"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35,772,415 shares owned by the Funds.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985,570 shares or 0.365% of the Common Stock outstanding of the Company as a result of its serving as investment manager of the institutional account(s).</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38" w:lineRule="auto"/>
        <w:rPr>
          <w:sz w:val="20"/>
          <w:szCs w:val="20"/>
          <w:color w:val="auto"/>
        </w:rPr>
      </w:pPr>
      <w:r>
        <w:rPr>
          <w:rFonts w:ascii="Courier New" w:cs="Courier New" w:eastAsia="Courier New" w:hAnsi="Courier New"/>
          <w:sz w:val="18"/>
          <w:szCs w:val="18"/>
          <w:color w:val="auto"/>
        </w:rPr>
        <w:t>control of Fidelity Management Trust Company, each has</w:t>
      </w:r>
    </w:p>
    <w:p>
      <w:pPr>
        <w:spacing w:after="0"/>
        <w:rPr>
          <w:sz w:val="20"/>
          <w:szCs w:val="20"/>
          <w:color w:val="auto"/>
        </w:rPr>
      </w:pPr>
      <w:r>
        <w:rPr>
          <w:rFonts w:ascii="Courier New" w:cs="Courier New" w:eastAsia="Courier New" w:hAnsi="Courier New"/>
          <w:sz w:val="18"/>
          <w:szCs w:val="18"/>
          <w:color w:val="auto"/>
        </w:rPr>
        <w:t>sole dispositive power over 985,570 shares and sole power to</w:t>
      </w:r>
    </w:p>
    <w:p>
      <w:pPr>
        <w:spacing w:after="0" w:line="237" w:lineRule="auto"/>
        <w:rPr>
          <w:sz w:val="20"/>
          <w:szCs w:val="20"/>
          <w:color w:val="auto"/>
        </w:rPr>
      </w:pPr>
      <w:r>
        <w:rPr>
          <w:rFonts w:ascii="Courier New" w:cs="Courier New" w:eastAsia="Courier New" w:hAnsi="Courier New"/>
          <w:sz w:val="18"/>
          <w:szCs w:val="18"/>
          <w:color w:val="auto"/>
        </w:rPr>
        <w:t>vote or to direct the voting of 810,370 shares, and no power</w:t>
      </w:r>
    </w:p>
    <w:p>
      <w:pPr>
        <w:spacing w:after="0" w:line="238" w:lineRule="auto"/>
        <w:rPr>
          <w:sz w:val="20"/>
          <w:szCs w:val="20"/>
          <w:color w:val="auto"/>
        </w:rPr>
      </w:pPr>
      <w:r>
        <w:rPr>
          <w:rFonts w:ascii="Courier New" w:cs="Courier New" w:eastAsia="Courier New" w:hAnsi="Courier New"/>
          <w:sz w:val="18"/>
          <w:szCs w:val="18"/>
          <w:color w:val="auto"/>
        </w:rPr>
        <w:t>to vote or to direct the voting of 175,200 shares of Common</w:t>
      </w:r>
    </w:p>
    <w:p>
      <w:pPr>
        <w:spacing w:after="0"/>
        <w:rPr>
          <w:sz w:val="20"/>
          <w:szCs w:val="20"/>
          <w:color w:val="auto"/>
        </w:rPr>
      </w:pPr>
      <w:r>
        <w:rPr>
          <w:rFonts w:ascii="Courier New" w:cs="Courier New" w:eastAsia="Courier New" w:hAnsi="Courier New"/>
          <w:sz w:val="18"/>
          <w:szCs w:val="18"/>
          <w:color w:val="auto"/>
        </w:rPr>
        <w:t>Stock owned by the institutional account(s) as reported</w:t>
      </w:r>
    </w:p>
    <w:p>
      <w:pPr>
        <w:spacing w:after="0" w:line="237" w:lineRule="auto"/>
        <w:rPr>
          <w:sz w:val="20"/>
          <w:szCs w:val="20"/>
          <w:color w:val="auto"/>
        </w:rPr>
      </w:pPr>
      <w:r>
        <w:rPr>
          <w:rFonts w:ascii="Courier New" w:cs="Courier New" w:eastAsia="Courier New" w:hAnsi="Courier New"/>
          <w:sz w:val="18"/>
          <w:szCs w:val="18"/>
          <w:color w:val="auto"/>
        </w:rPr>
        <w:t>above.</w:t>
      </w:r>
    </w:p>
    <w:p>
      <w:pPr>
        <w:spacing w:after="0" w:line="207" w:lineRule="exact"/>
        <w:rPr>
          <w:sz w:val="20"/>
          <w:szCs w:val="20"/>
          <w:color w:val="auto"/>
        </w:rPr>
      </w:pPr>
    </w:p>
    <w:p>
      <w:pPr>
        <w:ind w:right="4099" w:firstLine="843"/>
        <w:spacing w:after="0" w:line="238"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ectPr>
          <w:pgSz w:w="11900" w:h="16838" w:orient="portrait"/>
          <w:cols w:equalWidth="0" w:num="1">
            <w:col w:w="10219"/>
          </w:cols>
          <w:pgMar w:left="240" w:top="136" w:right="1440" w:bottom="0" w:gutter="0" w:footer="0" w:header="0"/>
        </w:sectPr>
      </w:pPr>
    </w:p>
    <w:bookmarkStart w:id="3" w:name="page4"/>
    <w:bookmarkEnd w:id="3"/>
    <w:p>
      <w:pPr>
        <w:ind w:right="3779" w:firstLine="843"/>
        <w:spacing w:after="0" w:line="237" w:lineRule="auto"/>
        <w:rPr>
          <w:sz w:val="20"/>
          <w:szCs w:val="20"/>
          <w:color w:val="auto"/>
        </w:rPr>
      </w:pPr>
      <w:r>
        <w:rPr>
          <w:rFonts w:ascii="Courier New" w:cs="Courier New" w:eastAsia="Courier New" w:hAnsi="Courier New"/>
          <w:sz w:val="18"/>
          <w:szCs w:val="18"/>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1,292,426 shares or 0.479% of the Common Stock outstanding of the Company. Additional information with respect to the beneficial ownership of Fidelity International Limited is shown on Exhibit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6" w:lineRule="exact"/>
        <w:rPr>
          <w:sz w:val="20"/>
          <w:szCs w:val="20"/>
          <w:color w:val="auto"/>
        </w:rPr>
      </w:pPr>
    </w:p>
    <w:p>
      <w:pPr>
        <w:ind w:right="3459" w:firstLine="843"/>
        <w:spacing w:after="0" w:line="268"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1,292,426 shares or 0.479% of the Common Stock outstanding of Marvell Technology Group Ltd..</w:t>
      </w:r>
    </w:p>
    <w:p>
      <w:pPr>
        <w:spacing w:after="0" w:line="211"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210"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ectPr>
          <w:pgSz w:w="11900" w:h="16838" w:orient="portrait"/>
          <w:cols w:equalWidth="0" w:num="1">
            <w:col w:w="10219"/>
          </w:cols>
          <w:pgMar w:left="240" w:top="142" w:right="1440" w:bottom="0" w:gutter="0" w:footer="0" w:header="0"/>
        </w:sectPr>
      </w:pPr>
    </w:p>
    <w:bookmarkStart w:id="4" w:name="page5"/>
    <w:bookmarkEnd w:id="4"/>
    <w:p>
      <w:pPr>
        <w:ind w:right="3679" w:firstLine="843"/>
        <w:spacing w:after="0" w:line="268"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272"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 the Company's charter or by-laws, or (v) the Company's common stock becoming eligible for termination of its registration pursuant to Section 12(g)(4) of the 1934 Act.</w:t>
      </w:r>
    </w:p>
    <w:p>
      <w:pPr>
        <w:spacing w:after="0" w:line="186" w:lineRule="exact"/>
        <w:rPr>
          <w:sz w:val="20"/>
          <w:szCs w:val="20"/>
          <w:color w:val="auto"/>
        </w:rPr>
      </w:pPr>
    </w:p>
    <w:p>
      <w:pPr>
        <w:ind w:right="4199" w:firstLine="843"/>
        <w:spacing w:after="0" w:line="235" w:lineRule="auto"/>
        <w:rPr>
          <w:sz w:val="20"/>
          <w:szCs w:val="20"/>
          <w:color w:val="auto"/>
        </w:rPr>
      </w:pPr>
      <w:r>
        <w:rPr>
          <w:rFonts w:ascii="Courier New" w:cs="Courier New" w:eastAsia="Courier New" w:hAnsi="Courier New"/>
          <w:sz w:val="18"/>
          <w:szCs w:val="18"/>
          <w:color w:val="auto"/>
        </w:rPr>
        <w:t>FIL has sole power to vote and the sole power to dispose of 1,292,426 shares.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December 10, 2004, agree and consent to the joint filing on their behalf of this Schedule 13G in connection with their beneficial ownership of the Common Stock of Marvell Technology Group Ltd. at November 30, 2004.</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FMR Corp. and its direct and indirect</w:t>
      </w:r>
    </w:p>
    <w:p>
      <w:pPr>
        <w:ind w:left="860"/>
        <w:spacing w:after="0"/>
        <w:rPr>
          <w:sz w:val="20"/>
          <w:szCs w:val="20"/>
          <w:color w:val="auto"/>
        </w:rPr>
      </w:pPr>
      <w:r>
        <w:rPr>
          <w:rFonts w:ascii="Courier New" w:cs="Courier New" w:eastAsia="Courier New" w:hAnsi="Courier New"/>
          <w:sz w:val="18"/>
          <w:szCs w:val="18"/>
          <w:color w:val="auto"/>
        </w:rPr>
        <w:t>subsidiaries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Edward C. Johnson 3d</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Abigail P. Johnson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p>
      <w:pPr>
        <w:spacing w:after="0" w:line="200"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Contrafund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Secretary</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2019-12-14T19:23:43Z</dcterms:created>
  <dcterms:modified xsi:type="dcterms:W3CDTF">2019-12-14T19:23:43Z</dcterms:modified>
</cp:coreProperties>
</file>