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04"/>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5280" w:type="dxa"/>
            <w:vAlign w:val="bottom"/>
          </w:tcPr>
          <w:p>
            <w:pPr>
              <w:spacing w:after="0"/>
              <w:rPr>
                <w:sz w:val="17"/>
                <w:szCs w:val="17"/>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Amendment No. 3</w:t>
            </w:r>
          </w:p>
        </w:tc>
        <w:tc>
          <w:tcPr>
            <w:tcW w:w="5280" w:type="dxa"/>
            <w:vAlign w:val="bottom"/>
          </w:tcPr>
          <w:p>
            <w:pPr>
              <w:spacing w:after="0"/>
              <w:rPr>
                <w:sz w:val="24"/>
                <w:szCs w:val="24"/>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Marvell</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 Stock</w:t>
            </w:r>
          </w:p>
        </w:tc>
        <w:tc>
          <w:tcPr>
            <w:tcW w:w="5280" w:type="dxa"/>
            <w:vAlign w:val="bottom"/>
          </w:tcPr>
          <w:p>
            <w:pPr>
              <w:spacing w:after="0"/>
              <w:rPr>
                <w:sz w:val="17"/>
                <w:szCs w:val="17"/>
                <w:color w:val="auto"/>
              </w:rPr>
            </w:pPr>
          </w:p>
        </w:tc>
      </w:tr>
      <w:tr>
        <w:trPr>
          <w:trHeight w:val="203"/>
        </w:trPr>
        <w:tc>
          <w:tcPr>
            <w:tcW w:w="6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Cusip #G5876H105</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FMR Corp.</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Delaware</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2,139,576</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14.834%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HC</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14.834%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40,630,091</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14.834%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w:t>
            </w:r>
          </w:p>
        </w:tc>
      </w:tr>
      <w:tr>
        <w:trPr>
          <w:trHeight w:val="810"/>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SCHEDULE 13G - TO BE INCLUDED IN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STATEMENTS</w:t>
            </w:r>
          </w:p>
        </w:tc>
        <w:tc>
          <w:tcPr>
            <w:tcW w:w="5280" w:type="dxa"/>
            <w:vAlign w:val="bottom"/>
          </w:tcPr>
          <w:p>
            <w:pPr>
              <w:spacing w:after="0"/>
              <w:rPr>
                <w:sz w:val="17"/>
                <w:szCs w:val="17"/>
                <w:color w:val="auto"/>
              </w:rPr>
            </w:pPr>
          </w:p>
        </w:tc>
      </w:tr>
      <w:tr>
        <w:trPr>
          <w:trHeight w:val="203"/>
        </w:trPr>
        <w:tc>
          <w:tcPr>
            <w:tcW w:w="860" w:type="dxa"/>
            <w:vAlign w:val="bottom"/>
          </w:tcPr>
          <w:p>
            <w:pPr>
              <w:spacing w:after="0"/>
              <w:rPr>
                <w:sz w:val="17"/>
                <w:szCs w:val="17"/>
                <w:color w:val="auto"/>
              </w:rPr>
            </w:pP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FILED PURSUANT TO RULE 13d-1(b) or 13d-2(b)</w:t>
            </w:r>
          </w:p>
        </w:tc>
      </w:tr>
      <w:tr>
        <w:trPr>
          <w:trHeight w:val="1013"/>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Issuer's Principal Executive Offices: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Canon's Court</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22 Victoria Street</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Hamilton HM 12,</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Bermuda</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FMR Corp.</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w w:val="97"/>
              </w:rPr>
              <w:t>Address or Principal Business Office or, if None,</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5280" w:type="dxa"/>
            <w:vAlign w:val="bottom"/>
          </w:tcPr>
          <w:p>
            <w:pPr>
              <w:spacing w:after="0"/>
              <w:rPr>
                <w:sz w:val="17"/>
                <w:szCs w:val="17"/>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82 Devonshire Street, Boston,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Massachusetts</w:t>
            </w:r>
          </w:p>
        </w:tc>
        <w:tc>
          <w:tcPr>
            <w:tcW w:w="5280" w:type="dxa"/>
            <w:vAlign w:val="bottom"/>
          </w:tcPr>
          <w:p>
            <w:pPr>
              <w:spacing w:after="0" w:line="203" w:lineRule="exact"/>
              <w:rPr>
                <w:sz w:val="20"/>
                <w:szCs w:val="20"/>
                <w:color w:val="auto"/>
              </w:rPr>
            </w:pPr>
            <w:r>
              <w:rPr>
                <w:rFonts w:ascii="Courier New" w:cs="Courier New" w:eastAsia="Courier New" w:hAnsi="Courier New"/>
                <w:sz w:val="18"/>
                <w:szCs w:val="18"/>
                <w:color w:val="auto"/>
              </w:rPr>
              <w:t>02109</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2(c).</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2(d).</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Common Stock</w:t>
            </w:r>
          </w:p>
        </w:tc>
      </w:tr>
    </w:tbl>
    <w:p>
      <w:pPr>
        <w:sectPr>
          <w:pgSz w:w="11900" w:h="16838" w:orient="portrait"/>
          <w:cols w:equalWidth="0" w:num="1">
            <w:col w:w="10219"/>
          </w:cols>
          <w:pgMar w:left="240" w:top="244" w:right="1440" w:bottom="0" w:gutter="0" w:footer="0" w:header="0"/>
        </w:sectPr>
      </w:pPr>
    </w:p>
    <w:bookmarkStart w:id="1" w:name="page2"/>
    <w:bookmarkEnd w:id="1"/>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40,630,091</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14.834%</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136"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2,139,576</w:t>
      </w:r>
    </w:p>
    <w:p>
      <w:pPr>
        <w:spacing w:after="0" w:line="200" w:lineRule="exact"/>
        <w:rPr>
          <w:sz w:val="20"/>
          <w:szCs w:val="20"/>
          <w:color w:val="auto"/>
        </w:rPr>
      </w:pPr>
    </w:p>
    <w:p>
      <w:pPr>
        <w:sectPr>
          <w:pgSz w:w="11900" w:h="16838" w:orient="portrait"/>
          <w:cols w:equalWidth="0" w:num="2">
            <w:col w:w="1160" w:space="540"/>
            <w:col w:w="8519"/>
          </w:cols>
          <w:pgMar w:left="240" w:top="136"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40,630,091</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7" w:lineRule="auto"/>
        <w:rPr>
          <w:sz w:val="20"/>
          <w:szCs w:val="20"/>
          <w:color w:val="auto"/>
        </w:rPr>
      </w:pPr>
      <w:r>
        <w:rPr>
          <w:rFonts w:ascii="Courier New" w:cs="Courier New" w:eastAsia="Courier New" w:hAnsi="Courier New"/>
          <w:sz w:val="18"/>
          <w:szCs w:val="18"/>
          <w:color w:val="auto"/>
        </w:rPr>
        <w:t>Ltd.. The interest of one person, Fidelity Contrafund, an investment company registered under the Investment Company Act of 1940, in the Common Stock of Marvell Technology Group Ltd., amounted to 15,396,100 shares or 5.621% of the total outstanding Common Stock at December</w:t>
      </w:r>
    </w:p>
    <w:p>
      <w:pPr>
        <w:spacing w:after="0"/>
        <w:rPr>
          <w:sz w:val="20"/>
          <w:szCs w:val="20"/>
          <w:color w:val="auto"/>
        </w:rPr>
      </w:pPr>
      <w:r>
        <w:rPr>
          <w:rFonts w:ascii="Courier New" w:cs="Courier New" w:eastAsia="Courier New" w:hAnsi="Courier New"/>
          <w:sz w:val="18"/>
          <w:szCs w:val="18"/>
          <w:color w:val="auto"/>
        </w:rPr>
        <w:t>31, 2004.</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290" w:lineRule="auto"/>
        <w:rPr>
          <w:sz w:val="20"/>
          <w:szCs w:val="20"/>
          <w:color w:val="auto"/>
        </w:rPr>
      </w:pPr>
      <w:r>
        <w:rPr>
          <w:rFonts w:ascii="Courier New" w:cs="Courier New" w:eastAsia="Courier New" w:hAnsi="Courier New"/>
          <w:sz w:val="16"/>
          <w:szCs w:val="16"/>
          <w:color w:val="auto"/>
        </w:rPr>
        <w:t>the Common Stock of Marvell Technology Group Ltd. at December 31, 2004 is true, complete and correct.</w:t>
      </w:r>
    </w:p>
    <w:p>
      <w:pPr>
        <w:sectPr>
          <w:pgSz w:w="11900" w:h="16838" w:orient="portrait"/>
          <w:cols w:equalWidth="0" w:num="1">
            <w:col w:w="10219"/>
          </w:cols>
          <w:pgMar w:left="240" w:top="136"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February 14, 2005</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38,347,515 shares or 14.001%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099" w:firstLine="843"/>
        <w:spacing w:after="0" w:line="237" w:lineRule="auto"/>
        <w:rPr>
          <w:sz w:val="20"/>
          <w:szCs w:val="20"/>
          <w:color w:val="auto"/>
        </w:rPr>
      </w:pPr>
      <w:r>
        <w:rPr>
          <w:rFonts w:ascii="Courier New" w:cs="Courier New" w:eastAsia="Courier New" w:hAnsi="Courier New"/>
          <w:sz w:val="18"/>
          <w:szCs w:val="18"/>
          <w:color w:val="auto"/>
        </w:rPr>
        <w:t>The ownership of one investment company, Fidelity Contrafund, amounted to 15,396,100 shares or 5.621% of the Common Stock outstanding. Fidelity Contrafund has its principal business office at 82 Devonshire Street, Boston, Massachusetts 02109.</w:t>
      </w:r>
    </w:p>
    <w:p>
      <w:pPr>
        <w:spacing w:after="0" w:line="209"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38,347,515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1,038,380 shares or 0.379%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1,038,380 shares and sole power</w:t>
      </w:r>
    </w:p>
    <w:p>
      <w:pPr>
        <w:spacing w:after="0" w:line="237" w:lineRule="auto"/>
        <w:rPr>
          <w:sz w:val="20"/>
          <w:szCs w:val="20"/>
          <w:color w:val="auto"/>
        </w:rPr>
      </w:pPr>
      <w:r>
        <w:rPr>
          <w:rFonts w:ascii="Courier New" w:cs="Courier New" w:eastAsia="Courier New" w:hAnsi="Courier New"/>
          <w:sz w:val="18"/>
          <w:szCs w:val="18"/>
          <w:color w:val="auto"/>
        </w:rPr>
        <w:t>to vote or to direct the voting of 863,180 shares, and no</w:t>
      </w:r>
    </w:p>
    <w:p>
      <w:pPr>
        <w:spacing w:after="0" w:line="238" w:lineRule="auto"/>
        <w:rPr>
          <w:sz w:val="20"/>
          <w:szCs w:val="20"/>
          <w:color w:val="auto"/>
        </w:rPr>
      </w:pPr>
      <w:r>
        <w:rPr>
          <w:rFonts w:ascii="Courier New" w:cs="Courier New" w:eastAsia="Courier New" w:hAnsi="Courier New"/>
          <w:sz w:val="18"/>
          <w:szCs w:val="18"/>
          <w:color w:val="auto"/>
        </w:rPr>
        <w:t>power to vote or to direct the voting of 175,200 shares of</w:t>
      </w:r>
    </w:p>
    <w:p>
      <w:pPr>
        <w:spacing w:after="0"/>
        <w:rPr>
          <w:sz w:val="20"/>
          <w:szCs w:val="20"/>
          <w:color w:val="auto"/>
        </w:rPr>
      </w:pPr>
      <w:r>
        <w:rPr>
          <w:rFonts w:ascii="Courier New" w:cs="Courier New" w:eastAsia="Courier New" w:hAnsi="Courier New"/>
          <w:sz w:val="18"/>
          <w:szCs w:val="18"/>
          <w:color w:val="auto"/>
        </w:rPr>
        <w:t>Common Stock owned by the institutional account(s) as</w:t>
      </w:r>
    </w:p>
    <w:p>
      <w:pPr>
        <w:spacing w:after="0" w:line="237" w:lineRule="auto"/>
        <w:rPr>
          <w:sz w:val="20"/>
          <w:szCs w:val="20"/>
          <w:color w:val="auto"/>
        </w:rPr>
      </w:pPr>
      <w:r>
        <w:rPr>
          <w:rFonts w:ascii="Courier New" w:cs="Courier New" w:eastAsia="Courier New" w:hAnsi="Courier New"/>
          <w:sz w:val="18"/>
          <w:szCs w:val="18"/>
          <w:color w:val="auto"/>
        </w:rPr>
        <w:t>reported above.</w:t>
      </w:r>
    </w:p>
    <w:p>
      <w:pPr>
        <w:spacing w:after="0" w:line="207"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ectPr>
          <w:pgSz w:w="11900" w:h="16838" w:orient="portrait"/>
          <w:cols w:equalWidth="0" w:num="1">
            <w:col w:w="10219"/>
          </w:cols>
          <w:pgMar w:left="240" w:top="339" w:right="1440" w:bottom="0" w:gutter="0" w:footer="0" w:header="0"/>
        </w:sectPr>
      </w:pPr>
    </w:p>
    <w:bookmarkStart w:id="3" w:name="page4"/>
    <w:bookmarkEnd w:id="3"/>
    <w:p>
      <w:pPr>
        <w:ind w:right="3779" w:firstLine="843"/>
        <w:spacing w:after="0" w:line="237" w:lineRule="auto"/>
        <w:rPr>
          <w:sz w:val="20"/>
          <w:szCs w:val="20"/>
          <w:color w:val="auto"/>
        </w:rPr>
      </w:pPr>
      <w:r>
        <w:rPr>
          <w:rFonts w:ascii="Courier New" w:cs="Courier New" w:eastAsia="Courier New" w:hAnsi="Courier New"/>
          <w:sz w:val="18"/>
          <w:szCs w:val="18"/>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1,244,196 shares or 0.454% of the Common Stock outstanding of the Company. Additional information with respect to the beneficial ownership of Fidelity International Limited is shown on Exhibit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6"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1,244,196 shares or 0.454% of the Common Stock outstanding of Marvell Technology Group Ltd..</w:t>
      </w:r>
    </w:p>
    <w:p>
      <w:pPr>
        <w:spacing w:after="0" w:line="211"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ectPr>
          <w:pgSz w:w="11900" w:h="16838" w:orient="portrait"/>
          <w:cols w:equalWidth="0" w:num="1">
            <w:col w:w="10219"/>
          </w:cols>
          <w:pgMar w:left="240" w:top="344" w:right="1440" w:bottom="0" w:gutter="0" w:footer="0" w:header="0"/>
        </w:sectPr>
      </w:pPr>
    </w:p>
    <w:bookmarkStart w:id="4" w:name="page5"/>
    <w:bookmarkEnd w:id="4"/>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2"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 the Company's charter or by-laws, or (v) the Company's common stock becoming eligible for termination of its registration pursuant to Section 12(g)(4) of the 1934 Act.</w:t>
      </w:r>
    </w:p>
    <w:p>
      <w:pPr>
        <w:spacing w:after="0" w:line="186"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1,244,196 shares.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14, 2005, agree and consent to the joint filing on their behalf of this Schedule 13G in connection with their beneficial ownership of the Common Stock of Marvell Technology Group Ltd. at December 31, 2004.</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Edward C. Johnson 3d</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Abigail P. Johnson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p>
      <w:pPr>
        <w:spacing w:after="0" w:line="20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Contrafund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Secretary</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2019-12-14T20:22:00Z</dcterms:created>
  <dcterms:modified xsi:type="dcterms:W3CDTF">2019-12-14T20:22:00Z</dcterms:modified>
</cp:coreProperties>
</file>