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p>
    <w:p>
      <w:pPr>
        <w:ind w:left="1580"/>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ind w:left="2220"/>
        <w:spacing w:after="0"/>
        <w:tabs>
          <w:tab w:leader="none" w:pos="4100"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1" w:lineRule="exact"/>
        <w:rPr>
          <w:sz w:val="24"/>
          <w:szCs w:val="24"/>
          <w:color w:val="auto"/>
        </w:rPr>
      </w:pPr>
    </w:p>
    <w:p>
      <w:pPr>
        <w:jc w:val="center"/>
        <w:ind w:right="345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jc w:val="center"/>
        <w:ind w:right="3359"/>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540"/>
        <w:spacing w:after="0"/>
        <w:rPr>
          <w:sz w:val="20"/>
          <w:szCs w:val="20"/>
          <w:color w:val="auto"/>
        </w:rPr>
      </w:pPr>
      <w:r>
        <w:rPr>
          <w:rFonts w:ascii="Courier New" w:cs="Courier New" w:eastAsia="Courier New" w:hAnsi="Courier New"/>
          <w:sz w:val="18"/>
          <w:szCs w:val="18"/>
          <w:color w:val="auto"/>
        </w:rPr>
        <w:t>(Amendment No. 0)*</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2004</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3359"/>
        <w:spacing w:after="0" w:line="470"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12" w:lineRule="exact"/>
        <w:rPr>
          <w:sz w:val="24"/>
          <w:szCs w:val="24"/>
          <w:color w:val="auto"/>
        </w:rPr>
      </w:pPr>
    </w:p>
    <w:p>
      <w:pPr>
        <w:jc w:val="both"/>
        <w:ind w:left="220" w:right="8219" w:hanging="1"/>
        <w:spacing w:after="0" w:line="547" w:lineRule="auto"/>
        <w:tabs>
          <w:tab w:leader="none" w:pos="64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Name of Issuer: Marvell Technology Group Ltd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Title of Class of Securities: Common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Number: G5876H105</w:t>
      </w:r>
    </w:p>
    <w:p>
      <w:pPr>
        <w:spacing w:after="0" w:line="200" w:lineRule="exact"/>
        <w:rPr>
          <w:sz w:val="24"/>
          <w:szCs w:val="24"/>
          <w:color w:val="auto"/>
        </w:rPr>
      </w:pPr>
    </w:p>
    <w:p>
      <w:pPr>
        <w:spacing w:after="0" w:line="209" w:lineRule="exact"/>
        <w:rPr>
          <w:sz w:val="24"/>
          <w:szCs w:val="24"/>
          <w:color w:val="auto"/>
        </w:rPr>
      </w:pPr>
    </w:p>
    <w:p>
      <w:pPr>
        <w:ind w:right="3679"/>
        <w:spacing w:after="0" w:line="475"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200" w:lineRule="exact"/>
        <w:rPr>
          <w:sz w:val="24"/>
          <w:szCs w:val="24"/>
          <w:color w:val="auto"/>
        </w:rPr>
      </w:pPr>
    </w:p>
    <w:p>
      <w:pPr>
        <w:spacing w:after="0" w:line="213" w:lineRule="exact"/>
        <w:rPr>
          <w:sz w:val="24"/>
          <w:szCs w:val="24"/>
          <w:color w:val="auto"/>
        </w:rPr>
      </w:pPr>
    </w:p>
    <w:p>
      <w:pPr>
        <w:ind w:right="3579"/>
        <w:spacing w:after="0" w:line="475" w:lineRule="auto"/>
        <w:rPr>
          <w:sz w:val="20"/>
          <w:szCs w:val="20"/>
          <w:color w:val="auto"/>
        </w:rPr>
      </w:pPr>
      <w:r>
        <w:rPr>
          <w:rFonts w:ascii="Courier New" w:cs="Courier New" w:eastAsia="Courier New" w:hAnsi="Courier New"/>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Number: G5876H105</w:t>
      </w:r>
    </w:p>
    <w:p>
      <w:pPr>
        <w:spacing w:after="0" w:line="207" w:lineRule="exact"/>
        <w:rPr>
          <w:sz w:val="24"/>
          <w:szCs w:val="24"/>
          <w:color w:val="auto"/>
        </w:rPr>
      </w:pPr>
    </w:p>
    <w:p>
      <w:pPr>
        <w:ind w:right="3159" w:firstLine="8"/>
        <w:spacing w:after="0" w:line="470" w:lineRule="auto"/>
        <w:tabs>
          <w:tab w:leader="none" w:pos="843"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 Jennison Associates LLC (formerly Jennison Associates Capital Corp.)</w:t>
      </w:r>
    </w:p>
    <w:p>
      <w:pPr>
        <w:spacing w:after="0" w:line="6"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As of January 1, 1998, Jennison Associates Capital Corp., a</w:t>
      </w:r>
    </w:p>
    <w:p>
      <w:pPr>
        <w:spacing w:after="0" w:line="206" w:lineRule="exact"/>
        <w:rPr>
          <w:rFonts w:ascii="Courier New" w:cs="Courier New" w:eastAsia="Courier New" w:hAnsi="Courier New"/>
          <w:sz w:val="18"/>
          <w:szCs w:val="18"/>
          <w:color w:val="auto"/>
        </w:rPr>
      </w:pPr>
    </w:p>
    <w:p>
      <w:pPr>
        <w:ind w:right="3359"/>
        <w:spacing w:after="0" w:line="470"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New York Corporation, reorganized into Jennison Associates LLC, a Delaware limited liability company.</w:t>
      </w:r>
    </w:p>
    <w:p>
      <w:pPr>
        <w:spacing w:after="0" w:line="214" w:lineRule="exact"/>
        <w:rPr>
          <w:sz w:val="24"/>
          <w:szCs w:val="24"/>
          <w:color w:val="auto"/>
        </w:rPr>
      </w:pPr>
    </w:p>
    <w:p>
      <w:pPr>
        <w:ind w:right="4519" w:firstLine="8"/>
        <w:spacing w:after="0" w:line="470" w:lineRule="auto"/>
        <w:tabs>
          <w:tab w:leader="none" w:pos="527"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or I.R.S. Identification No. of Above Person: IRS Identification #52-2069785 (formerly 13-2631108)</w:t>
      </w:r>
    </w:p>
    <w:p>
      <w:pPr>
        <w:spacing w:after="0" w:line="11" w:lineRule="exact"/>
        <w:rPr>
          <w:rFonts w:ascii="Courier New" w:cs="Courier New" w:eastAsia="Courier New" w:hAnsi="Courier New"/>
          <w:sz w:val="18"/>
          <w:szCs w:val="18"/>
          <w:color w:val="auto"/>
        </w:rPr>
      </w:pPr>
    </w:p>
    <w:p>
      <w:pPr>
        <w:ind w:right="4199"/>
        <w:spacing w:after="0" w:line="470"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2. Check the Appropriate Box if a Member of a Group: Not Applicable</w:t>
      </w:r>
    </w:p>
    <w:p>
      <w:pPr>
        <w:sectPr>
          <w:pgSz w:w="11900" w:h="16848" w:orient="portrait"/>
          <w:cols w:equalWidth="0" w:num="1">
            <w:col w:w="10219"/>
          </w:cols>
          <w:pgMar w:left="240" w:top="244" w:right="1440" w:bottom="0" w:gutter="0" w:footer="0" w:header="0"/>
        </w:sectPr>
      </w:pPr>
    </w:p>
    <w:bookmarkStart w:id="1" w:name="page2"/>
    <w:bookmarkEnd w:id="1"/>
    <w:p>
      <w:pPr>
        <w:spacing w:after="0" w:line="139" w:lineRule="exact"/>
        <w:rPr>
          <w:sz w:val="20"/>
          <w:szCs w:val="20"/>
          <w:color w:val="auto"/>
        </w:rPr>
      </w:pPr>
    </w:p>
    <w:p>
      <w:pPr>
        <w:ind w:left="320" w:hanging="312"/>
        <w:spacing w:after="0"/>
        <w:tabs>
          <w:tab w:leader="none" w:pos="3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Delaware</w:t>
      </w:r>
    </w:p>
    <w:p>
      <w:pPr>
        <w:spacing w:after="0" w:line="207" w:lineRule="exact"/>
        <w:rPr>
          <w:sz w:val="20"/>
          <w:szCs w:val="20"/>
          <w:color w:val="auto"/>
        </w:rPr>
      </w:pPr>
    </w:p>
    <w:p>
      <w:pPr>
        <w:ind w:right="3899"/>
        <w:spacing w:after="0" w:line="470" w:lineRule="auto"/>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6" w:lineRule="exact"/>
        <w:rPr>
          <w:sz w:val="20"/>
          <w:szCs w:val="20"/>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15,859,297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 0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 0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16,825,949 shares</w:t>
      </w:r>
    </w:p>
    <w:p>
      <w:pPr>
        <w:spacing w:after="0" w:line="206" w:lineRule="exact"/>
        <w:rPr>
          <w:rFonts w:ascii="Courier New" w:cs="Courier New" w:eastAsia="Courier New" w:hAnsi="Courier New"/>
          <w:sz w:val="18"/>
          <w:szCs w:val="18"/>
          <w:color w:val="auto"/>
        </w:rPr>
      </w:pPr>
    </w:p>
    <w:p>
      <w:pPr>
        <w:ind w:right="4319" w:firstLine="8"/>
        <w:spacing w:after="0" w:line="470" w:lineRule="auto"/>
        <w:tabs>
          <w:tab w:leader="none" w:pos="316"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16,825,949 shares</w:t>
      </w:r>
    </w:p>
    <w:p>
      <w:pPr>
        <w:spacing w:after="0" w:line="11" w:lineRule="exact"/>
        <w:rPr>
          <w:rFonts w:ascii="Courier New" w:cs="Courier New" w:eastAsia="Courier New" w:hAnsi="Courier New"/>
          <w:sz w:val="18"/>
          <w:szCs w:val="18"/>
          <w:color w:val="auto"/>
        </w:rPr>
      </w:pPr>
    </w:p>
    <w:p>
      <w:pPr>
        <w:ind w:right="4419" w:firstLine="8"/>
        <w:spacing w:after="0" w:line="470" w:lineRule="auto"/>
        <w:tabs>
          <w:tab w:leader="none" w:pos="421"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 Certain Shares: ( )</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 6.14%</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IA</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4099"/>
        <w:spacing w:after="0" w:line="397" w:lineRule="auto"/>
        <w:rPr>
          <w:sz w:val="20"/>
          <w:szCs w:val="20"/>
          <w:color w:val="auto"/>
        </w:rPr>
      </w:pPr>
      <w:r>
        <w:rPr>
          <w:rFonts w:ascii="Courier New" w:cs="Courier New" w:eastAsia="Courier New" w:hAnsi="Courier New"/>
          <w:sz w:val="18"/>
          <w:szCs w:val="18"/>
          <w:color w:val="auto"/>
        </w:rPr>
        <w:t>Item 1(a) Name of Issuer: Marvell Technology Group Ltd Item 1(b) Address of Issuer's Principal Executive Offices: Canons Court</w:t>
      </w:r>
    </w:p>
    <w:p>
      <w:pPr>
        <w:spacing w:after="0" w:line="234" w:lineRule="auto"/>
        <w:rPr>
          <w:sz w:val="20"/>
          <w:szCs w:val="20"/>
          <w:color w:val="auto"/>
        </w:rPr>
      </w:pPr>
      <w:r>
        <w:rPr>
          <w:rFonts w:ascii="Courier New" w:cs="Courier New" w:eastAsia="Courier New" w:hAnsi="Courier New"/>
          <w:sz w:val="18"/>
          <w:szCs w:val="18"/>
          <w:color w:val="auto"/>
        </w:rPr>
        <w:t>22 Victoria Street</w:t>
      </w:r>
    </w:p>
    <w:p>
      <w:pPr>
        <w:spacing w:after="0"/>
        <w:rPr>
          <w:sz w:val="20"/>
          <w:szCs w:val="20"/>
          <w:color w:val="auto"/>
        </w:rPr>
      </w:pPr>
      <w:r>
        <w:rPr>
          <w:rFonts w:ascii="Courier New" w:cs="Courier New" w:eastAsia="Courier New" w:hAnsi="Courier New"/>
          <w:sz w:val="18"/>
          <w:szCs w:val="18"/>
          <w:color w:val="auto"/>
        </w:rPr>
        <w:t>Hamilton, HM 12</w:t>
      </w:r>
    </w:p>
    <w:p>
      <w:pPr>
        <w:spacing w:after="0" w:line="206" w:lineRule="exact"/>
        <w:rPr>
          <w:sz w:val="20"/>
          <w:szCs w:val="20"/>
          <w:color w:val="auto"/>
        </w:rPr>
      </w:pPr>
    </w:p>
    <w:p>
      <w:pPr>
        <w:ind w:right="4199"/>
        <w:spacing w:after="0" w:line="503" w:lineRule="auto"/>
        <w:rPr>
          <w:sz w:val="20"/>
          <w:szCs w:val="20"/>
          <w:color w:val="auto"/>
        </w:rPr>
      </w:pPr>
      <w:r>
        <w:rPr>
          <w:rFonts w:ascii="Courier New" w:cs="Courier New" w:eastAsia="Courier New" w:hAnsi="Courier New"/>
          <w:sz w:val="18"/>
          <w:szCs w:val="18"/>
          <w:color w:val="auto"/>
        </w:rPr>
        <w:t>Item 2(a) Name of Person Filing: Jennison Associates LLC Item 2(b) Address of Principal Business Office or Residence: 466 Lexington Avenue New York, NY 10017</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2(c) Citizenship: Delaware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 Common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right="3779"/>
        <w:spacing w:after="0" w:line="536" w:lineRule="auto"/>
        <w:rPr>
          <w:sz w:val="20"/>
          <w:szCs w:val="20"/>
          <w:color w:val="auto"/>
        </w:rPr>
      </w:pPr>
      <w:r>
        <w:rPr>
          <w:rFonts w:ascii="Courier New" w:cs="Courier New" w:eastAsia="Courier New" w:hAnsi="Courier New"/>
          <w:sz w:val="16"/>
          <w:szCs w:val="16"/>
          <w:color w:val="auto"/>
        </w:rPr>
        <w:t>Item 3 If this statement is filed pursuant to Rules 13d-1(b), or 13d-2(b), or (c) check whether the person filing is a:</w:t>
      </w:r>
    </w:p>
    <w:p>
      <w:pPr>
        <w:spacing w:after="0" w:line="1" w:lineRule="exact"/>
        <w:rPr>
          <w:sz w:val="20"/>
          <w:szCs w:val="20"/>
          <w:color w:val="auto"/>
        </w:rPr>
      </w:pPr>
    </w:p>
    <w:p>
      <w:pPr>
        <w:ind w:left="420" w:hanging="412"/>
        <w:spacing w:after="0"/>
        <w:tabs>
          <w:tab w:leader="none" w:pos="42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Broker or Dealer registered under Section 15 of the Act</w:t>
      </w:r>
    </w:p>
    <w:p>
      <w:pPr>
        <w:spacing w:after="0" w:line="218"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Bank as defined in Section 3(a) (6) of the Act</w:t>
      </w:r>
    </w:p>
    <w:p>
      <w:pPr>
        <w:spacing w:after="0" w:line="206" w:lineRule="exact"/>
        <w:rPr>
          <w:rFonts w:ascii="Courier New" w:cs="Courier New" w:eastAsia="Courier New" w:hAnsi="Courier New"/>
          <w:sz w:val="18"/>
          <w:szCs w:val="18"/>
          <w:color w:val="auto"/>
        </w:rPr>
      </w:pPr>
    </w:p>
    <w:p>
      <w:pPr>
        <w:ind w:right="3899" w:firstLine="8"/>
        <w:spacing w:after="0" w:line="470" w:lineRule="auto"/>
        <w:tabs>
          <w:tab w:leader="none" w:pos="42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Insurance Company as defined in Section 3(a) (19) of the Act</w:t>
      </w:r>
    </w:p>
    <w:p>
      <w:pPr>
        <w:spacing w:after="0" w:line="11" w:lineRule="exact"/>
        <w:rPr>
          <w:rFonts w:ascii="Courier New" w:cs="Courier New" w:eastAsia="Courier New" w:hAnsi="Courier New"/>
          <w:sz w:val="18"/>
          <w:szCs w:val="18"/>
          <w:color w:val="auto"/>
        </w:rPr>
      </w:pPr>
    </w:p>
    <w:p>
      <w:pPr>
        <w:ind w:right="3899" w:firstLine="8"/>
        <w:spacing w:after="0" w:line="470" w:lineRule="auto"/>
        <w:tabs>
          <w:tab w:leader="none" w:pos="42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Investment Company registered under Section 8 of the Investment Company Act</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(X) Investment Adviser in accordance with Section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240.13d-1(b) (1) (ii) (E)</w:t>
      </w:r>
    </w:p>
    <w:p>
      <w:pPr>
        <w:spacing w:after="0" w:line="200" w:lineRule="exact"/>
        <w:rPr>
          <w:sz w:val="20"/>
          <w:szCs w:val="20"/>
          <w:color w:val="auto"/>
        </w:rPr>
      </w:pPr>
    </w:p>
    <w:p>
      <w:pPr>
        <w:spacing w:after="0" w:line="209" w:lineRule="exact"/>
        <w:rPr>
          <w:sz w:val="20"/>
          <w:szCs w:val="20"/>
          <w:color w:val="auto"/>
        </w:rPr>
      </w:pPr>
    </w:p>
    <w:p>
      <w:pPr>
        <w:ind w:right="3899" w:firstLine="8"/>
        <w:spacing w:after="0" w:line="547" w:lineRule="auto"/>
        <w:tabs>
          <w:tab w:leader="none" w:pos="421"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Employee Benefit Plan, Pension Fund which is subject to the provision of the Employee Retirement Income Security Act of 1974 or Endowment Fund in accordance with Section</w:t>
      </w:r>
    </w:p>
    <w:p>
      <w:pPr>
        <w:sectPr>
          <w:pgSz w:w="11900" w:h="16978" w:orient="portrait"/>
          <w:cols w:equalWidth="0" w:num="1">
            <w:col w:w="10219"/>
          </w:cols>
          <w:pgMar w:left="240" w:top="136" w:right="1440" w:bottom="0" w:gutter="0" w:footer="0" w:header="0"/>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240.13d-1(b) (ii) (F)</w:t>
      </w:r>
    </w:p>
    <w:p>
      <w:pPr>
        <w:spacing w:after="0" w:line="200" w:lineRule="exact"/>
        <w:rPr>
          <w:sz w:val="20"/>
          <w:szCs w:val="20"/>
          <w:color w:val="auto"/>
        </w:rPr>
      </w:pPr>
    </w:p>
    <w:p>
      <w:pPr>
        <w:spacing w:after="0" w:line="209" w:lineRule="exact"/>
        <w:rPr>
          <w:sz w:val="20"/>
          <w:szCs w:val="20"/>
          <w:color w:val="auto"/>
        </w:rPr>
      </w:pPr>
    </w:p>
    <w:p>
      <w:pPr>
        <w:ind w:right="3579" w:firstLine="8"/>
        <w:spacing w:after="0" w:line="470" w:lineRule="auto"/>
        <w:tabs>
          <w:tab w:leader="none" w:pos="4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Parent Holding Company or control person, in accordance with Section 240.13(b) (ii) (G)</w:t>
      </w:r>
    </w:p>
    <w:p>
      <w:pPr>
        <w:spacing w:after="0" w:line="214" w:lineRule="exact"/>
        <w:rPr>
          <w:rFonts w:ascii="Courier New" w:cs="Courier New" w:eastAsia="Courier New" w:hAnsi="Courier New"/>
          <w:sz w:val="18"/>
          <w:szCs w:val="18"/>
          <w:color w:val="auto"/>
        </w:rPr>
      </w:pPr>
    </w:p>
    <w:p>
      <w:pPr>
        <w:ind w:right="3579" w:firstLine="8"/>
        <w:spacing w:after="0" w:line="470" w:lineRule="auto"/>
        <w:tabs>
          <w:tab w:leader="none" w:pos="4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A savings association as defined by Section 3(b) of the Federal Deposit Insurance Act</w:t>
      </w:r>
    </w:p>
    <w:p>
      <w:pPr>
        <w:spacing w:after="0" w:line="11" w:lineRule="exact"/>
        <w:rPr>
          <w:rFonts w:ascii="Courier New" w:cs="Courier New" w:eastAsia="Courier New" w:hAnsi="Courier New"/>
          <w:sz w:val="18"/>
          <w:szCs w:val="18"/>
          <w:color w:val="auto"/>
        </w:rPr>
      </w:pPr>
    </w:p>
    <w:p>
      <w:pPr>
        <w:ind w:right="3159"/>
        <w:spacing w:after="0" w:line="473"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 ) A church plan that is excluded from the definition of an investment company under Section 3(c) (4) of the Investment Company Act of 1940.</w:t>
      </w:r>
    </w:p>
    <w:p>
      <w:pPr>
        <w:spacing w:after="0" w:line="9" w:lineRule="exact"/>
        <w:rPr>
          <w:rFonts w:ascii="Courier New" w:cs="Courier New" w:eastAsia="Courier New" w:hAnsi="Courier New"/>
          <w:sz w:val="18"/>
          <w:szCs w:val="18"/>
          <w:color w:val="auto"/>
        </w:rPr>
      </w:pPr>
    </w:p>
    <w:p>
      <w:pPr>
        <w:ind w:right="3159"/>
        <w:spacing w:after="0" w:line="473"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(j)( ) Group, in accordance with Section 240.13d-1(b) (1) (ii) (J). If this statement is filed pursuant to Section 240.13d-1(c), check this box. ( )</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7" w:lineRule="exact"/>
        <w:rPr>
          <w:sz w:val="20"/>
          <w:szCs w:val="20"/>
          <w:color w:val="auto"/>
        </w:rPr>
      </w:pPr>
    </w:p>
    <w:p>
      <w:pPr>
        <w:ind w:right="3259"/>
        <w:spacing w:after="0" w:line="473" w:lineRule="auto"/>
        <w:rPr>
          <w:sz w:val="20"/>
          <w:szCs w:val="20"/>
          <w:color w:val="auto"/>
        </w:rPr>
      </w:pPr>
      <w:r>
        <w:rPr>
          <w:rFonts w:ascii="Courier New" w:cs="Courier New" w:eastAsia="Courier New" w:hAnsi="Courier New"/>
          <w:sz w:val="18"/>
          <w:szCs w:val="18"/>
          <w:color w:val="auto"/>
        </w:rPr>
        <w:t>Provide the following information regarding the aggregate number and percentage of the class of securities of the issuer identified in Item 1.</w:t>
      </w:r>
    </w:p>
    <w:p>
      <w:pPr>
        <w:spacing w:after="0" w:line="4" w:lineRule="exact"/>
        <w:rPr>
          <w:sz w:val="20"/>
          <w:szCs w:val="20"/>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16,825,949 shares</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6.14%</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the person has:</w:t>
      </w:r>
    </w:p>
    <w:p>
      <w:pPr>
        <w:spacing w:after="0" w:line="201" w:lineRule="exact"/>
        <w:rPr>
          <w:sz w:val="20"/>
          <w:szCs w:val="20"/>
          <w:color w:val="auto"/>
        </w:rPr>
      </w:pPr>
    </w:p>
    <w:p>
      <w:pPr>
        <w:ind w:left="420" w:hanging="412"/>
        <w:spacing w:after="0"/>
        <w:tabs>
          <w:tab w:leader="none" w:pos="42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15,859,297</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0</w:t>
      </w:r>
    </w:p>
    <w:p>
      <w:pPr>
        <w:spacing w:after="0" w:line="20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power to dispose or to direct the disposition of: 16,825,949</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right="4939"/>
        <w:spacing w:after="0" w:line="536" w:lineRule="auto"/>
        <w:rPr>
          <w:sz w:val="20"/>
          <w:szCs w:val="20"/>
          <w:color w:val="auto"/>
        </w:rPr>
      </w:pPr>
      <w:r>
        <w:rPr>
          <w:rFonts w:ascii="Courier New" w:cs="Courier New" w:eastAsia="Courier New" w:hAnsi="Courier New"/>
          <w:sz w:val="16"/>
          <w:szCs w:val="16"/>
          <w:color w:val="auto"/>
        </w:rPr>
        <w:t>Jennison Associates LLC ("Jennison") furnishes investment advice to several investment companies,</w:t>
      </w:r>
    </w:p>
    <w:p>
      <w:pPr>
        <w:spacing w:after="0" w:line="234" w:lineRule="auto"/>
        <w:rPr>
          <w:sz w:val="20"/>
          <w:szCs w:val="20"/>
          <w:color w:val="auto"/>
        </w:rPr>
      </w:pPr>
      <w:r>
        <w:rPr>
          <w:rFonts w:ascii="Courier New" w:cs="Courier New" w:eastAsia="Courier New" w:hAnsi="Courier New"/>
          <w:sz w:val="18"/>
          <w:szCs w:val="18"/>
          <w:color w:val="auto"/>
        </w:rPr>
        <w:t>insurance separate accounts, and institutional clients ("Managed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Portfolios"). As a result of its role as investment adviser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Managed Portfolios, Jennison may be deemed to be the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beneficial owner of the shares of the Issuer's Common Stock</w:t>
      </w:r>
    </w:p>
    <w:p>
      <w:pPr>
        <w:spacing w:after="0" w:line="201" w:lineRule="exact"/>
        <w:rPr>
          <w:sz w:val="20"/>
          <w:szCs w:val="20"/>
          <w:color w:val="auto"/>
        </w:rPr>
      </w:pPr>
    </w:p>
    <w:p>
      <w:pPr>
        <w:spacing w:after="0"/>
        <w:tabs>
          <w:tab w:leader="none" w:pos="3560" w:val="left"/>
        </w:tabs>
        <w:rPr>
          <w:sz w:val="20"/>
          <w:szCs w:val="20"/>
          <w:color w:val="auto"/>
        </w:rPr>
      </w:pPr>
      <w:r>
        <w:rPr>
          <w:rFonts w:ascii="Courier New" w:cs="Courier New" w:eastAsia="Courier New" w:hAnsi="Courier New"/>
          <w:sz w:val="18"/>
          <w:szCs w:val="18"/>
          <w:color w:val="auto"/>
        </w:rPr>
        <w:t>held by such Managed Portfolios.</w:t>
      </w:r>
      <w:r>
        <w:rPr>
          <w:sz w:val="20"/>
          <w:szCs w:val="20"/>
          <w:color w:val="auto"/>
        </w:rPr>
        <w:tab/>
      </w:r>
      <w:r>
        <w:rPr>
          <w:rFonts w:ascii="Courier New" w:cs="Courier New" w:eastAsia="Courier New" w:hAnsi="Courier New"/>
          <w:sz w:val="16"/>
          <w:szCs w:val="16"/>
          <w:color w:val="auto"/>
        </w:rPr>
        <w:t>The Prudential Insurance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Company of America ("Prudential") owns 100% of equity interests of</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Jennison.</w:t>
      </w:r>
      <w:r>
        <w:rPr>
          <w:sz w:val="20"/>
          <w:szCs w:val="20"/>
          <w:color w:val="auto"/>
        </w:rPr>
        <w:tab/>
      </w:r>
      <w:r>
        <w:rPr>
          <w:rFonts w:ascii="Courier New" w:cs="Courier New" w:eastAsia="Courier New" w:hAnsi="Courier New"/>
          <w:sz w:val="16"/>
          <w:szCs w:val="16"/>
          <w:color w:val="auto"/>
        </w:rPr>
        <w:t>As a result, Prudential may be deemed to have the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to exercise or to direct the exercise of such voting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and/or dispositive power that Jennison may have with respect to</w:t>
      </w:r>
    </w:p>
    <w:p>
      <w:pPr>
        <w:spacing w:after="0" w:line="207" w:lineRule="exact"/>
        <w:rPr>
          <w:sz w:val="20"/>
          <w:szCs w:val="20"/>
          <w:color w:val="auto"/>
        </w:rPr>
      </w:pPr>
    </w:p>
    <w:p>
      <w:pPr>
        <w:ind w:right="3579"/>
        <w:spacing w:after="0" w:line="547" w:lineRule="auto"/>
        <w:rPr>
          <w:sz w:val="20"/>
          <w:szCs w:val="20"/>
          <w:color w:val="auto"/>
        </w:rPr>
      </w:pPr>
      <w:r>
        <w:rPr>
          <w:rFonts w:ascii="Courier New" w:cs="Courier New" w:eastAsia="Courier New" w:hAnsi="Courier New"/>
          <w:sz w:val="16"/>
          <w:szCs w:val="16"/>
          <w:color w:val="auto"/>
        </w:rPr>
        <w:t>the Issuer's Common Stock held by the Managed Portfolios. Jennison does not file jointly with Prudential, as such, shares of the Issuer's Common Stock reported on Jennison's 13G may be</w:t>
      </w:r>
    </w:p>
    <w:p>
      <w:pPr>
        <w:sectPr>
          <w:pgSz w:w="11900" w:h="16838" w:orient="portrait"/>
          <w:cols w:equalWidth="0" w:num="1">
            <w:col w:w="10219"/>
          </w:cols>
          <w:pgMar w:left="240" w:top="339" w:right="1440" w:bottom="0" w:gutter="0" w:footer="0" w:header="0"/>
        </w:sectPr>
      </w:pPr>
    </w:p>
    <w:bookmarkStart w:id="3" w:name="page4"/>
    <w:bookmarkEnd w:id="3"/>
    <w:p>
      <w:pPr>
        <w:spacing w:after="0" w:line="131" w:lineRule="exact"/>
        <w:rPr>
          <w:sz w:val="20"/>
          <w:szCs w:val="20"/>
          <w:color w:val="auto"/>
        </w:rPr>
      </w:pPr>
    </w:p>
    <w:p>
      <w:pPr>
        <w:ind w:right="3579"/>
        <w:spacing w:after="0" w:line="540" w:lineRule="auto"/>
        <w:rPr>
          <w:sz w:val="20"/>
          <w:szCs w:val="20"/>
          <w:color w:val="auto"/>
        </w:rPr>
      </w:pPr>
      <w:r>
        <w:rPr>
          <w:rFonts w:ascii="Courier New" w:cs="Courier New" w:eastAsia="Courier New" w:hAnsi="Courier New"/>
          <w:sz w:val="16"/>
          <w:szCs w:val="16"/>
          <w:color w:val="auto"/>
        </w:rPr>
        <w:t>included in the shares reported on the 13G filed by Prudential. These shares were acquired in the ordinary course of business, and not with the purpose or effect of changing or influencing control of the Issuer. The filing of this statement should not be construed as an admission that Jennison is, for the purposes of Sections 13 or 16 of the Securities Exchange Act of 1934, the beneficial owner of these shares.</w:t>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7" w:lineRule="exact"/>
        <w:rPr>
          <w:sz w:val="20"/>
          <w:szCs w:val="20"/>
          <w:color w:val="auto"/>
        </w:rPr>
      </w:pPr>
    </w:p>
    <w:p>
      <w:pPr>
        <w:ind w:right="3679"/>
        <w:spacing w:after="0" w:line="474" w:lineRule="auto"/>
        <w:rPr>
          <w:sz w:val="20"/>
          <w:szCs w:val="20"/>
          <w:color w:val="auto"/>
        </w:rPr>
      </w:pPr>
      <w:r>
        <w:rPr>
          <w:rFonts w:ascii="Courier New" w:cs="Courier New" w:eastAsia="Courier New" w:hAnsi="Courier New"/>
          <w:sz w:val="18"/>
          <w:szCs w:val="18"/>
          <w:color w:val="auto"/>
        </w:rPr>
        <w:t>If this statement is being filed to report the fact that as of the date hereof the reporting person has ceased to be the beneficial owner of more than five percent of the securities, check the following ().</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Another Person:</w:t>
      </w:r>
    </w:p>
    <w:p>
      <w:pPr>
        <w:spacing w:after="0" w:line="207" w:lineRule="exact"/>
        <w:rPr>
          <w:sz w:val="20"/>
          <w:szCs w:val="20"/>
          <w:color w:val="auto"/>
        </w:rPr>
      </w:pPr>
    </w:p>
    <w:p>
      <w:pPr>
        <w:ind w:right="3779"/>
        <w:spacing w:after="0" w:line="474" w:lineRule="auto"/>
        <w:rPr>
          <w:sz w:val="20"/>
          <w:szCs w:val="20"/>
          <w:color w:val="auto"/>
        </w:rPr>
      </w:pPr>
      <w:r>
        <w:rPr>
          <w:rFonts w:ascii="Courier New" w:cs="Courier New" w:eastAsia="Courier New" w:hAnsi="Courier New"/>
          <w:sz w:val="18"/>
          <w:szCs w:val="18"/>
          <w:color w:val="auto"/>
        </w:rPr>
        <w:t>Our clients have the right to receive or the power to direct the receipt of dividends or the profits from the sale of such securities. No one client owns more than 5% of such security class.</w:t>
      </w:r>
    </w:p>
    <w:p>
      <w:pPr>
        <w:spacing w:after="0" w:line="200" w:lineRule="exact"/>
        <w:rPr>
          <w:sz w:val="20"/>
          <w:szCs w:val="20"/>
          <w:color w:val="auto"/>
        </w:rPr>
      </w:pPr>
    </w:p>
    <w:p>
      <w:pPr>
        <w:spacing w:after="0" w:line="215" w:lineRule="exact"/>
        <w:rPr>
          <w:sz w:val="20"/>
          <w:szCs w:val="20"/>
          <w:color w:val="auto"/>
        </w:rPr>
      </w:pPr>
    </w:p>
    <w:p>
      <w:pPr>
        <w:ind w:right="3999"/>
        <w:spacing w:after="0" w:line="473"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Not Applicable</w:t>
      </w:r>
    </w:p>
    <w:p>
      <w:pPr>
        <w:spacing w:after="0" w:line="200" w:lineRule="exact"/>
        <w:rPr>
          <w:sz w:val="20"/>
          <w:szCs w:val="20"/>
          <w:color w:val="auto"/>
        </w:rPr>
      </w:pPr>
    </w:p>
    <w:p>
      <w:pPr>
        <w:spacing w:after="0" w:line="215" w:lineRule="exact"/>
        <w:rPr>
          <w:sz w:val="20"/>
          <w:szCs w:val="20"/>
          <w:color w:val="auto"/>
        </w:rPr>
      </w:pPr>
    </w:p>
    <w:p>
      <w:pPr>
        <w:ind w:right="4099"/>
        <w:spacing w:after="0" w:line="470"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 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signing below I certify that, to the best of my knowledge</w:t>
      </w:r>
    </w:p>
    <w:p>
      <w:pPr>
        <w:spacing w:after="0" w:line="207" w:lineRule="exact"/>
        <w:rPr>
          <w:sz w:val="20"/>
          <w:szCs w:val="20"/>
          <w:color w:val="auto"/>
        </w:rPr>
      </w:pPr>
    </w:p>
    <w:p>
      <w:pPr>
        <w:ind w:right="3159"/>
        <w:spacing w:after="0" w:line="540" w:lineRule="auto"/>
        <w:rPr>
          <w:sz w:val="20"/>
          <w:szCs w:val="20"/>
          <w:color w:val="auto"/>
        </w:rPr>
      </w:pPr>
      <w:r>
        <w:rPr>
          <w:rFonts w:ascii="Courier New" w:cs="Courier New" w:eastAsia="Courier New" w:hAnsi="Courier New"/>
          <w:sz w:val="16"/>
          <w:szCs w:val="16"/>
          <w:color w:val="auto"/>
        </w:rPr>
        <w:t>and belief, the securities referred to above were acquired and are in held the ordinary course of business and were not acquired and are not held for the purpose of and do not have the effect of changing or influencing the control of the issuer of the securities and were not acquired and are not held in connection with or as a participant in any transaction having that purpose or effect.</w:t>
      </w:r>
    </w:p>
    <w:p>
      <w:pPr>
        <w:sectPr>
          <w:pgSz w:w="11900" w:h="16970" w:orient="portrait"/>
          <w:cols w:equalWidth="0" w:num="1">
            <w:col w:w="10219"/>
          </w:cols>
          <w:pgMar w:left="240" w:top="142" w:right="1440" w:bottom="0" w:gutter="0" w:footer="0" w:header="0"/>
        </w:sectPr>
      </w:pPr>
    </w:p>
    <w:bookmarkStart w:id="4" w:name="page5"/>
    <w:bookmarkEnd w:id="4"/>
    <w:p>
      <w:pPr>
        <w:jc w:val="both"/>
        <w:ind w:right="3899"/>
        <w:spacing w:after="0" w:line="473"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correct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09, 2005</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Stephanie Willis</w:t>
      </w:r>
    </w:p>
    <w:p>
      <w:pPr>
        <w:spacing w:after="0" w:line="238" w:lineRule="auto"/>
        <w:rPr>
          <w:sz w:val="20"/>
          <w:szCs w:val="20"/>
          <w:color w:val="auto"/>
        </w:rPr>
      </w:pPr>
      <w:r>
        <w:rPr>
          <w:rFonts w:ascii="Courier New" w:cs="Courier New" w:eastAsia="Courier New" w:hAnsi="Courier New"/>
          <w:sz w:val="18"/>
          <w:szCs w:val="18"/>
          <w:color w:val="auto"/>
        </w:rPr>
        <w:t>Stephanie Willis, Chief Compliance Officer</w:t>
      </w:r>
    </w:p>
    <w:sectPr>
      <w:pgSz w:w="11900" w:h="16838" w:orient="portrait"/>
      <w:cols w:equalWidth="0" w:num="1">
        <w:col w:w="10219"/>
      </w:cols>
      <w:pgMar w:left="240" w:top="3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1"/>
    </w:lvl>
  </w:abstractNum>
  <w:abstractNum w:abstractNumId="2">
    <w:nsid w:val="2EB141F2"/>
    <w:multiLevelType w:val="hybridMultilevel"/>
    <w:lvl w:ilvl="0">
      <w:lvlJc w:val="left"/>
      <w:lvlText w:val="S.%1."/>
      <w:numFmt w:val="upperLetter"/>
      <w:start w:val="19"/>
    </w:lvl>
  </w:abstractNum>
  <w:abstractNum w:abstractNumId="3">
    <w:nsid w:val="41B71EFB"/>
    <w:multiLevelType w:val="hybridMultilevel"/>
    <w:lvl w:ilvl="0">
      <w:lvlJc w:val="left"/>
      <w:lvlText w:val="%1."/>
      <w:numFmt w:val="decimal"/>
      <w:start w:val="3"/>
    </w:lvl>
  </w:abstractNum>
  <w:abstractNum w:abstractNumId="4">
    <w:nsid w:val="79E2A9E3"/>
    <w:multiLevelType w:val="hybridMultilevel"/>
    <w:lvl w:ilvl="0">
      <w:lvlJc w:val="left"/>
      <w:lvlText w:val="%1."/>
      <w:numFmt w:val="decimal"/>
      <w:start w:val="5"/>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6"/>
    </w:lvl>
  </w:abstractNum>
  <w:abstractNum w:abstractNumId="7">
    <w:nsid w:val="5BD062C2"/>
    <w:multiLevelType w:val="hybridMultilevel"/>
    <w:lvl w:ilvl="0">
      <w:lvlJc w:val="left"/>
      <w:lvlText w:val="(%1)"/>
      <w:numFmt w:val="lowerLetter"/>
      <w:start w:val="7"/>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2019-12-14T20:24:59Z</dcterms:created>
  <dcterms:modified xsi:type="dcterms:W3CDTF">2019-12-14T20:24:59Z</dcterms:modified>
</cp:coreProperties>
</file>