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Washington, D.C. 20549</w:t>
      </w:r>
    </w:p>
    <w:p>
      <w:pPr>
        <w:spacing w:after="0" w:line="207"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SCHEDULE 13G</w:t>
      </w:r>
    </w:p>
    <w:p>
      <w:pPr>
        <w:spacing w:after="0" w:line="225"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(Amendment No. 1)*</w:t>
      </w:r>
    </w:p>
    <w:p>
      <w:pPr>
        <w:spacing w:after="0" w:line="207"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(Name of Issuer)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-130810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54"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ind w:left="5080" w:right="4920" w:firstLine="156"/>
        <w:spacing w:after="0" w:line="400" w:lineRule="auto"/>
        <w:tabs>
          <w:tab w:leader="none" w:pos="542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5876H105 </w:t>
      </w:r>
      <w:r>
        <w:rPr>
          <w:rFonts w:ascii="Arial" w:cs="Arial" w:eastAsia="Arial" w:hAnsi="Arial"/>
          <w:sz w:val="16"/>
          <w:szCs w:val="16"/>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5"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December 31, 2004</w:t>
      </w:r>
    </w:p>
    <w:p>
      <w:pPr>
        <w:spacing w:after="0" w:line="40"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3" w:lineRule="exact"/>
        <w:rPr>
          <w:sz w:val="24"/>
          <w:szCs w:val="24"/>
          <w:color w:val="auto"/>
        </w:rPr>
      </w:pPr>
    </w:p>
    <w:p>
      <w:pPr>
        <w:ind w:left="1080" w:hanging="577"/>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13d-1(b)</w:t>
      </w:r>
    </w:p>
    <w:p>
      <w:pPr>
        <w:spacing w:after="0" w:line="9" w:lineRule="exact"/>
        <w:rPr>
          <w:rFonts w:ascii="Arial" w:cs="Arial" w:eastAsia="Arial" w:hAnsi="Arial"/>
          <w:sz w:val="18"/>
          <w:szCs w:val="18"/>
          <w:color w:val="auto"/>
        </w:rPr>
      </w:pPr>
    </w:p>
    <w:p>
      <w:pPr>
        <w:jc w:val="both"/>
        <w:ind w:left="460" w:right="9160" w:firstLine="43"/>
        <w:spacing w:after="0" w:line="226" w:lineRule="exact"/>
        <w:tabs>
          <w:tab w:leader="none" w:pos="1081" w:val="left"/>
        </w:tabs>
        <w:numPr>
          <w:ilvl w:val="0"/>
          <w:numId w:val="2"/>
        </w:numPr>
        <w:rPr>
          <w:rFonts w:ascii="Arial" w:cs="Arial" w:eastAsia="Arial" w:hAnsi="Arial"/>
          <w:sz w:val="17"/>
          <w:szCs w:val="17"/>
          <w:color w:val="auto"/>
        </w:rPr>
      </w:pPr>
      <w:r>
        <w:rPr>
          <w:rFonts w:ascii="Arial" w:cs="Arial" w:eastAsia="Arial" w:hAnsi="Arial"/>
          <w:sz w:val="17"/>
          <w:szCs w:val="17"/>
          <w:color w:val="auto"/>
        </w:rPr>
        <w:t xml:space="preserve">Rule 13d-1(c) </w:t>
      </w:r>
      <w:r>
        <w:rPr>
          <w:rFonts w:ascii="MS PGothic" w:cs="MS PGothic" w:eastAsia="MS PGothic" w:hAnsi="MS PGothic"/>
          <w:sz w:val="17"/>
          <w:szCs w:val="17"/>
          <w:color w:val="auto"/>
        </w:rPr>
        <w:t>☒</w:t>
      </w:r>
      <w:r>
        <w:rPr>
          <w:rFonts w:ascii="Arial" w:cs="Arial" w:eastAsia="Arial" w:hAnsi="Arial"/>
          <w:sz w:val="17"/>
          <w:szCs w:val="17"/>
          <w:color w:val="auto"/>
        </w:rPr>
        <w:t xml:space="preserve"> Rule 13d-1(d)</w:t>
      </w:r>
    </w:p>
    <w:p>
      <w:pPr>
        <w:spacing w:after="0" w:line="183" w:lineRule="exact"/>
        <w:rPr>
          <w:sz w:val="24"/>
          <w:szCs w:val="24"/>
          <w:color w:val="auto"/>
        </w:rPr>
      </w:pPr>
    </w:p>
    <w:p>
      <w:pPr>
        <w:ind w:left="660"/>
        <w:spacing w:after="0" w:line="308"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47" w:lineRule="exact"/>
        <w:rPr>
          <w:sz w:val="24"/>
          <w:szCs w:val="24"/>
          <w:color w:val="auto"/>
        </w:rPr>
      </w:pPr>
    </w:p>
    <w:p>
      <w:pPr>
        <w:ind w:left="660" w:right="100"/>
        <w:spacing w:after="0" w:line="264" w:lineRule="auto"/>
        <w:rPr>
          <w:sz w:val="20"/>
          <w:szCs w:val="20"/>
          <w:color w:val="auto"/>
        </w:rPr>
      </w:pPr>
      <w:r>
        <w:rPr>
          <w:rFonts w:ascii="Arial" w:cs="Arial" w:eastAsia="Arial" w:hAnsi="Arial"/>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182245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spacing w:after="0"/>
        <w:rPr>
          <w:sz w:val="20"/>
          <w:szCs w:val="20"/>
          <w:color w:val="auto"/>
        </w:rPr>
      </w:pPr>
      <w:r>
        <w:rPr>
          <w:rFonts w:ascii="Arial" w:cs="Arial" w:eastAsia="Arial" w:hAnsi="Arial"/>
          <w:sz w:val="18"/>
          <w:szCs w:val="18"/>
          <w:color w:val="auto"/>
        </w:rPr>
        <w:t>CUSIP No. G 5876H105</w:t>
      </w:r>
    </w:p>
    <w:p>
      <w:pPr>
        <w:spacing w:after="0" w:line="225" w:lineRule="exact"/>
        <w:rPr>
          <w:sz w:val="24"/>
          <w:szCs w:val="24"/>
          <w:color w:val="auto"/>
        </w:rPr>
      </w:pPr>
    </w:p>
    <w:p>
      <w:pPr>
        <w:ind w:left="1000" w:right="3980" w:hanging="614"/>
        <w:spacing w:after="0" w:line="277" w:lineRule="auto"/>
        <w:tabs>
          <w:tab w:leader="none" w:pos="100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Names of Reporting Persons. I.R.S. Identification Nos. of above persons (entities only) Weili Dai</w:t>
      </w:r>
    </w:p>
    <w:p>
      <w:pPr>
        <w:spacing w:after="0" w:line="170" w:lineRule="exact"/>
        <w:rPr>
          <w:rFonts w:ascii="Arial" w:cs="Arial" w:eastAsia="Arial" w:hAnsi="Arial"/>
          <w:sz w:val="18"/>
          <w:szCs w:val="18"/>
          <w:color w:val="auto"/>
        </w:rPr>
      </w:pPr>
    </w:p>
    <w:p>
      <w:pPr>
        <w:ind w:left="1000" w:hanging="614"/>
        <w:spacing w:after="0"/>
        <w:tabs>
          <w:tab w:leader="none" w:pos="10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3" w:lineRule="exact"/>
        <w:rPr>
          <w:rFonts w:ascii="Arial" w:cs="Arial" w:eastAsia="Arial" w:hAnsi="Arial"/>
          <w:sz w:val="18"/>
          <w:szCs w:val="18"/>
          <w:color w:val="auto"/>
        </w:rPr>
      </w:pPr>
    </w:p>
    <w:p>
      <w:pPr>
        <w:ind w:left="2160" w:hanging="1153"/>
        <w:spacing w:after="0"/>
        <w:tabs>
          <w:tab w:leader="none" w:pos="216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9" w:lineRule="exact"/>
        <w:rPr>
          <w:rFonts w:ascii="Arial" w:cs="Arial" w:eastAsia="Arial" w:hAnsi="Arial"/>
          <w:sz w:val="18"/>
          <w:szCs w:val="18"/>
          <w:color w:val="auto"/>
        </w:rPr>
      </w:pPr>
    </w:p>
    <w:p>
      <w:pPr>
        <w:ind w:left="2160" w:hanging="1153"/>
        <w:spacing w:after="0"/>
        <w:tabs>
          <w:tab w:leader="none" w:pos="216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210" w:lineRule="exact"/>
        <w:rPr>
          <w:rFonts w:ascii="Arial" w:cs="Arial" w:eastAsia="Arial" w:hAnsi="Arial"/>
          <w:sz w:val="18"/>
          <w:szCs w:val="18"/>
          <w:color w:val="auto"/>
        </w:rPr>
      </w:pPr>
    </w:p>
    <w:p>
      <w:pPr>
        <w:ind w:left="1000" w:hanging="614"/>
        <w:spacing w:after="0"/>
        <w:tabs>
          <w:tab w:leader="none" w:pos="100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25" w:lineRule="exact"/>
        <w:rPr>
          <w:rFonts w:ascii="Arial" w:cs="Arial" w:eastAsia="Arial" w:hAnsi="Arial"/>
          <w:sz w:val="18"/>
          <w:szCs w:val="18"/>
          <w:color w:val="auto"/>
        </w:rPr>
      </w:pPr>
    </w:p>
    <w:p>
      <w:pPr>
        <w:ind w:left="1000" w:right="7620" w:hanging="614"/>
        <w:spacing w:after="0" w:line="277" w:lineRule="auto"/>
        <w:tabs>
          <w:tab w:leader="none" w:pos="1000" w:val="left"/>
        </w:tabs>
        <w:numPr>
          <w:ilvl w:val="0"/>
          <w:numId w:val="3"/>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170" w:lineRule="exact"/>
        <w:rPr>
          <w:sz w:val="24"/>
          <w:szCs w:val="24"/>
          <w:color w:val="auto"/>
        </w:rPr>
      </w:pPr>
    </w:p>
    <w:tbl>
      <w:tblPr>
        <w:tblLayout w:type="fixed"/>
        <w:tblInd w:w="0" w:type="dxa"/>
        <w:tblCellMar>
          <w:top w:w="0" w:type="dxa"/>
          <w:left w:w="0" w:type="dxa"/>
          <w:bottom w:w="0" w:type="dxa"/>
          <w:right w:w="0" w:type="dxa"/>
        </w:tblCellMar>
      </w:tblPr>
      <w:tr>
        <w:trPr>
          <w:trHeight w:val="216"/>
        </w:trPr>
        <w:tc>
          <w:tcPr>
            <w:tcW w:w="1260" w:type="dxa"/>
            <w:vAlign w:val="bottom"/>
          </w:tcPr>
          <w:p>
            <w:pPr>
              <w:spacing w:after="0"/>
              <w:rPr>
                <w:sz w:val="18"/>
                <w:szCs w:val="18"/>
                <w:color w:val="auto"/>
              </w:rPr>
            </w:pPr>
          </w:p>
        </w:tc>
        <w:tc>
          <w:tcPr>
            <w:tcW w:w="960" w:type="dxa"/>
            <w:vAlign w:val="bottom"/>
          </w:tcPr>
          <w:p>
            <w:pPr>
              <w:jc w:val="right"/>
              <w:ind w:right="370"/>
              <w:spacing w:after="0"/>
              <w:rPr>
                <w:sz w:val="20"/>
                <w:szCs w:val="20"/>
                <w:color w:val="auto"/>
              </w:rPr>
            </w:pPr>
            <w:r>
              <w:rPr>
                <w:rFonts w:ascii="Arial" w:cs="Arial" w:eastAsia="Arial" w:hAnsi="Arial"/>
                <w:sz w:val="18"/>
                <w:szCs w:val="18"/>
                <w:color w:val="auto"/>
              </w:rPr>
              <w:t>5.</w:t>
            </w:r>
          </w:p>
        </w:tc>
        <w:tc>
          <w:tcPr>
            <w:tcW w:w="2180" w:type="dxa"/>
            <w:vAlign w:val="bottom"/>
          </w:tcPr>
          <w:p>
            <w:pPr>
              <w:ind w:left="48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30"/>
        </w:trPr>
        <w:tc>
          <w:tcPr>
            <w:tcW w:w="1260" w:type="dxa"/>
            <w:vAlign w:val="bottom"/>
            <w:vMerge w:val="restart"/>
          </w:tcPr>
          <w:p>
            <w:pPr>
              <w:spacing w:after="0"/>
              <w:rPr>
                <w:sz w:val="20"/>
                <w:szCs w:val="20"/>
                <w:color w:val="auto"/>
              </w:rPr>
            </w:pPr>
            <w:r>
              <w:rPr>
                <w:rFonts w:ascii="Arial" w:cs="Arial" w:eastAsia="Arial" w:hAnsi="Arial"/>
                <w:sz w:val="18"/>
                <w:szCs w:val="18"/>
                <w:color w:val="auto"/>
              </w:rPr>
              <w:t>Number of</w:t>
            </w:r>
          </w:p>
        </w:tc>
        <w:tc>
          <w:tcPr>
            <w:tcW w:w="960" w:type="dxa"/>
            <w:vAlign w:val="bottom"/>
          </w:tcPr>
          <w:p>
            <w:pPr>
              <w:spacing w:after="0"/>
              <w:rPr>
                <w:sz w:val="20"/>
                <w:szCs w:val="20"/>
                <w:color w:val="auto"/>
              </w:rPr>
            </w:pPr>
          </w:p>
        </w:tc>
        <w:tc>
          <w:tcPr>
            <w:tcW w:w="2180" w:type="dxa"/>
            <w:vAlign w:val="bottom"/>
          </w:tcPr>
          <w:p>
            <w:pPr>
              <w:ind w:left="48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202"/>
        </w:trPr>
        <w:tc>
          <w:tcPr>
            <w:tcW w:w="1260" w:type="dxa"/>
            <w:vAlign w:val="bottom"/>
            <w:vMerge w:val="continue"/>
          </w:tcPr>
          <w:p>
            <w:pPr>
              <w:spacing w:after="0"/>
              <w:rPr>
                <w:sz w:val="17"/>
                <w:szCs w:val="17"/>
                <w:color w:val="auto"/>
              </w:rPr>
            </w:pPr>
          </w:p>
        </w:tc>
        <w:tc>
          <w:tcPr>
            <w:tcW w:w="960" w:type="dxa"/>
            <w:vAlign w:val="bottom"/>
          </w:tcPr>
          <w:p>
            <w:pPr>
              <w:spacing w:after="0"/>
              <w:rPr>
                <w:sz w:val="17"/>
                <w:szCs w:val="17"/>
                <w:color w:val="auto"/>
              </w:rPr>
            </w:pPr>
          </w:p>
        </w:tc>
        <w:tc>
          <w:tcPr>
            <w:tcW w:w="2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rPr>
              <w:t>Shares</w:t>
            </w:r>
          </w:p>
        </w:tc>
        <w:tc>
          <w:tcPr>
            <w:tcW w:w="960" w:type="dxa"/>
            <w:vAlign w:val="bottom"/>
          </w:tcPr>
          <w:p>
            <w:pPr>
              <w:jc w:val="right"/>
              <w:ind w:right="370"/>
              <w:spacing w:after="0"/>
              <w:rPr>
                <w:sz w:val="20"/>
                <w:szCs w:val="20"/>
                <w:color w:val="auto"/>
              </w:rPr>
            </w:pPr>
            <w:r>
              <w:rPr>
                <w:rFonts w:ascii="Arial" w:cs="Arial" w:eastAsia="Arial" w:hAnsi="Arial"/>
                <w:sz w:val="18"/>
                <w:szCs w:val="18"/>
                <w:color w:val="auto"/>
              </w:rPr>
              <w:t>6.</w:t>
            </w:r>
          </w:p>
        </w:tc>
        <w:tc>
          <w:tcPr>
            <w:tcW w:w="2180" w:type="dxa"/>
            <w:vAlign w:val="bottom"/>
          </w:tcPr>
          <w:p>
            <w:pPr>
              <w:ind w:left="480"/>
              <w:spacing w:after="0"/>
              <w:rPr>
                <w:sz w:val="20"/>
                <w:szCs w:val="20"/>
                <w:color w:val="auto"/>
              </w:rPr>
            </w:pPr>
            <w:r>
              <w:rPr>
                <w:rFonts w:ascii="Arial" w:cs="Arial" w:eastAsia="Arial" w:hAnsi="Arial"/>
                <w:sz w:val="18"/>
                <w:szCs w:val="18"/>
                <w:color w:val="auto"/>
                <w:w w:val="98"/>
              </w:rPr>
              <w:t>Shared Voting Power</w:t>
            </w: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rPr>
              <w:t>Beneficially</w:t>
            </w:r>
          </w:p>
        </w:tc>
        <w:tc>
          <w:tcPr>
            <w:tcW w:w="960" w:type="dxa"/>
            <w:vAlign w:val="bottom"/>
          </w:tcPr>
          <w:p>
            <w:pPr>
              <w:spacing w:after="0"/>
              <w:rPr>
                <w:sz w:val="18"/>
                <w:szCs w:val="18"/>
                <w:color w:val="auto"/>
              </w:rPr>
            </w:pPr>
          </w:p>
        </w:tc>
        <w:tc>
          <w:tcPr>
            <w:tcW w:w="2180" w:type="dxa"/>
            <w:vAlign w:val="bottom"/>
          </w:tcPr>
          <w:p>
            <w:pPr>
              <w:ind w:left="480"/>
              <w:spacing w:after="0"/>
              <w:rPr>
                <w:sz w:val="20"/>
                <w:szCs w:val="20"/>
                <w:color w:val="auto"/>
              </w:rPr>
            </w:pPr>
            <w:r>
              <w:rPr>
                <w:rFonts w:ascii="Arial" w:cs="Arial" w:eastAsia="Arial" w:hAnsi="Arial"/>
                <w:sz w:val="18"/>
                <w:szCs w:val="18"/>
                <w:color w:val="auto"/>
              </w:rPr>
              <w:t>43,114,356 shares*</w:t>
            </w: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rPr>
              <w:t>Owned by</w:t>
            </w:r>
          </w:p>
        </w:tc>
        <w:tc>
          <w:tcPr>
            <w:tcW w:w="960" w:type="dxa"/>
            <w:vAlign w:val="bottom"/>
          </w:tcPr>
          <w:p>
            <w:pPr>
              <w:spacing w:after="0"/>
              <w:rPr>
                <w:sz w:val="18"/>
                <w:szCs w:val="18"/>
                <w:color w:val="auto"/>
              </w:rPr>
            </w:pPr>
          </w:p>
        </w:tc>
        <w:tc>
          <w:tcPr>
            <w:tcW w:w="2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rPr>
              <w:t>Each</w:t>
            </w:r>
          </w:p>
        </w:tc>
        <w:tc>
          <w:tcPr>
            <w:tcW w:w="960" w:type="dxa"/>
            <w:vAlign w:val="bottom"/>
          </w:tcPr>
          <w:p>
            <w:pPr>
              <w:jc w:val="right"/>
              <w:ind w:right="370"/>
              <w:spacing w:after="0"/>
              <w:rPr>
                <w:sz w:val="20"/>
                <w:szCs w:val="20"/>
                <w:color w:val="auto"/>
              </w:rPr>
            </w:pPr>
            <w:r>
              <w:rPr>
                <w:rFonts w:ascii="Arial" w:cs="Arial" w:eastAsia="Arial" w:hAnsi="Arial"/>
                <w:sz w:val="18"/>
                <w:szCs w:val="18"/>
                <w:color w:val="auto"/>
              </w:rPr>
              <w:t>7.</w:t>
            </w:r>
          </w:p>
        </w:tc>
        <w:tc>
          <w:tcPr>
            <w:tcW w:w="2180" w:type="dxa"/>
            <w:vAlign w:val="bottom"/>
          </w:tcPr>
          <w:p>
            <w:pPr>
              <w:ind w:left="480"/>
              <w:spacing w:after="0"/>
              <w:rPr>
                <w:sz w:val="20"/>
                <w:szCs w:val="20"/>
                <w:color w:val="auto"/>
              </w:rPr>
            </w:pPr>
            <w:r>
              <w:rPr>
                <w:rFonts w:ascii="Arial" w:cs="Arial" w:eastAsia="Arial" w:hAnsi="Arial"/>
                <w:sz w:val="18"/>
                <w:szCs w:val="18"/>
                <w:color w:val="auto"/>
                <w:w w:val="91"/>
              </w:rPr>
              <w:t>Sole Dispositive Power</w:t>
            </w:r>
          </w:p>
        </w:tc>
        <w:tc>
          <w:tcPr>
            <w:tcW w:w="0" w:type="dxa"/>
            <w:vAlign w:val="bottom"/>
          </w:tcPr>
          <w:p>
            <w:pPr>
              <w:spacing w:after="0"/>
              <w:rPr>
                <w:sz w:val="1"/>
                <w:szCs w:val="1"/>
                <w:color w:val="auto"/>
              </w:rPr>
            </w:pPr>
          </w:p>
        </w:tc>
      </w:tr>
      <w:tr>
        <w:trPr>
          <w:trHeight w:val="216"/>
        </w:trPr>
        <w:tc>
          <w:tcPr>
            <w:tcW w:w="1260" w:type="dxa"/>
            <w:vAlign w:val="bottom"/>
          </w:tcPr>
          <w:p>
            <w:pPr>
              <w:spacing w:after="0"/>
              <w:rPr>
                <w:sz w:val="20"/>
                <w:szCs w:val="20"/>
                <w:color w:val="auto"/>
              </w:rPr>
            </w:pPr>
            <w:r>
              <w:rPr>
                <w:rFonts w:ascii="Arial" w:cs="Arial" w:eastAsia="Arial" w:hAnsi="Arial"/>
                <w:sz w:val="18"/>
                <w:szCs w:val="18"/>
                <w:color w:val="auto"/>
              </w:rPr>
              <w:t>Reporting</w:t>
            </w:r>
          </w:p>
        </w:tc>
        <w:tc>
          <w:tcPr>
            <w:tcW w:w="960" w:type="dxa"/>
            <w:vAlign w:val="bottom"/>
          </w:tcPr>
          <w:p>
            <w:pPr>
              <w:spacing w:after="0"/>
              <w:rPr>
                <w:sz w:val="18"/>
                <w:szCs w:val="18"/>
                <w:color w:val="auto"/>
              </w:rPr>
            </w:pPr>
          </w:p>
        </w:tc>
        <w:tc>
          <w:tcPr>
            <w:tcW w:w="2180" w:type="dxa"/>
            <w:vAlign w:val="bottom"/>
          </w:tcPr>
          <w:p>
            <w:pPr>
              <w:ind w:left="48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230"/>
        </w:trPr>
        <w:tc>
          <w:tcPr>
            <w:tcW w:w="1260" w:type="dxa"/>
            <w:vAlign w:val="bottom"/>
          </w:tcPr>
          <w:p>
            <w:pPr>
              <w:spacing w:after="0"/>
              <w:rPr>
                <w:sz w:val="20"/>
                <w:szCs w:val="20"/>
                <w:color w:val="auto"/>
              </w:rPr>
            </w:pPr>
            <w:r>
              <w:rPr>
                <w:rFonts w:ascii="Arial" w:cs="Arial" w:eastAsia="Arial" w:hAnsi="Arial"/>
                <w:sz w:val="18"/>
                <w:szCs w:val="18"/>
                <w:color w:val="auto"/>
              </w:rPr>
              <w:t>Person With</w:t>
            </w:r>
          </w:p>
        </w:tc>
        <w:tc>
          <w:tcPr>
            <w:tcW w:w="960" w:type="dxa"/>
            <w:vAlign w:val="bottom"/>
          </w:tcPr>
          <w:p>
            <w:pPr>
              <w:spacing w:after="0"/>
              <w:rPr>
                <w:sz w:val="20"/>
                <w:szCs w:val="20"/>
                <w:color w:val="auto"/>
              </w:rPr>
            </w:pPr>
          </w:p>
        </w:tc>
        <w:tc>
          <w:tcPr>
            <w:tcW w:w="21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ind w:left="2700" w:right="6680" w:hanging="1085"/>
        <w:spacing w:after="0" w:line="323" w:lineRule="auto"/>
        <w:tabs>
          <w:tab w:leader="none" w:pos="2700" w:val="left"/>
        </w:tabs>
        <w:numPr>
          <w:ilvl w:val="1"/>
          <w:numId w:val="4"/>
        </w:numPr>
        <w:rPr>
          <w:rFonts w:ascii="Arial" w:cs="Arial" w:eastAsia="Arial" w:hAnsi="Arial"/>
          <w:sz w:val="16"/>
          <w:szCs w:val="16"/>
          <w:color w:val="auto"/>
        </w:rPr>
      </w:pPr>
      <w:r>
        <w:rPr>
          <w:rFonts w:ascii="Arial" w:cs="Arial" w:eastAsia="Arial" w:hAnsi="Arial"/>
          <w:sz w:val="16"/>
          <w:szCs w:val="16"/>
          <w:color w:val="auto"/>
        </w:rPr>
        <w:t>Shared Dispositive Power 43,114,356 shares*</w:t>
      </w:r>
    </w:p>
    <w:p>
      <w:pPr>
        <w:spacing w:after="0" w:line="138" w:lineRule="exact"/>
        <w:rPr>
          <w:rFonts w:ascii="Arial" w:cs="Arial" w:eastAsia="Arial" w:hAnsi="Arial"/>
          <w:sz w:val="16"/>
          <w:szCs w:val="16"/>
          <w:color w:val="auto"/>
        </w:rPr>
      </w:pPr>
    </w:p>
    <w:p>
      <w:pPr>
        <w:ind w:left="1000" w:right="5440" w:hanging="614"/>
        <w:spacing w:after="0" w:line="277" w:lineRule="auto"/>
        <w:tabs>
          <w:tab w:leader="none" w:pos="10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43,114,356 shares*</w:t>
      </w:r>
    </w:p>
    <w:p>
      <w:pPr>
        <w:spacing w:after="0" w:line="170" w:lineRule="exact"/>
        <w:rPr>
          <w:rFonts w:ascii="Arial" w:cs="Arial" w:eastAsia="Arial" w:hAnsi="Arial"/>
          <w:sz w:val="18"/>
          <w:szCs w:val="18"/>
          <w:color w:val="auto"/>
        </w:rPr>
      </w:pPr>
    </w:p>
    <w:p>
      <w:pPr>
        <w:ind w:left="1000" w:hanging="614"/>
        <w:spacing w:after="0"/>
        <w:tabs>
          <w:tab w:leader="none" w:pos="1000" w:val="left"/>
        </w:tabs>
        <w:numPr>
          <w:ilvl w:val="0"/>
          <w:numId w:val="5"/>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00" w:right="6460" w:hanging="614"/>
        <w:spacing w:after="0" w:line="277" w:lineRule="auto"/>
        <w:tabs>
          <w:tab w:leader="none" w:pos="1000" w:val="left"/>
        </w:tabs>
        <w:numPr>
          <w:ilvl w:val="0"/>
          <w:numId w:val="5"/>
        </w:numPr>
        <w:rPr>
          <w:rFonts w:ascii="Arial" w:cs="Arial" w:eastAsia="Arial" w:hAnsi="Arial"/>
          <w:sz w:val="18"/>
          <w:szCs w:val="18"/>
          <w:color w:val="auto"/>
        </w:rPr>
      </w:pPr>
      <w:r>
        <w:rPr>
          <w:rFonts w:ascii="Arial" w:cs="Arial" w:eastAsia="Arial" w:hAnsi="Arial"/>
          <w:sz w:val="18"/>
          <w:szCs w:val="18"/>
          <w:color w:val="auto"/>
        </w:rPr>
        <w:t>Percent of Class Represented by Amount in Row (9) 15.7 %</w:t>
      </w:r>
    </w:p>
    <w:p>
      <w:pPr>
        <w:spacing w:after="0" w:line="170" w:lineRule="exact"/>
        <w:rPr>
          <w:rFonts w:ascii="Arial" w:cs="Arial" w:eastAsia="Arial" w:hAnsi="Arial"/>
          <w:sz w:val="18"/>
          <w:szCs w:val="18"/>
          <w:color w:val="auto"/>
        </w:rPr>
      </w:pPr>
    </w:p>
    <w:p>
      <w:pPr>
        <w:ind w:left="1000" w:hanging="614"/>
        <w:spacing w:after="0"/>
        <w:tabs>
          <w:tab w:leader="none" w:pos="10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194310</wp:posOffset>
            </wp:positionV>
            <wp:extent cx="182689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ectPr>
          <w:pgSz w:w="11900" w:h="16838" w:orient="portrait"/>
          <w:cols w:equalWidth="0" w:num="1">
            <w:col w:w="11260"/>
          </w:cols>
          <w:pgMar w:left="240" w:top="445" w:right="399" w:bottom="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t>*Reporting Person shares dispositive and voting control over the following shares:</w:t>
      </w:r>
    </w:p>
    <w:p>
      <w:pPr>
        <w:spacing w:after="0" w:line="225" w:lineRule="exact"/>
        <w:rPr>
          <w:sz w:val="20"/>
          <w:szCs w:val="20"/>
          <w:color w:val="auto"/>
        </w:rPr>
      </w:pPr>
    </w:p>
    <w:p>
      <w:pPr>
        <w:ind w:left="1620" w:hanging="923"/>
        <w:spacing w:after="0"/>
        <w:tabs>
          <w:tab w:leader="none" w:pos="1620" w:val="left"/>
        </w:tabs>
        <w:numPr>
          <w:ilvl w:val="0"/>
          <w:numId w:val="6"/>
        </w:numPr>
        <w:rPr>
          <w:rFonts w:ascii="Arial" w:cs="Arial" w:eastAsia="Arial" w:hAnsi="Arial"/>
          <w:sz w:val="18"/>
          <w:szCs w:val="18"/>
          <w:color w:val="auto"/>
        </w:rPr>
      </w:pPr>
      <w:r>
        <w:rPr>
          <w:rFonts w:ascii="Arial" w:cs="Arial" w:eastAsia="Arial" w:hAnsi="Arial"/>
          <w:sz w:val="18"/>
          <w:szCs w:val="18"/>
          <w:color w:val="auto"/>
        </w:rPr>
        <w:t>15,086,900 shares directly owned by Reporting Person;</w:t>
      </w:r>
    </w:p>
    <w:p>
      <w:pPr>
        <w:spacing w:after="0" w:line="23" w:lineRule="exact"/>
        <w:rPr>
          <w:rFonts w:ascii="Arial" w:cs="Arial" w:eastAsia="Arial" w:hAnsi="Arial"/>
          <w:sz w:val="18"/>
          <w:szCs w:val="18"/>
          <w:color w:val="auto"/>
        </w:rPr>
      </w:pPr>
    </w:p>
    <w:p>
      <w:pPr>
        <w:ind w:left="1620" w:right="80" w:hanging="923"/>
        <w:spacing w:after="0" w:line="250" w:lineRule="auto"/>
        <w:tabs>
          <w:tab w:leader="none" w:pos="1620" w:val="left"/>
        </w:tabs>
        <w:numPr>
          <w:ilvl w:val="0"/>
          <w:numId w:val="6"/>
        </w:numPr>
        <w:rPr>
          <w:rFonts w:ascii="Arial" w:cs="Arial" w:eastAsia="Arial" w:hAnsi="Arial"/>
          <w:sz w:val="18"/>
          <w:szCs w:val="18"/>
          <w:color w:val="auto"/>
        </w:rPr>
      </w:pPr>
      <w:r>
        <w:rPr>
          <w:rFonts w:ascii="Arial" w:cs="Arial" w:eastAsia="Arial" w:hAnsi="Arial"/>
          <w:sz w:val="18"/>
          <w:szCs w:val="18"/>
          <w:color w:val="auto"/>
        </w:rPr>
        <w:t>15,086,900 shares directly owned by Reporting Person’s spouse, Dr. Sehat Sutardja (these shares are indirectly owned by Reporting Person);</w:t>
      </w:r>
    </w:p>
    <w:p>
      <w:pPr>
        <w:ind w:left="1620" w:hanging="923"/>
        <w:spacing w:after="0" w:line="250" w:lineRule="auto"/>
        <w:tabs>
          <w:tab w:leader="none" w:pos="1620" w:val="left"/>
        </w:tabs>
        <w:numPr>
          <w:ilvl w:val="0"/>
          <w:numId w:val="6"/>
        </w:numPr>
        <w:rPr>
          <w:rFonts w:ascii="Arial" w:cs="Arial" w:eastAsia="Arial" w:hAnsi="Arial"/>
          <w:sz w:val="18"/>
          <w:szCs w:val="18"/>
          <w:color w:val="auto"/>
        </w:rPr>
      </w:pPr>
      <w:r>
        <w:rPr>
          <w:rFonts w:ascii="Arial" w:cs="Arial" w:eastAsia="Arial" w:hAnsi="Arial"/>
          <w:sz w:val="18"/>
          <w:szCs w:val="18"/>
          <w:color w:val="auto"/>
        </w:rPr>
        <w:t>10,900,000 shares owned by The Sutardja Family Partners, a California family limited partnership (these shares are indirectly owned by Reporting Person);</w:t>
      </w:r>
    </w:p>
    <w:p>
      <w:pPr>
        <w:ind w:left="1620" w:hanging="923"/>
        <w:spacing w:after="0"/>
        <w:tabs>
          <w:tab w:leader="none" w:pos="1620" w:val="left"/>
        </w:tabs>
        <w:numPr>
          <w:ilvl w:val="0"/>
          <w:numId w:val="6"/>
        </w:numPr>
        <w:rPr>
          <w:rFonts w:ascii="Arial" w:cs="Arial" w:eastAsia="Arial" w:hAnsi="Arial"/>
          <w:sz w:val="18"/>
          <w:szCs w:val="18"/>
          <w:color w:val="auto"/>
        </w:rPr>
      </w:pPr>
      <w:r>
        <w:rPr>
          <w:rFonts w:ascii="Arial" w:cs="Arial" w:eastAsia="Arial" w:hAnsi="Arial"/>
          <w:sz w:val="18"/>
          <w:szCs w:val="18"/>
          <w:color w:val="auto"/>
        </w:rPr>
        <w:t>716,666 derivative securities directly owned by Reporting Person and exercisable on or at March 1, 2005;</w:t>
      </w:r>
    </w:p>
    <w:p>
      <w:pPr>
        <w:spacing w:after="0" w:line="9" w:lineRule="exact"/>
        <w:rPr>
          <w:rFonts w:ascii="Arial" w:cs="Arial" w:eastAsia="Arial" w:hAnsi="Arial"/>
          <w:sz w:val="18"/>
          <w:szCs w:val="18"/>
          <w:color w:val="auto"/>
        </w:rPr>
      </w:pPr>
    </w:p>
    <w:p>
      <w:pPr>
        <w:ind w:left="1620" w:right="220" w:hanging="923"/>
        <w:spacing w:after="0" w:line="250" w:lineRule="auto"/>
        <w:tabs>
          <w:tab w:leader="none" w:pos="1620" w:val="left"/>
        </w:tabs>
        <w:numPr>
          <w:ilvl w:val="0"/>
          <w:numId w:val="6"/>
        </w:numPr>
        <w:rPr>
          <w:rFonts w:ascii="Arial" w:cs="Arial" w:eastAsia="Arial" w:hAnsi="Arial"/>
          <w:sz w:val="18"/>
          <w:szCs w:val="18"/>
          <w:color w:val="auto"/>
        </w:rPr>
      </w:pPr>
      <w:r>
        <w:rPr>
          <w:rFonts w:ascii="Arial" w:cs="Arial" w:eastAsia="Arial" w:hAnsi="Arial"/>
          <w:sz w:val="18"/>
          <w:szCs w:val="18"/>
          <w:color w:val="auto"/>
        </w:rPr>
        <w:t>1,141,666 derivative securities directly owned by Reporting Person’s spouse, Dr. Sehat Sutardja and exercisable on or at March 1, 2005 (these securities are indirectly owned by Reporting Person); and</w:t>
      </w:r>
    </w:p>
    <w:p>
      <w:pPr>
        <w:ind w:left="1620" w:hanging="923"/>
        <w:spacing w:after="0"/>
        <w:tabs>
          <w:tab w:leader="none" w:pos="1620" w:val="left"/>
        </w:tabs>
        <w:numPr>
          <w:ilvl w:val="0"/>
          <w:numId w:val="6"/>
        </w:numPr>
        <w:rPr>
          <w:rFonts w:ascii="Arial" w:cs="Arial" w:eastAsia="Arial" w:hAnsi="Arial"/>
          <w:sz w:val="18"/>
          <w:szCs w:val="18"/>
          <w:color w:val="auto"/>
        </w:rPr>
      </w:pPr>
      <w:r>
        <w:rPr>
          <w:rFonts w:ascii="Arial" w:cs="Arial" w:eastAsia="Arial" w:hAnsi="Arial"/>
          <w:sz w:val="18"/>
          <w:szCs w:val="18"/>
          <w:color w:val="auto"/>
        </w:rPr>
        <w:t>182,224 shares directly owned by Reporting Person and her spouse, Dr. Sehat Sutardja.</w:t>
      </w:r>
    </w:p>
    <w:p>
      <w:pPr>
        <w:spacing w:after="0" w:line="21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(Share balances are from SEC Form 4 filed on October 5, 2004.)</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w:t>
      </w:r>
    </w:p>
    <w:p>
      <w:pPr>
        <w:spacing w:after="0" w:line="27" w:lineRule="exact"/>
        <w:rPr>
          <w:sz w:val="20"/>
          <w:szCs w:val="20"/>
          <w:color w:val="auto"/>
        </w:rPr>
      </w:pPr>
    </w:p>
    <w:p>
      <w:pPr>
        <w:ind w:left="1460" w:hanging="493"/>
        <w:spacing w:after="0"/>
        <w:tabs>
          <w:tab w:leader="none" w:pos="1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9" w:lineRule="exact"/>
        <w:rPr>
          <w:rFonts w:ascii="Arial" w:cs="Arial" w:eastAsia="Arial" w:hAnsi="Arial"/>
          <w:sz w:val="18"/>
          <w:szCs w:val="18"/>
          <w:color w:val="auto"/>
        </w:rPr>
      </w:pPr>
    </w:p>
    <w:p>
      <w:pPr>
        <w:ind w:left="146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9" w:lineRule="exact"/>
        <w:rPr>
          <w:rFonts w:ascii="Arial" w:cs="Arial" w:eastAsia="Arial" w:hAnsi="Arial"/>
          <w:sz w:val="18"/>
          <w:szCs w:val="18"/>
          <w:color w:val="auto"/>
        </w:rPr>
      </w:pPr>
    </w:p>
    <w:p>
      <w:pPr>
        <w:ind w:left="1460" w:right="6320" w:hanging="493"/>
        <w:spacing w:after="0" w:line="250" w:lineRule="auto"/>
        <w:tabs>
          <w:tab w:leader="none" w:pos="1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ind w:left="146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60" w:right="8460"/>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w:t>
      </w:r>
    </w:p>
    <w:p>
      <w:pPr>
        <w:spacing w:after="0" w:line="27" w:lineRule="exact"/>
        <w:rPr>
          <w:sz w:val="20"/>
          <w:szCs w:val="20"/>
          <w:color w:val="auto"/>
        </w:rPr>
      </w:pPr>
    </w:p>
    <w:p>
      <w:pPr>
        <w:ind w:left="1460" w:right="8100" w:hanging="493"/>
        <w:spacing w:after="0" w:line="250" w:lineRule="auto"/>
        <w:tabs>
          <w:tab w:leader="none" w:pos="1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Name of Person Filing Weili Dai</w:t>
      </w:r>
    </w:p>
    <w:p>
      <w:pPr>
        <w:ind w:left="1460" w:right="5460" w:hanging="493"/>
        <w:spacing w:after="0" w:line="250" w:lineRule="auto"/>
        <w:tabs>
          <w:tab w:leader="none" w:pos="1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ind w:left="1460" w:right="8140"/>
        <w:spacing w:after="0" w:line="281" w:lineRule="auto"/>
        <w:rPr>
          <w:rFonts w:ascii="Arial" w:cs="Arial" w:eastAsia="Arial" w:hAnsi="Arial"/>
          <w:sz w:val="18"/>
          <w:szCs w:val="18"/>
          <w:color w:val="auto"/>
        </w:rPr>
      </w:pPr>
      <w:r>
        <w:rPr>
          <w:rFonts w:ascii="Arial" w:cs="Arial" w:eastAsia="Arial" w:hAnsi="Arial"/>
          <w:sz w:val="16"/>
          <w:szCs w:val="16"/>
          <w:color w:val="auto"/>
        </w:rPr>
        <w:t>700 First Avenue Sunnyvale, CA 94089</w:t>
      </w:r>
    </w:p>
    <w:p>
      <w:pPr>
        <w:spacing w:after="0" w:line="1" w:lineRule="exact"/>
        <w:rPr>
          <w:rFonts w:ascii="Arial" w:cs="Arial" w:eastAsia="Arial" w:hAnsi="Arial"/>
          <w:sz w:val="18"/>
          <w:szCs w:val="18"/>
          <w:color w:val="auto"/>
        </w:rPr>
      </w:pPr>
    </w:p>
    <w:p>
      <w:pPr>
        <w:ind w:left="1460" w:right="8760" w:hanging="493"/>
        <w:spacing w:after="0" w:line="281" w:lineRule="auto"/>
        <w:tabs>
          <w:tab w:leader="none" w:pos="1460" w:val="left"/>
        </w:tabs>
        <w:numPr>
          <w:ilvl w:val="0"/>
          <w:numId w:val="8"/>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1" w:lineRule="exact"/>
        <w:rPr>
          <w:rFonts w:ascii="Arial" w:cs="Arial" w:eastAsia="Arial" w:hAnsi="Arial"/>
          <w:sz w:val="16"/>
          <w:szCs w:val="16"/>
          <w:color w:val="auto"/>
        </w:rPr>
      </w:pPr>
    </w:p>
    <w:p>
      <w:pPr>
        <w:ind w:left="1460" w:hanging="493"/>
        <w:spacing w:after="0"/>
        <w:tabs>
          <w:tab w:leader="none" w:pos="1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9" w:lineRule="exact"/>
        <w:rPr>
          <w:rFonts w:ascii="Arial" w:cs="Arial" w:eastAsia="Arial" w:hAnsi="Arial"/>
          <w:sz w:val="18"/>
          <w:szCs w:val="18"/>
          <w:color w:val="auto"/>
        </w:rPr>
      </w:pPr>
    </w:p>
    <w:p>
      <w:pPr>
        <w:ind w:left="1460"/>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9" w:lineRule="exact"/>
        <w:rPr>
          <w:rFonts w:ascii="Arial" w:cs="Arial" w:eastAsia="Arial" w:hAnsi="Arial"/>
          <w:sz w:val="18"/>
          <w:szCs w:val="18"/>
          <w:color w:val="auto"/>
        </w:rPr>
      </w:pPr>
    </w:p>
    <w:p>
      <w:pPr>
        <w:ind w:left="1460" w:right="8580" w:hanging="493"/>
        <w:spacing w:after="0" w:line="323" w:lineRule="auto"/>
        <w:tabs>
          <w:tab w:leader="none" w:pos="1460" w:val="left"/>
        </w:tabs>
        <w:numPr>
          <w:ilvl w:val="0"/>
          <w:numId w:val="8"/>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135"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If this statement is filed pursuant to §§240.13d-1(b) or 240.13d-2(b) or (c), check whether the person filing is a:</w:t>
      </w:r>
    </w:p>
    <w:p>
      <w:pPr>
        <w:spacing w:after="0" w:line="67" w:lineRule="exact"/>
        <w:rPr>
          <w:sz w:val="20"/>
          <w:szCs w:val="20"/>
          <w:color w:val="auto"/>
        </w:rPr>
      </w:pPr>
    </w:p>
    <w:p>
      <w:pPr>
        <w:ind w:left="1460" w:hanging="493"/>
        <w:spacing w:after="0"/>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Broker or dealer registered under section 15 of the Act (15 U.S.C. 78o).</w:t>
      </w:r>
    </w:p>
    <w:p>
      <w:pPr>
        <w:spacing w:after="0" w:line="117" w:lineRule="exact"/>
        <w:rPr>
          <w:rFonts w:ascii="Arial" w:cs="Arial" w:eastAsia="Arial" w:hAnsi="Arial"/>
          <w:sz w:val="18"/>
          <w:szCs w:val="18"/>
          <w:color w:val="auto"/>
        </w:rPr>
      </w:pPr>
    </w:p>
    <w:p>
      <w:pPr>
        <w:ind w:left="1460" w:hanging="493"/>
        <w:spacing w:after="0"/>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Bank as defined in section 3(a)(6) of the Act (15 U.S.C. 78c).</w:t>
      </w:r>
    </w:p>
    <w:p>
      <w:pPr>
        <w:spacing w:after="0" w:line="117" w:lineRule="exact"/>
        <w:rPr>
          <w:rFonts w:ascii="Arial" w:cs="Arial" w:eastAsia="Arial" w:hAnsi="Arial"/>
          <w:sz w:val="18"/>
          <w:szCs w:val="18"/>
          <w:color w:val="auto"/>
        </w:rPr>
      </w:pPr>
    </w:p>
    <w:p>
      <w:pPr>
        <w:ind w:left="1460" w:hanging="493"/>
        <w:spacing w:after="0"/>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Insurance company as defined in section 3(a)(19) of the Act (15 U.S.C. 78c).</w:t>
      </w:r>
    </w:p>
    <w:p>
      <w:pPr>
        <w:spacing w:after="0" w:line="117" w:lineRule="exact"/>
        <w:rPr>
          <w:rFonts w:ascii="Arial" w:cs="Arial" w:eastAsia="Arial" w:hAnsi="Arial"/>
          <w:sz w:val="18"/>
          <w:szCs w:val="18"/>
          <w:color w:val="auto"/>
        </w:rPr>
      </w:pPr>
    </w:p>
    <w:p>
      <w:pPr>
        <w:ind w:left="1460" w:hanging="493"/>
        <w:spacing w:after="0"/>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Investment company registered under section 8 of the Investment Company Act of 1940 (15 U.S.C 80a-8).</w:t>
      </w:r>
    </w:p>
    <w:p>
      <w:pPr>
        <w:spacing w:after="0" w:line="117" w:lineRule="exact"/>
        <w:rPr>
          <w:rFonts w:ascii="Arial" w:cs="Arial" w:eastAsia="Arial" w:hAnsi="Arial"/>
          <w:sz w:val="18"/>
          <w:szCs w:val="18"/>
          <w:color w:val="auto"/>
        </w:rPr>
      </w:pPr>
    </w:p>
    <w:p>
      <w:pPr>
        <w:ind w:left="1460" w:hanging="493"/>
        <w:spacing w:after="0"/>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investment adviser in accordance with §240.13d-1(b)(1)(ii)(E);</w:t>
      </w:r>
    </w:p>
    <w:p>
      <w:pPr>
        <w:spacing w:after="0" w:line="117" w:lineRule="exact"/>
        <w:rPr>
          <w:rFonts w:ascii="Arial" w:cs="Arial" w:eastAsia="Arial" w:hAnsi="Arial"/>
          <w:sz w:val="18"/>
          <w:szCs w:val="18"/>
          <w:color w:val="auto"/>
        </w:rPr>
      </w:pPr>
    </w:p>
    <w:p>
      <w:pPr>
        <w:ind w:left="1460" w:hanging="493"/>
        <w:spacing w:after="0"/>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employee benefit plan or endowment fund in accordance with §240.13d-1(b)(1)(ii)(F);</w:t>
      </w:r>
    </w:p>
    <w:p>
      <w:pPr>
        <w:spacing w:after="0" w:line="117" w:lineRule="exact"/>
        <w:rPr>
          <w:rFonts w:ascii="Arial" w:cs="Arial" w:eastAsia="Arial" w:hAnsi="Arial"/>
          <w:sz w:val="18"/>
          <w:szCs w:val="18"/>
          <w:color w:val="auto"/>
        </w:rPr>
      </w:pPr>
    </w:p>
    <w:p>
      <w:pPr>
        <w:ind w:left="1460" w:hanging="493"/>
        <w:spacing w:after="0"/>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parent holding company or control person in accordance with § 240.13d-1(b)(1)(ii)(G);</w:t>
      </w:r>
    </w:p>
    <w:p>
      <w:pPr>
        <w:spacing w:after="0" w:line="117" w:lineRule="exact"/>
        <w:rPr>
          <w:rFonts w:ascii="Arial" w:cs="Arial" w:eastAsia="Arial" w:hAnsi="Arial"/>
          <w:sz w:val="18"/>
          <w:szCs w:val="18"/>
          <w:color w:val="auto"/>
        </w:rPr>
      </w:pPr>
    </w:p>
    <w:p>
      <w:pPr>
        <w:ind w:left="1460" w:hanging="493"/>
        <w:spacing w:after="0"/>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savings associations as defined in Section 3(b) of the Federal Deposit Insurance Act (12 U.S.C. 1813);</w:t>
      </w:r>
    </w:p>
    <w:p>
      <w:pPr>
        <w:spacing w:after="0" w:line="117" w:lineRule="exact"/>
        <w:rPr>
          <w:rFonts w:ascii="Arial" w:cs="Arial" w:eastAsia="Arial" w:hAnsi="Arial"/>
          <w:sz w:val="18"/>
          <w:szCs w:val="18"/>
          <w:color w:val="auto"/>
        </w:rPr>
      </w:pPr>
    </w:p>
    <w:p>
      <w:pPr>
        <w:ind w:left="1960" w:hanging="993"/>
        <w:spacing w:after="0" w:line="277" w:lineRule="auto"/>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oA church plan that is excluded from the definition of an investment company under section 3(c)(14) of the Investment Company Act of 1940 (15 U.S.C. 80a-3);</w:t>
      </w:r>
    </w:p>
    <w:p>
      <w:pPr>
        <w:spacing w:after="0" w:line="62" w:lineRule="exact"/>
        <w:rPr>
          <w:rFonts w:ascii="Arial" w:cs="Arial" w:eastAsia="Arial" w:hAnsi="Arial"/>
          <w:sz w:val="18"/>
          <w:szCs w:val="18"/>
          <w:color w:val="auto"/>
        </w:rPr>
      </w:pPr>
    </w:p>
    <w:p>
      <w:pPr>
        <w:ind w:left="1460" w:hanging="493"/>
        <w:spacing w:after="0"/>
        <w:tabs>
          <w:tab w:leader="none" w:pos="1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Group, in accordance with §240.13d-1(b)(1)(ii)(J).</w:t>
      </w:r>
    </w:p>
    <w:p>
      <w:pPr>
        <w:spacing w:after="0" w:line="63" w:lineRule="exact"/>
        <w:rPr>
          <w:sz w:val="20"/>
          <w:szCs w:val="20"/>
          <w:color w:val="auto"/>
        </w:rPr>
      </w:pPr>
    </w:p>
    <w:p>
      <w:pPr>
        <w:ind w:left="96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Ownership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49" w:lineRule="exact"/>
        <w:rPr>
          <w:sz w:val="20"/>
          <w:szCs w:val="20"/>
          <w:color w:val="auto"/>
        </w:rPr>
      </w:pPr>
    </w:p>
    <w:p>
      <w:pPr>
        <w:ind w:left="1600" w:hanging="334"/>
        <w:spacing w:after="0"/>
        <w:tabs>
          <w:tab w:leader="none" w:pos="16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2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43,114,356 shares.*</w:t>
      </w:r>
    </w:p>
    <w:p>
      <w:pPr>
        <w:spacing w:after="0" w:line="102" w:lineRule="exact"/>
        <w:rPr>
          <w:rFonts w:ascii="Arial" w:cs="Arial" w:eastAsia="Arial" w:hAnsi="Arial"/>
          <w:sz w:val="18"/>
          <w:szCs w:val="18"/>
          <w:color w:val="auto"/>
        </w:rPr>
      </w:pPr>
    </w:p>
    <w:p>
      <w:pPr>
        <w:ind w:left="1600" w:hanging="340"/>
        <w:spacing w:after="0"/>
        <w:tabs>
          <w:tab w:leader="none" w:pos="16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2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15.7 %.</w:t>
      </w:r>
    </w:p>
    <w:p>
      <w:pPr>
        <w:spacing w:after="0" w:line="102" w:lineRule="exact"/>
        <w:rPr>
          <w:rFonts w:ascii="Arial" w:cs="Arial" w:eastAsia="Arial" w:hAnsi="Arial"/>
          <w:sz w:val="18"/>
          <w:szCs w:val="18"/>
          <w:color w:val="auto"/>
        </w:rPr>
      </w:pPr>
    </w:p>
    <w:p>
      <w:pPr>
        <w:ind w:left="1600" w:hanging="334"/>
        <w:spacing w:after="0"/>
        <w:tabs>
          <w:tab w:leader="none" w:pos="16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333" w:lineRule="exact"/>
        <w:rPr>
          <w:rFonts w:ascii="Arial" w:cs="Arial" w:eastAsia="Arial" w:hAnsi="Arial"/>
          <w:sz w:val="18"/>
          <w:szCs w:val="18"/>
          <w:color w:val="auto"/>
        </w:rPr>
      </w:pPr>
    </w:p>
    <w:p>
      <w:pPr>
        <w:ind w:left="2220" w:hanging="393"/>
        <w:spacing w:after="0"/>
        <w:tabs>
          <w:tab w:leader="none" w:pos="2220" w:val="left"/>
        </w:tabs>
        <w:numPr>
          <w:ilvl w:val="1"/>
          <w:numId w:val="10"/>
        </w:numPr>
        <w:rPr>
          <w:rFonts w:ascii="Arial" w:cs="Arial" w:eastAsia="Arial" w:hAnsi="Arial"/>
          <w:sz w:val="18"/>
          <w:szCs w:val="18"/>
          <w:color w:val="auto"/>
        </w:rPr>
      </w:pPr>
      <w:r>
        <w:rPr>
          <w:rFonts w:ascii="Arial" w:cs="Arial" w:eastAsia="Arial" w:hAnsi="Arial"/>
          <w:sz w:val="18"/>
          <w:szCs w:val="18"/>
          <w:color w:val="auto"/>
        </w:rPr>
        <w:t>Sole power to vote or to direct the vote</w:t>
      </w:r>
    </w:p>
    <w:p>
      <w:pPr>
        <w:sectPr>
          <w:pgSz w:w="11900" w:h="16838" w:orient="portrait"/>
          <w:cols w:equalWidth="0" w:num="1">
            <w:col w:w="11200"/>
          </w:cols>
          <w:pgMar w:left="240" w:top="125" w:right="459" w:bottom="0" w:gutter="0" w:footer="0" w:header="0"/>
        </w:sectPr>
      </w:pPr>
    </w:p>
    <w:bookmarkStart w:id="2" w:name="page3"/>
    <w:bookmarkEnd w:id="2"/>
    <w:p>
      <w:pPr>
        <w:ind w:left="2220"/>
        <w:spacing w:after="0"/>
        <w:rPr>
          <w:sz w:val="20"/>
          <w:szCs w:val="20"/>
          <w:color w:val="auto"/>
        </w:rPr>
      </w:pPr>
      <w:r>
        <w:rPr>
          <w:rFonts w:ascii="Arial" w:cs="Arial" w:eastAsia="Arial" w:hAnsi="Arial"/>
          <w:sz w:val="18"/>
          <w:szCs w:val="18"/>
          <w:color w:val="auto"/>
        </w:rPr>
        <w:t>0 shares.</w:t>
      </w:r>
    </w:p>
    <w:p>
      <w:pPr>
        <w:spacing w:after="0" w:line="117" w:lineRule="exact"/>
        <w:rPr>
          <w:sz w:val="20"/>
          <w:szCs w:val="20"/>
          <w:color w:val="auto"/>
        </w:rPr>
      </w:pPr>
    </w:p>
    <w:p>
      <w:pPr>
        <w:ind w:left="2220" w:right="6220" w:hanging="418"/>
        <w:spacing w:after="0" w:line="277" w:lineRule="auto"/>
        <w:tabs>
          <w:tab w:leader="none" w:pos="22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Shared power to vote or to direct the vote 43,114,356 shares. *</w:t>
      </w:r>
    </w:p>
    <w:p>
      <w:pPr>
        <w:spacing w:after="0" w:line="62" w:lineRule="exact"/>
        <w:rPr>
          <w:sz w:val="20"/>
          <w:szCs w:val="20"/>
          <w:color w:val="auto"/>
        </w:rPr>
      </w:pPr>
    </w:p>
    <w:p>
      <w:pPr>
        <w:ind w:left="2220" w:right="5500" w:hanging="443"/>
        <w:spacing w:after="0" w:line="277" w:lineRule="auto"/>
        <w:tabs>
          <w:tab w:leader="none" w:pos="2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62" w:lineRule="exact"/>
        <w:rPr>
          <w:rFonts w:ascii="Arial" w:cs="Arial" w:eastAsia="Arial" w:hAnsi="Arial"/>
          <w:sz w:val="18"/>
          <w:szCs w:val="18"/>
          <w:color w:val="auto"/>
        </w:rPr>
      </w:pPr>
    </w:p>
    <w:p>
      <w:pPr>
        <w:ind w:left="2220" w:right="5320" w:hanging="438"/>
        <w:spacing w:after="0" w:line="277" w:lineRule="auto"/>
        <w:tabs>
          <w:tab w:leader="none" w:pos="2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43,114,356 shares.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716915</wp:posOffset>
            </wp:positionH>
            <wp:positionV relativeFrom="paragraph">
              <wp:posOffset>66040</wp:posOffset>
            </wp:positionV>
            <wp:extent cx="165544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655445" cy="8890"/>
                    </a:xfrm>
                    <a:prstGeom prst="rect">
                      <a:avLst/>
                    </a:prstGeom>
                    <a:noFill/>
                  </pic:spPr>
                </pic:pic>
              </a:graphicData>
            </a:graphic>
          </wp:anchor>
        </w:drawing>
      </w:r>
    </w:p>
    <w:p>
      <w:pPr>
        <w:spacing w:after="0" w:line="177"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*Reporting Person shares dispositive and voting control over the following shares:</w:t>
      </w:r>
    </w:p>
    <w:p>
      <w:pPr>
        <w:spacing w:after="0" w:line="225" w:lineRule="exact"/>
        <w:rPr>
          <w:sz w:val="20"/>
          <w:szCs w:val="20"/>
          <w:color w:val="auto"/>
        </w:rPr>
      </w:pPr>
    </w:p>
    <w:p>
      <w:pPr>
        <w:ind w:left="2540" w:hanging="770"/>
        <w:spacing w:after="0"/>
        <w:tabs>
          <w:tab w:leader="none" w:pos="2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15,086,900 shares directly owned by Reporting Person;</w:t>
      </w:r>
    </w:p>
    <w:p>
      <w:pPr>
        <w:spacing w:after="0" w:line="23" w:lineRule="exact"/>
        <w:rPr>
          <w:rFonts w:ascii="Arial" w:cs="Arial" w:eastAsia="Arial" w:hAnsi="Arial"/>
          <w:sz w:val="18"/>
          <w:szCs w:val="18"/>
          <w:color w:val="auto"/>
        </w:rPr>
      </w:pPr>
    </w:p>
    <w:p>
      <w:pPr>
        <w:ind w:left="2540" w:right="160" w:hanging="770"/>
        <w:spacing w:after="0" w:line="250" w:lineRule="auto"/>
        <w:tabs>
          <w:tab w:leader="none" w:pos="2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15,086,900 shares directly owned by Reporting Person’s spouse, Dr. Sehat Sutardja (these shares are indirectly owned by Reporting Person);</w:t>
      </w:r>
    </w:p>
    <w:p>
      <w:pPr>
        <w:ind w:left="2540" w:right="580" w:hanging="770"/>
        <w:spacing w:after="0" w:line="250" w:lineRule="auto"/>
        <w:tabs>
          <w:tab w:leader="none" w:pos="2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10,900,000 shares owned by The Sutardja Family Partners, a California family limited partnership (these shares are indirectly owned by Reporting Person);</w:t>
      </w:r>
    </w:p>
    <w:p>
      <w:pPr>
        <w:ind w:left="2540" w:hanging="770"/>
        <w:spacing w:after="0"/>
        <w:tabs>
          <w:tab w:leader="none" w:pos="2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716,666 derivative securities directly owned by Reporting Person and exercisable on or at March 1, 2005;</w:t>
      </w:r>
    </w:p>
    <w:p>
      <w:pPr>
        <w:spacing w:after="0" w:line="9" w:lineRule="exact"/>
        <w:rPr>
          <w:rFonts w:ascii="Arial" w:cs="Arial" w:eastAsia="Arial" w:hAnsi="Arial"/>
          <w:sz w:val="18"/>
          <w:szCs w:val="18"/>
          <w:color w:val="auto"/>
        </w:rPr>
      </w:pPr>
    </w:p>
    <w:p>
      <w:pPr>
        <w:ind w:left="2540" w:right="220" w:hanging="770"/>
        <w:spacing w:after="0" w:line="250" w:lineRule="auto"/>
        <w:tabs>
          <w:tab w:leader="none" w:pos="2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1,141,666 derivative securities directly owned by Reporting Person’s spouse, Dr. Sehat Sutardja and exercisable on or at March 1, 2005 (these securities are indirectly owned by Reporting Person); and</w:t>
      </w:r>
    </w:p>
    <w:p>
      <w:pPr>
        <w:ind w:left="2540" w:hanging="770"/>
        <w:spacing w:after="0"/>
        <w:tabs>
          <w:tab w:leader="none" w:pos="2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182,224 shares directly owned by Reporting Person and her spouse, Dr. Sehat Sutardja.</w:t>
      </w:r>
    </w:p>
    <w:p>
      <w:pPr>
        <w:spacing w:after="0" w:line="211" w:lineRule="exact"/>
        <w:rPr>
          <w:sz w:val="20"/>
          <w:szCs w:val="20"/>
          <w:color w:val="auto"/>
        </w:rPr>
      </w:pPr>
    </w:p>
    <w:p>
      <w:pPr>
        <w:ind w:left="1460"/>
        <w:spacing w:after="0"/>
        <w:rPr>
          <w:sz w:val="20"/>
          <w:szCs w:val="20"/>
          <w:color w:val="auto"/>
        </w:rPr>
      </w:pPr>
      <w:r>
        <w:rPr>
          <w:rFonts w:ascii="Arial" w:cs="Arial" w:eastAsia="Arial" w:hAnsi="Arial"/>
          <w:sz w:val="18"/>
          <w:szCs w:val="18"/>
          <w:color w:val="auto"/>
        </w:rPr>
        <w:t>(Share balances are from SEC Form 4 filed on October 5, 2004.)</w:t>
      </w:r>
    </w:p>
    <w:p>
      <w:pPr>
        <w:spacing w:after="0" w:line="221"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Ownership of Five Percent or Less of a Class</w:t>
      </w:r>
    </w:p>
    <w:p>
      <w:pPr>
        <w:spacing w:after="0" w:line="27" w:lineRule="exact"/>
        <w:rPr>
          <w:sz w:val="20"/>
          <w:szCs w:val="20"/>
          <w:color w:val="auto"/>
        </w:rPr>
      </w:pPr>
    </w:p>
    <w:p>
      <w:pPr>
        <w:ind w:right="140"/>
        <w:spacing w:after="0" w:line="261" w:lineRule="auto"/>
        <w:rPr>
          <w:sz w:val="20"/>
          <w:szCs w:val="20"/>
          <w:color w:val="auto"/>
        </w:rPr>
      </w:pPr>
      <w:r>
        <w:rPr>
          <w:rFonts w:ascii="Arial" w:cs="Arial" w:eastAsia="Arial" w:hAnsi="Arial"/>
          <w:sz w:val="18"/>
          <w:szCs w:val="18"/>
          <w:color w:val="auto"/>
        </w:rPr>
        <w:t>If this statement is being filed to report the fact that as of the date hereof the reporting person has ceased to be the beneficial owner of more than five percent of the class of securities, check the following o.</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780" w:type="dxa"/>
            <w:vAlign w:val="bottom"/>
          </w:tcPr>
          <w:p>
            <w:pPr>
              <w:spacing w:after="0"/>
              <w:rPr>
                <w:sz w:val="20"/>
                <w:szCs w:val="20"/>
                <w:color w:val="auto"/>
              </w:rPr>
            </w:pPr>
            <w:r>
              <w:rPr>
                <w:rFonts w:ascii="Arial" w:cs="Arial" w:eastAsia="Arial" w:hAnsi="Arial"/>
                <w:sz w:val="18"/>
                <w:szCs w:val="18"/>
                <w:b w:val="1"/>
                <w:bCs w:val="1"/>
                <w:color w:val="auto"/>
              </w:rPr>
              <w:t>Item 6.</w:t>
            </w:r>
          </w:p>
        </w:tc>
        <w:tc>
          <w:tcPr>
            <w:tcW w:w="10660" w:type="dxa"/>
            <w:vAlign w:val="bottom"/>
          </w:tcPr>
          <w:p>
            <w:pPr>
              <w:ind w:left="340"/>
              <w:spacing w:after="0"/>
              <w:rPr>
                <w:sz w:val="20"/>
                <w:szCs w:val="20"/>
                <w:color w:val="auto"/>
              </w:rPr>
            </w:pPr>
            <w:r>
              <w:rPr>
                <w:rFonts w:ascii="Arial" w:cs="Arial" w:eastAsia="Arial" w:hAnsi="Arial"/>
                <w:sz w:val="18"/>
                <w:szCs w:val="18"/>
                <w:b w:val="1"/>
                <w:bCs w:val="1"/>
                <w:color w:val="auto"/>
              </w:rPr>
              <w:t>Ownership of More than Five Percent on Behalf of Another Person</w:t>
            </w:r>
          </w:p>
        </w:tc>
      </w:tr>
      <w:tr>
        <w:trPr>
          <w:trHeight w:val="230"/>
        </w:trPr>
        <w:tc>
          <w:tcPr>
            <w:tcW w:w="780" w:type="dxa"/>
            <w:vAlign w:val="bottom"/>
          </w:tcPr>
          <w:p>
            <w:pPr>
              <w:spacing w:after="0"/>
              <w:rPr>
                <w:sz w:val="20"/>
                <w:szCs w:val="20"/>
                <w:color w:val="auto"/>
              </w:rPr>
            </w:pPr>
          </w:p>
        </w:tc>
        <w:tc>
          <w:tcPr>
            <w:tcW w:w="10660" w:type="dxa"/>
            <w:vAlign w:val="bottom"/>
          </w:tcPr>
          <w:p>
            <w:pPr>
              <w:ind w:left="140"/>
              <w:spacing w:after="0"/>
              <w:rPr>
                <w:sz w:val="20"/>
                <w:szCs w:val="20"/>
                <w:color w:val="auto"/>
              </w:rPr>
            </w:pPr>
            <w:r>
              <w:rPr>
                <w:rFonts w:ascii="Arial" w:cs="Arial" w:eastAsia="Arial" w:hAnsi="Arial"/>
                <w:sz w:val="18"/>
                <w:szCs w:val="18"/>
                <w:color w:val="auto"/>
              </w:rPr>
              <w:t>Not applicable.</w:t>
            </w:r>
          </w:p>
        </w:tc>
      </w:tr>
      <w:tr>
        <w:trPr>
          <w:trHeight w:val="414"/>
        </w:trPr>
        <w:tc>
          <w:tcPr>
            <w:tcW w:w="780" w:type="dxa"/>
            <w:vAlign w:val="bottom"/>
          </w:tcPr>
          <w:p>
            <w:pPr>
              <w:spacing w:after="0"/>
              <w:rPr>
                <w:sz w:val="20"/>
                <w:szCs w:val="20"/>
                <w:color w:val="auto"/>
              </w:rPr>
            </w:pPr>
            <w:r>
              <w:rPr>
                <w:rFonts w:ascii="Arial" w:cs="Arial" w:eastAsia="Arial" w:hAnsi="Arial"/>
                <w:sz w:val="18"/>
                <w:szCs w:val="18"/>
                <w:b w:val="1"/>
                <w:bCs w:val="1"/>
                <w:color w:val="auto"/>
              </w:rPr>
              <w:t>Item 7.</w:t>
            </w:r>
          </w:p>
        </w:tc>
        <w:tc>
          <w:tcPr>
            <w:tcW w:w="10660" w:type="dxa"/>
            <w:vAlign w:val="bottom"/>
          </w:tcPr>
          <w:p>
            <w:pPr>
              <w:ind w:left="340"/>
              <w:spacing w:after="0"/>
              <w:rPr>
                <w:sz w:val="20"/>
                <w:szCs w:val="20"/>
                <w:color w:val="auto"/>
              </w:rPr>
            </w:pPr>
            <w:r>
              <w:rPr>
                <w:rFonts w:ascii="Arial" w:cs="Arial" w:eastAsia="Arial" w:hAnsi="Arial"/>
                <w:sz w:val="18"/>
                <w:szCs w:val="18"/>
                <w:b w:val="1"/>
                <w:bCs w:val="1"/>
                <w:color w:val="auto"/>
                <w:w w:val="92"/>
              </w:rPr>
              <w:t>Identification and Classification of the Subsidiary Which Acquired the Security Being Reported on By the Parent Holding Company</w:t>
            </w:r>
          </w:p>
        </w:tc>
      </w:tr>
      <w:tr>
        <w:trPr>
          <w:trHeight w:val="220"/>
        </w:trPr>
        <w:tc>
          <w:tcPr>
            <w:tcW w:w="780" w:type="dxa"/>
            <w:vAlign w:val="bottom"/>
          </w:tcPr>
          <w:p>
            <w:pPr>
              <w:spacing w:after="0"/>
              <w:rPr>
                <w:sz w:val="19"/>
                <w:szCs w:val="19"/>
                <w:color w:val="auto"/>
              </w:rPr>
            </w:pPr>
          </w:p>
        </w:tc>
        <w:tc>
          <w:tcPr>
            <w:tcW w:w="10660" w:type="dxa"/>
            <w:vAlign w:val="bottom"/>
          </w:tcPr>
          <w:p>
            <w:pPr>
              <w:ind w:left="340"/>
              <w:spacing w:after="0"/>
              <w:rPr>
                <w:sz w:val="20"/>
                <w:szCs w:val="20"/>
                <w:color w:val="auto"/>
              </w:rPr>
            </w:pPr>
            <w:r>
              <w:rPr>
                <w:rFonts w:ascii="Arial" w:cs="Arial" w:eastAsia="Arial" w:hAnsi="Arial"/>
                <w:sz w:val="18"/>
                <w:szCs w:val="18"/>
                <w:b w:val="1"/>
                <w:bCs w:val="1"/>
                <w:color w:val="auto"/>
              </w:rPr>
              <w:t>or Control Person</w:t>
            </w:r>
          </w:p>
        </w:tc>
      </w:tr>
      <w:tr>
        <w:trPr>
          <w:trHeight w:val="230"/>
        </w:trPr>
        <w:tc>
          <w:tcPr>
            <w:tcW w:w="780" w:type="dxa"/>
            <w:vAlign w:val="bottom"/>
          </w:tcPr>
          <w:p>
            <w:pPr>
              <w:spacing w:after="0"/>
              <w:rPr>
                <w:sz w:val="20"/>
                <w:szCs w:val="20"/>
                <w:color w:val="auto"/>
              </w:rPr>
            </w:pPr>
          </w:p>
        </w:tc>
        <w:tc>
          <w:tcPr>
            <w:tcW w:w="10660" w:type="dxa"/>
            <w:vAlign w:val="bottom"/>
          </w:tcPr>
          <w:p>
            <w:pPr>
              <w:ind w:left="140"/>
              <w:spacing w:after="0"/>
              <w:rPr>
                <w:sz w:val="20"/>
                <w:szCs w:val="20"/>
                <w:color w:val="auto"/>
              </w:rPr>
            </w:pPr>
            <w:r>
              <w:rPr>
                <w:rFonts w:ascii="Arial" w:cs="Arial" w:eastAsia="Arial" w:hAnsi="Arial"/>
                <w:sz w:val="18"/>
                <w:szCs w:val="18"/>
                <w:color w:val="auto"/>
              </w:rPr>
              <w:t>Not applicable.</w:t>
            </w:r>
          </w:p>
        </w:tc>
      </w:tr>
      <w:tr>
        <w:trPr>
          <w:trHeight w:val="418"/>
        </w:trPr>
        <w:tc>
          <w:tcPr>
            <w:tcW w:w="780" w:type="dxa"/>
            <w:vAlign w:val="bottom"/>
          </w:tcPr>
          <w:p>
            <w:pPr>
              <w:spacing w:after="0"/>
              <w:rPr>
                <w:sz w:val="20"/>
                <w:szCs w:val="20"/>
                <w:color w:val="auto"/>
              </w:rPr>
            </w:pPr>
            <w:r>
              <w:rPr>
                <w:rFonts w:ascii="Arial" w:cs="Arial" w:eastAsia="Arial" w:hAnsi="Arial"/>
                <w:sz w:val="18"/>
                <w:szCs w:val="18"/>
                <w:b w:val="1"/>
                <w:bCs w:val="1"/>
                <w:color w:val="auto"/>
              </w:rPr>
              <w:t>Item 8.</w:t>
            </w:r>
          </w:p>
        </w:tc>
        <w:tc>
          <w:tcPr>
            <w:tcW w:w="10660" w:type="dxa"/>
            <w:vAlign w:val="bottom"/>
          </w:tcPr>
          <w:p>
            <w:pPr>
              <w:ind w:left="340"/>
              <w:spacing w:after="0"/>
              <w:rPr>
                <w:sz w:val="20"/>
                <w:szCs w:val="20"/>
                <w:color w:val="auto"/>
              </w:rPr>
            </w:pPr>
            <w:r>
              <w:rPr>
                <w:rFonts w:ascii="Arial" w:cs="Arial" w:eastAsia="Arial" w:hAnsi="Arial"/>
                <w:sz w:val="18"/>
                <w:szCs w:val="18"/>
                <w:b w:val="1"/>
                <w:bCs w:val="1"/>
                <w:color w:val="auto"/>
              </w:rPr>
              <w:t>Identification and Classification of Members of the Group</w:t>
            </w:r>
          </w:p>
        </w:tc>
      </w:tr>
      <w:tr>
        <w:trPr>
          <w:trHeight w:val="230"/>
        </w:trPr>
        <w:tc>
          <w:tcPr>
            <w:tcW w:w="780" w:type="dxa"/>
            <w:vAlign w:val="bottom"/>
          </w:tcPr>
          <w:p>
            <w:pPr>
              <w:spacing w:after="0"/>
              <w:rPr>
                <w:sz w:val="20"/>
                <w:szCs w:val="20"/>
                <w:color w:val="auto"/>
              </w:rPr>
            </w:pPr>
          </w:p>
        </w:tc>
        <w:tc>
          <w:tcPr>
            <w:tcW w:w="10660" w:type="dxa"/>
            <w:vAlign w:val="bottom"/>
          </w:tcPr>
          <w:p>
            <w:pPr>
              <w:ind w:left="140"/>
              <w:spacing w:after="0"/>
              <w:rPr>
                <w:sz w:val="20"/>
                <w:szCs w:val="20"/>
                <w:color w:val="auto"/>
              </w:rPr>
            </w:pPr>
            <w:r>
              <w:rPr>
                <w:rFonts w:ascii="Arial" w:cs="Arial" w:eastAsia="Arial" w:hAnsi="Arial"/>
                <w:sz w:val="18"/>
                <w:szCs w:val="18"/>
                <w:color w:val="auto"/>
              </w:rPr>
              <w:t>Not applicable.</w:t>
            </w:r>
          </w:p>
        </w:tc>
      </w:tr>
      <w:tr>
        <w:trPr>
          <w:trHeight w:val="418"/>
        </w:trPr>
        <w:tc>
          <w:tcPr>
            <w:tcW w:w="780" w:type="dxa"/>
            <w:vAlign w:val="bottom"/>
          </w:tcPr>
          <w:p>
            <w:pPr>
              <w:spacing w:after="0"/>
              <w:rPr>
                <w:sz w:val="20"/>
                <w:szCs w:val="20"/>
                <w:color w:val="auto"/>
              </w:rPr>
            </w:pPr>
            <w:r>
              <w:rPr>
                <w:rFonts w:ascii="Arial" w:cs="Arial" w:eastAsia="Arial" w:hAnsi="Arial"/>
                <w:sz w:val="18"/>
                <w:szCs w:val="18"/>
                <w:b w:val="1"/>
                <w:bCs w:val="1"/>
                <w:color w:val="auto"/>
              </w:rPr>
              <w:t>Item 9.</w:t>
            </w:r>
          </w:p>
        </w:tc>
        <w:tc>
          <w:tcPr>
            <w:tcW w:w="10660" w:type="dxa"/>
            <w:vAlign w:val="bottom"/>
          </w:tcPr>
          <w:p>
            <w:pPr>
              <w:ind w:left="340"/>
              <w:spacing w:after="0"/>
              <w:rPr>
                <w:sz w:val="20"/>
                <w:szCs w:val="20"/>
                <w:color w:val="auto"/>
              </w:rPr>
            </w:pPr>
            <w:r>
              <w:rPr>
                <w:rFonts w:ascii="Arial" w:cs="Arial" w:eastAsia="Arial" w:hAnsi="Arial"/>
                <w:sz w:val="18"/>
                <w:szCs w:val="18"/>
                <w:b w:val="1"/>
                <w:bCs w:val="1"/>
                <w:color w:val="auto"/>
              </w:rPr>
              <w:t>Notice of Dissolution of Group</w:t>
            </w:r>
          </w:p>
        </w:tc>
      </w:tr>
      <w:tr>
        <w:trPr>
          <w:trHeight w:val="230"/>
        </w:trPr>
        <w:tc>
          <w:tcPr>
            <w:tcW w:w="780" w:type="dxa"/>
            <w:vAlign w:val="bottom"/>
          </w:tcPr>
          <w:p>
            <w:pPr>
              <w:spacing w:after="0"/>
              <w:rPr>
                <w:sz w:val="20"/>
                <w:szCs w:val="20"/>
                <w:color w:val="auto"/>
              </w:rPr>
            </w:pPr>
          </w:p>
        </w:tc>
        <w:tc>
          <w:tcPr>
            <w:tcW w:w="10660" w:type="dxa"/>
            <w:vAlign w:val="bottom"/>
          </w:tcPr>
          <w:p>
            <w:pPr>
              <w:ind w:left="140"/>
              <w:spacing w:after="0"/>
              <w:rPr>
                <w:sz w:val="20"/>
                <w:szCs w:val="20"/>
                <w:color w:val="auto"/>
              </w:rPr>
            </w:pPr>
            <w:r>
              <w:rPr>
                <w:rFonts w:ascii="Arial" w:cs="Arial" w:eastAsia="Arial" w:hAnsi="Arial"/>
                <w:sz w:val="18"/>
                <w:szCs w:val="18"/>
                <w:color w:val="auto"/>
              </w:rPr>
              <w:t>Not applicable.</w:t>
            </w:r>
          </w:p>
        </w:tc>
      </w:tr>
      <w:tr>
        <w:trPr>
          <w:trHeight w:val="418"/>
        </w:trPr>
        <w:tc>
          <w:tcPr>
            <w:tcW w:w="780" w:type="dxa"/>
            <w:vAlign w:val="bottom"/>
          </w:tcPr>
          <w:p>
            <w:pPr>
              <w:spacing w:after="0"/>
              <w:rPr>
                <w:sz w:val="20"/>
                <w:szCs w:val="20"/>
                <w:color w:val="auto"/>
              </w:rPr>
            </w:pPr>
            <w:r>
              <w:rPr>
                <w:rFonts w:ascii="Arial" w:cs="Arial" w:eastAsia="Arial" w:hAnsi="Arial"/>
                <w:sz w:val="18"/>
                <w:szCs w:val="18"/>
                <w:b w:val="1"/>
                <w:bCs w:val="1"/>
                <w:color w:val="auto"/>
              </w:rPr>
              <w:t>Item 10.</w:t>
            </w:r>
          </w:p>
        </w:tc>
        <w:tc>
          <w:tcPr>
            <w:tcW w:w="10660" w:type="dxa"/>
            <w:vAlign w:val="bottom"/>
          </w:tcPr>
          <w:p>
            <w:pPr>
              <w:ind w:left="340"/>
              <w:spacing w:after="0"/>
              <w:rPr>
                <w:sz w:val="20"/>
                <w:szCs w:val="20"/>
                <w:color w:val="auto"/>
              </w:rPr>
            </w:pPr>
            <w:r>
              <w:rPr>
                <w:rFonts w:ascii="Arial" w:cs="Arial" w:eastAsia="Arial" w:hAnsi="Arial"/>
                <w:sz w:val="18"/>
                <w:szCs w:val="18"/>
                <w:b w:val="1"/>
                <w:bCs w:val="1"/>
                <w:color w:val="auto"/>
              </w:rPr>
              <w:t>Certification</w:t>
            </w:r>
          </w:p>
        </w:tc>
      </w:tr>
      <w:tr>
        <w:trPr>
          <w:trHeight w:val="230"/>
        </w:trPr>
        <w:tc>
          <w:tcPr>
            <w:tcW w:w="780" w:type="dxa"/>
            <w:vAlign w:val="bottom"/>
          </w:tcPr>
          <w:p>
            <w:pPr>
              <w:spacing w:after="0"/>
              <w:rPr>
                <w:sz w:val="20"/>
                <w:szCs w:val="20"/>
                <w:color w:val="auto"/>
              </w:rPr>
            </w:pPr>
          </w:p>
        </w:tc>
        <w:tc>
          <w:tcPr>
            <w:tcW w:w="10660" w:type="dxa"/>
            <w:vAlign w:val="bottom"/>
          </w:tcPr>
          <w:p>
            <w:pPr>
              <w:ind w:left="140"/>
              <w:spacing w:after="0"/>
              <w:rPr>
                <w:sz w:val="20"/>
                <w:szCs w:val="20"/>
                <w:color w:val="auto"/>
              </w:rPr>
            </w:pPr>
            <w:r>
              <w:rPr>
                <w:rFonts w:ascii="Arial" w:cs="Arial" w:eastAsia="Arial" w:hAnsi="Arial"/>
                <w:sz w:val="18"/>
                <w:szCs w:val="18"/>
                <w:color w:val="auto"/>
              </w:rPr>
              <w:t>Not applicable.</w:t>
            </w:r>
          </w:p>
        </w:tc>
      </w:tr>
      <w:tr>
        <w:trPr>
          <w:trHeight w:val="432"/>
        </w:trPr>
        <w:tc>
          <w:tcPr>
            <w:tcW w:w="780" w:type="dxa"/>
            <w:vAlign w:val="bottom"/>
          </w:tcPr>
          <w:p>
            <w:pPr>
              <w:spacing w:after="0"/>
              <w:rPr>
                <w:sz w:val="24"/>
                <w:szCs w:val="24"/>
                <w:color w:val="auto"/>
              </w:rPr>
            </w:pPr>
          </w:p>
        </w:tc>
        <w:tc>
          <w:tcPr>
            <w:tcW w:w="10660" w:type="dxa"/>
            <w:vAlign w:val="bottom"/>
          </w:tcPr>
          <w:p>
            <w:pPr>
              <w:ind w:left="4880"/>
              <w:spacing w:after="0"/>
              <w:rPr>
                <w:sz w:val="20"/>
                <w:szCs w:val="20"/>
                <w:color w:val="auto"/>
              </w:rPr>
            </w:pPr>
            <w:r>
              <w:rPr>
                <w:rFonts w:ascii="Arial" w:cs="Arial" w:eastAsia="Arial" w:hAnsi="Arial"/>
                <w:sz w:val="18"/>
                <w:szCs w:val="18"/>
                <w:color w:val="auto"/>
              </w:rPr>
              <w:t>4</w:t>
            </w:r>
          </w:p>
        </w:tc>
      </w:tr>
      <w:tr>
        <w:trPr>
          <w:trHeight w:val="91"/>
        </w:trPr>
        <w:tc>
          <w:tcPr>
            <w:tcW w:w="780" w:type="dxa"/>
            <w:vAlign w:val="bottom"/>
            <w:tcBorders>
              <w:bottom w:val="single" w:sz="8" w:color="808080"/>
            </w:tcBorders>
          </w:tcPr>
          <w:p>
            <w:pPr>
              <w:spacing w:after="0"/>
              <w:rPr>
                <w:sz w:val="7"/>
                <w:szCs w:val="7"/>
                <w:color w:val="auto"/>
              </w:rPr>
            </w:pPr>
          </w:p>
        </w:tc>
        <w:tc>
          <w:tcPr>
            <w:tcW w:w="10660" w:type="dxa"/>
            <w:vAlign w:val="bottom"/>
            <w:tcBorders>
              <w:bottom w:val="single" w:sz="8" w:color="808080"/>
            </w:tcBorders>
          </w:tcPr>
          <w:p>
            <w:pPr>
              <w:spacing w:after="0"/>
              <w:rPr>
                <w:sz w:val="7"/>
                <w:szCs w:val="7"/>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w:t>
      </w:r>
    </w:p>
    <w:p>
      <w:pPr>
        <w:spacing w:after="0" w:line="256" w:lineRule="exact"/>
        <w:rPr>
          <w:sz w:val="20"/>
          <w:szCs w:val="20"/>
          <w:color w:val="auto"/>
        </w:rPr>
      </w:pPr>
    </w:p>
    <w:p>
      <w:pPr>
        <w:spacing w:after="0"/>
        <w:rPr>
          <w:sz w:val="20"/>
          <w:szCs w:val="20"/>
          <w:color w:val="auto"/>
        </w:rPr>
      </w:pPr>
      <w:r>
        <w:rPr>
          <w:rFonts w:ascii="Arial" w:cs="Arial" w:eastAsia="Arial" w:hAnsi="Arial"/>
          <w:sz w:val="17"/>
          <w:szCs w:val="17"/>
          <w:color w:val="auto"/>
        </w:rPr>
        <w:t>After reasonable inquiry and to the best of my knowledge and belief, I certify that the information set forth in this statement is true, complete and correct.</w:t>
      </w:r>
    </w:p>
    <w:p>
      <w:pPr>
        <w:spacing w:after="0" w:line="237"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February 11, 2005.</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Date</w:t>
      </w:r>
    </w:p>
    <w:p>
      <w:pPr>
        <w:spacing w:after="0" w:line="211"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 Weili Dai</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Signature</w:t>
      </w:r>
    </w:p>
    <w:p>
      <w:pPr>
        <w:spacing w:after="0" w:line="211"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Weili Dai/Executive Vice President</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Name/Title</w:t>
      </w:r>
    </w:p>
    <w:p>
      <w:pPr>
        <w:spacing w:after="0" w:line="21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73025</wp:posOffset>
            </wp:positionV>
            <wp:extent cx="726757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sectPr>
      <w:pgSz w:w="11900" w:h="16838" w:orient="portrait"/>
      <w:cols w:equalWidth="0" w:num="1">
        <w:col w:w="11440"/>
      </w:cols>
      <w:pgMar w:left="240" w:top="125"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1B71EFB"/>
    <w:multiLevelType w:val="hybridMultilevel"/>
    <w:lvl w:ilvl="0">
      <w:lvlJc w:val="left"/>
      <w:lvlText w:val="G"/>
      <w:numFmt w:val="bullet"/>
      <w:start w:val="1"/>
    </w:lvl>
  </w:abstractNum>
  <w:abstractNum w:abstractNumId="1">
    <w:nsid w:val="79E2A9E3"/>
    <w:multiLevelType w:val="hybridMultilevel"/>
    <w:lvl w:ilvl="0">
      <w:lvlJc w:val="left"/>
      <w:lvlText w:val="o"/>
      <w:numFmt w:val="bullet"/>
      <w:start w:val="1"/>
    </w:lvl>
  </w:abstractNum>
  <w:abstractNum w:abstractNumId="2">
    <w:nsid w:val="7545E146"/>
    <w:multiLevelType w:val="hybridMultilevel"/>
    <w:lvl w:ilvl="0">
      <w:lvlJc w:val="left"/>
      <w:lvlText w:val="%1."/>
      <w:numFmt w:val="decimal"/>
      <w:start w:val="1"/>
    </w:lvl>
    <w:lvl w:ilvl="1">
      <w:lvlJc w:val="left"/>
      <w:lvlText w:val="(%2)"/>
      <w:numFmt w:val="lowerLetter"/>
      <w:start w:val="1"/>
    </w:lvl>
  </w:abstractNum>
  <w:abstractNum w:abstractNumId="3">
    <w:nsid w:val="515F007C"/>
    <w:multiLevelType w:val="hybridMultilevel"/>
    <w:lvl w:ilvl="0">
      <w:lvlJc w:val="left"/>
      <w:lvlText w:val="%1"/>
      <w:numFmt w:val="decimal"/>
      <w:start w:val="1"/>
    </w:lvl>
    <w:lvl w:ilvl="1">
      <w:lvlJc w:val="left"/>
      <w:lvlText w:val="%2."/>
      <w:numFmt w:val="decimal"/>
      <w:start w:val="8"/>
    </w:lvl>
  </w:abstractNum>
  <w:abstractNum w:abstractNumId="4">
    <w:nsid w:val="5BD062C2"/>
    <w:multiLevelType w:val="hybridMultilevel"/>
    <w:lvl w:ilvl="0">
      <w:lvlJc w:val="left"/>
      <w:lvlText w:val="%1."/>
      <w:numFmt w:val="decimal"/>
      <w:start w:val="9"/>
    </w:lvl>
    <w:lvl w:ilvl="1">
      <w:lvlJc w:val="left"/>
      <w:lvlText w:val="%2"/>
      <w:numFmt w:val="decimal"/>
      <w:start w:val="1"/>
    </w:lvl>
  </w:abstractNum>
  <w:abstractNum w:abstractNumId="5">
    <w:nsid w:val="12200854"/>
    <w:multiLevelType w:val="hybridMultilevel"/>
    <w:lvl w:ilvl="0">
      <w:lvlJc w:val="left"/>
      <w:lvlText w:val="%1."/>
      <w:numFmt w:val="decimal"/>
      <w:start w:val="1"/>
    </w:lvl>
  </w:abstractNum>
  <w:abstractNum w:abstractNumId="6">
    <w:nsid w:val="4DB127F8"/>
    <w:multiLevelType w:val="hybridMultilevel"/>
    <w:lvl w:ilvl="0">
      <w:lvlJc w:val="left"/>
      <w:lvlText w:val="(%1)"/>
      <w:numFmt w:val="lowerLetter"/>
      <w:start w:val="1"/>
    </w:lvl>
  </w:abstractNum>
  <w:abstractNum w:abstractNumId="7">
    <w:nsid w:val="216231B"/>
    <w:multiLevelType w:val="hybridMultilevel"/>
    <w:lvl w:ilvl="0">
      <w:lvlJc w:val="left"/>
      <w:lvlText w:val="(%1)"/>
      <w:numFmt w:val="lowerLetter"/>
      <w:start w:val="1"/>
    </w:lvl>
  </w:abstractNum>
  <w:abstractNum w:abstractNumId="8">
    <w:nsid w:val="1F16E9E8"/>
    <w:multiLevelType w:val="hybridMultilevel"/>
    <w:lvl w:ilvl="0">
      <w:lvlJc w:val="left"/>
      <w:lvlText w:val="(%1)"/>
      <w:numFmt w:val="lowerLetter"/>
      <w:start w:val="1"/>
    </w:lvl>
  </w:abstractNum>
  <w:abstractNum w:abstractNumId="9">
    <w:nsid w:val="1190CDE7"/>
    <w:multiLevelType w:val="hybridMultilevel"/>
    <w:lvl w:ilvl="0">
      <w:lvlJc w:val="left"/>
      <w:lvlText w:val="(%1)"/>
      <w:numFmt w:val="lowerLetter"/>
      <w:start w:val="1"/>
    </w:lvl>
    <w:lvl w:ilvl="1">
      <w:lvlJc w:val="left"/>
      <w:lvlText w:val="(%2)"/>
      <w:numFmt w:val="lowerLetter"/>
      <w:start w:val="9"/>
    </w:lvl>
  </w:abstractNum>
  <w:abstractNum w:abstractNumId="10">
    <w:nsid w:val="66EF438D"/>
    <w:multiLevelType w:val="hybridMultilevel"/>
    <w:lvl w:ilvl="0">
      <w:lvlJc w:val="left"/>
      <w:lvlText w:val="(%1)"/>
      <w:numFmt w:val="lowerRoman"/>
      <w:start w:val="2"/>
    </w:lvl>
  </w:abstractNum>
  <w:abstractNum w:abstractNumId="11">
    <w:nsid w:val="140E0F76"/>
    <w:multiLevelType w:val="hybridMultilevel"/>
    <w:lvl w:ilvl="0">
      <w:lvlJc w:val="left"/>
      <w:lvlText w:val="(%1)"/>
      <w:numFmt w:val="lowerRoman"/>
      <w:start w:val="3"/>
    </w:lvl>
  </w:abstractNum>
  <w:abstractNum w:abstractNumId="12">
    <w:nsid w:val="3352255A"/>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2019-12-14T20:29:56Z</dcterms:created>
  <dcterms:modified xsi:type="dcterms:W3CDTF">2019-12-14T20:29:56Z</dcterms:modified>
</cp:coreProperties>
</file>