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4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199"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16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5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February 19, 2005</w:t>
      </w:r>
    </w:p>
    <w:p>
      <w:pPr>
        <w:spacing w:after="0" w:line="175"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85" w:right="279" w:bottom="73" w:gutter="0" w:footer="0" w:header="0"/>
        </w:sectPr>
      </w:pPr>
    </w:p>
    <w:p>
      <w:pPr>
        <w:spacing w:after="0" w:line="165" w:lineRule="exact"/>
        <w:rPr>
          <w:sz w:val="24"/>
          <w:szCs w:val="24"/>
          <w:color w:val="auto"/>
        </w:rPr>
      </w:pPr>
    </w:p>
    <w:p>
      <w:pPr>
        <w:jc w:val="center"/>
        <w:ind w:right="3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right="36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45" w:lineRule="exact"/>
        <w:rPr>
          <w:sz w:val="24"/>
          <w:szCs w:val="24"/>
          <w:color w:val="auto"/>
        </w:rPr>
      </w:pPr>
    </w:p>
    <w:p>
      <w:pPr>
        <w:jc w:val="center"/>
        <w:ind w:right="8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8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45" w:lineRule="exact"/>
        <w:rPr>
          <w:sz w:val="24"/>
          <w:szCs w:val="24"/>
          <w:color w:val="auto"/>
        </w:rPr>
      </w:pPr>
    </w:p>
    <w:p>
      <w:pPr>
        <w:jc w:val="center"/>
        <w:ind w:right="46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460"/>
        <w:spacing w:after="0"/>
        <w:rPr>
          <w:sz w:val="20"/>
          <w:szCs w:val="20"/>
          <w:color w:val="auto"/>
        </w:rPr>
      </w:pPr>
      <w:r>
        <w:rPr>
          <w:rFonts w:ascii="Arial" w:cs="Arial" w:eastAsia="Arial" w:hAnsi="Arial"/>
          <w:sz w:val="17"/>
          <w:szCs w:val="17"/>
          <w:color w:val="auto"/>
        </w:rPr>
        <w:t>(I.R.S. Employer Identification No.)</w:t>
      </w:r>
    </w:p>
    <w:p>
      <w:pPr>
        <w:spacing w:after="0" w:line="200" w:lineRule="exact"/>
        <w:rPr>
          <w:sz w:val="24"/>
          <w:szCs w:val="24"/>
          <w:color w:val="auto"/>
        </w:rPr>
      </w:pPr>
    </w:p>
    <w:p>
      <w:pPr>
        <w:sectPr>
          <w:pgSz w:w="11900" w:h="16838" w:orient="portrait"/>
          <w:cols w:equalWidth="0" w:num="3">
            <w:col w:w="3980" w:space="720"/>
            <w:col w:w="2880" w:space="720"/>
            <w:col w:w="3080"/>
          </w:cols>
          <w:pgMar w:left="240" w:top="585" w:right="279" w:bottom="73" w:gutter="0" w:footer="0" w:header="0"/>
          <w:type w:val="continuous"/>
        </w:sectPr>
      </w:pPr>
    </w:p>
    <w:p>
      <w:pPr>
        <w:spacing w:after="0" w:line="23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ind w:left="5580" w:hanging="428"/>
        <w:spacing w:after="0"/>
        <w:tabs>
          <w:tab w:leader="none" w:pos="5580" w:val="left"/>
        </w:tabs>
        <w:numPr>
          <w:ilvl w:val="0"/>
          <w:numId w:val="1"/>
        </w:numPr>
        <w:rPr>
          <w:rFonts w:ascii="Arial" w:cs="Arial" w:eastAsia="Arial" w:hAnsi="Arial"/>
          <w:sz w:val="18"/>
          <w:szCs w:val="18"/>
          <w:b w:val="1"/>
          <w:bCs w:val="1"/>
          <w:color w:val="auto"/>
        </w:rPr>
      </w:pPr>
      <w:r>
        <w:rPr>
          <w:rFonts w:ascii="Arial" w:cs="Arial" w:eastAsia="Arial" w:hAnsi="Arial"/>
          <w:sz w:val="18"/>
          <w:szCs w:val="18"/>
          <w:b w:val="1"/>
          <w:bCs w:val="1"/>
          <w:color w:val="auto"/>
        </w:rPr>
        <w:t>296-6395</w:t>
      </w:r>
    </w:p>
    <w:p>
      <w:pPr>
        <w:spacing w:after="0" w:line="27" w:lineRule="exact"/>
        <w:rPr>
          <w:rFonts w:ascii="Arial" w:cs="Arial" w:eastAsia="Arial" w:hAnsi="Arial"/>
          <w:sz w:val="18"/>
          <w:szCs w:val="18"/>
          <w:b w:val="1"/>
          <w:bCs w:val="1"/>
          <w:color w:val="auto"/>
        </w:rPr>
      </w:pPr>
    </w:p>
    <w:p>
      <w:pPr>
        <w:ind w:left="4560"/>
        <w:spacing w:after="0"/>
        <w:rPr>
          <w:rFonts w:ascii="Arial" w:cs="Arial" w:eastAsia="Arial" w:hAnsi="Arial"/>
          <w:sz w:val="18"/>
          <w:szCs w:val="18"/>
          <w:b w:val="1"/>
          <w:bCs w:val="1"/>
          <w:color w:val="auto"/>
        </w:rPr>
      </w:pPr>
      <w:r>
        <w:rPr>
          <w:rFonts w:ascii="Arial" w:cs="Arial" w:eastAsia="Arial" w:hAnsi="Arial"/>
          <w:sz w:val="18"/>
          <w:szCs w:val="18"/>
          <w:color w:val="auto"/>
        </w:rPr>
        <w:t>(Registrant’s telephone number,</w:t>
      </w:r>
    </w:p>
    <w:p>
      <w:pPr>
        <w:spacing w:after="0" w:line="9" w:lineRule="exact"/>
        <w:rPr>
          <w:rFonts w:ascii="Arial" w:cs="Arial" w:eastAsia="Arial" w:hAnsi="Arial"/>
          <w:sz w:val="18"/>
          <w:szCs w:val="18"/>
          <w:b w:val="1"/>
          <w:bCs w:val="1"/>
          <w:color w:val="auto"/>
        </w:rPr>
      </w:pPr>
    </w:p>
    <w:p>
      <w:pPr>
        <w:ind w:left="4980"/>
        <w:spacing w:after="0"/>
        <w:rPr>
          <w:rFonts w:ascii="Arial" w:cs="Arial" w:eastAsia="Arial" w:hAnsi="Arial"/>
          <w:sz w:val="18"/>
          <w:szCs w:val="18"/>
          <w:b w:val="1"/>
          <w:bCs w:val="1"/>
          <w:color w:val="auto"/>
        </w:rPr>
      </w:pPr>
      <w:r>
        <w:rPr>
          <w:rFonts w:ascii="Arial" w:cs="Arial" w:eastAsia="Arial" w:hAnsi="Arial"/>
          <w:sz w:val="18"/>
          <w:szCs w:val="18"/>
          <w:color w:val="auto"/>
        </w:rPr>
        <w:t>including area code)</w:t>
      </w:r>
    </w:p>
    <w:p>
      <w:pPr>
        <w:spacing w:after="0" w:line="16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43" w:lineRule="exact"/>
        <w:rPr>
          <w:sz w:val="24"/>
          <w:szCs w:val="24"/>
          <w:color w:val="auto"/>
        </w:rPr>
      </w:pPr>
    </w:p>
    <w:p>
      <w:pPr>
        <w:ind w:left="120" w:hanging="112"/>
        <w:spacing w:after="0"/>
        <w:tabs>
          <w:tab w:leader="none" w:pos="120" w:val="left"/>
        </w:tabs>
        <w:numPr>
          <w:ilvl w:val="0"/>
          <w:numId w:val="2"/>
        </w:numPr>
        <w:rPr>
          <w:rFonts w:ascii="Arial" w:cs="Arial" w:eastAsia="Arial" w:hAnsi="Arial"/>
          <w:sz w:val="18"/>
          <w:szCs w:val="18"/>
          <w:color w:val="auto"/>
        </w:rPr>
      </w:pPr>
      <w:r>
        <w:rPr>
          <w:rFonts w:ascii="Arial" w:cs="Arial" w:eastAsia="Arial" w:hAnsi="Arial"/>
          <w:sz w:val="18"/>
          <w:szCs w:val="18"/>
          <w:color w:val="auto"/>
        </w:rPr>
        <w:t>] Written communications pursuant to Rule 425 under the Securities Act (17 CFR 230.425)</w:t>
      </w:r>
    </w:p>
    <w:p>
      <w:pPr>
        <w:spacing w:after="0" w:line="184" w:lineRule="exact"/>
        <w:rPr>
          <w:rFonts w:ascii="Arial" w:cs="Arial" w:eastAsia="Arial" w:hAnsi="Arial"/>
          <w:sz w:val="18"/>
          <w:szCs w:val="18"/>
          <w:color w:val="auto"/>
        </w:rPr>
      </w:pPr>
    </w:p>
    <w:p>
      <w:pPr>
        <w:ind w:left="120" w:hanging="112"/>
        <w:spacing w:after="0"/>
        <w:tabs>
          <w:tab w:leader="none" w:pos="120" w:val="left"/>
        </w:tabs>
        <w:numPr>
          <w:ilvl w:val="0"/>
          <w:numId w:val="2"/>
        </w:numPr>
        <w:rPr>
          <w:rFonts w:ascii="Arial" w:cs="Arial" w:eastAsia="Arial" w:hAnsi="Arial"/>
          <w:sz w:val="18"/>
          <w:szCs w:val="18"/>
          <w:color w:val="auto"/>
        </w:rPr>
      </w:pPr>
      <w:r>
        <w:rPr>
          <w:rFonts w:ascii="Arial" w:cs="Arial" w:eastAsia="Arial" w:hAnsi="Arial"/>
          <w:sz w:val="18"/>
          <w:szCs w:val="18"/>
          <w:color w:val="auto"/>
        </w:rPr>
        <w:t>] Soliciting material pursuant to Rule 14a-12 under the Exchange Act (17 CFR 240.14a-12)</w:t>
      </w:r>
    </w:p>
    <w:p>
      <w:pPr>
        <w:spacing w:after="0" w:line="184" w:lineRule="exact"/>
        <w:rPr>
          <w:rFonts w:ascii="Arial" w:cs="Arial" w:eastAsia="Arial" w:hAnsi="Arial"/>
          <w:sz w:val="18"/>
          <w:szCs w:val="18"/>
          <w:color w:val="auto"/>
        </w:rPr>
      </w:pPr>
    </w:p>
    <w:p>
      <w:pPr>
        <w:ind w:left="120" w:hanging="112"/>
        <w:spacing w:after="0"/>
        <w:tabs>
          <w:tab w:leader="none" w:pos="120" w:val="left"/>
        </w:tabs>
        <w:numPr>
          <w:ilvl w:val="0"/>
          <w:numId w:val="2"/>
        </w:numPr>
        <w:rPr>
          <w:rFonts w:ascii="Arial" w:cs="Arial" w:eastAsia="Arial" w:hAnsi="Arial"/>
          <w:sz w:val="18"/>
          <w:szCs w:val="18"/>
          <w:color w:val="auto"/>
        </w:rPr>
      </w:pPr>
      <w:r>
        <w:rPr>
          <w:rFonts w:ascii="Arial" w:cs="Arial" w:eastAsia="Arial" w:hAnsi="Arial"/>
          <w:sz w:val="18"/>
          <w:szCs w:val="18"/>
          <w:color w:val="auto"/>
        </w:rPr>
        <w:t>] Pre-commencement communications pursuant to Rule 14d-2(b) under the Exchange Act (17 CFR 240.14d-2(b))</w:t>
      </w:r>
    </w:p>
    <w:p>
      <w:pPr>
        <w:spacing w:after="0" w:line="198" w:lineRule="exact"/>
        <w:rPr>
          <w:rFonts w:ascii="Arial" w:cs="Arial" w:eastAsia="Arial" w:hAnsi="Arial"/>
          <w:sz w:val="18"/>
          <w:szCs w:val="18"/>
          <w:color w:val="auto"/>
        </w:rPr>
      </w:pPr>
    </w:p>
    <w:p>
      <w:pPr>
        <w:ind w:left="120" w:hanging="112"/>
        <w:spacing w:after="0"/>
        <w:tabs>
          <w:tab w:leader="none" w:pos="120" w:val="left"/>
        </w:tabs>
        <w:numPr>
          <w:ilvl w:val="0"/>
          <w:numId w:val="2"/>
        </w:numPr>
        <w:rPr>
          <w:rFonts w:ascii="Arial" w:cs="Arial" w:eastAsia="Arial" w:hAnsi="Arial"/>
          <w:sz w:val="18"/>
          <w:szCs w:val="18"/>
          <w:color w:val="auto"/>
        </w:rPr>
      </w:pPr>
      <w:r>
        <w:rPr>
          <w:rFonts w:ascii="Arial" w:cs="Arial" w:eastAsia="Arial" w:hAnsi="Arial"/>
          <w:sz w:val="18"/>
          <w:szCs w:val="18"/>
          <w:color w:val="auto"/>
        </w:rPr>
        <w:t>]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34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441325</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tabs>
          <w:tab w:leader="none" w:pos="1140" w:val="left"/>
        </w:tabs>
        <w:rPr>
          <w:sz w:val="20"/>
          <w:szCs w:val="20"/>
          <w:color w:val="auto"/>
        </w:rPr>
      </w:pPr>
      <w:r>
        <w:rPr>
          <w:rFonts w:ascii="Arial" w:cs="Arial" w:eastAsia="Arial" w:hAnsi="Arial"/>
          <w:sz w:val="18"/>
          <w:szCs w:val="18"/>
          <w:b w:val="1"/>
          <w:bCs w:val="1"/>
          <w:color w:val="auto"/>
        </w:rPr>
        <w:t>Item 5.05.</w:t>
      </w:r>
      <w:r>
        <w:rPr>
          <w:sz w:val="20"/>
          <w:szCs w:val="20"/>
          <w:color w:val="auto"/>
        </w:rPr>
        <w:tab/>
      </w:r>
      <w:r>
        <w:rPr>
          <w:rFonts w:ascii="Arial" w:cs="Arial" w:eastAsia="Arial" w:hAnsi="Arial"/>
          <w:sz w:val="16"/>
          <w:szCs w:val="16"/>
          <w:b w:val="1"/>
          <w:bCs w:val="1"/>
          <w:color w:val="auto"/>
        </w:rPr>
        <w:t>Amendments to the Registrant’s Code of Ethics, or Waiver of a Provision of the Code of Ethics</w:t>
      </w:r>
    </w:p>
    <w:p>
      <w:pPr>
        <w:spacing w:after="0" w:line="200" w:lineRule="exact"/>
        <w:rPr>
          <w:sz w:val="24"/>
          <w:szCs w:val="24"/>
          <w:color w:val="auto"/>
        </w:rPr>
      </w:pPr>
    </w:p>
    <w:p>
      <w:pPr>
        <w:spacing w:after="0" w:line="259" w:lineRule="exact"/>
        <w:rPr>
          <w:sz w:val="24"/>
          <w:szCs w:val="24"/>
          <w:color w:val="auto"/>
        </w:rPr>
      </w:pPr>
    </w:p>
    <w:p>
      <w:pPr>
        <w:ind w:right="320" w:firstLine="8"/>
        <w:spacing w:after="0" w:line="279" w:lineRule="auto"/>
        <w:tabs>
          <w:tab w:leader="none" w:pos="720" w:val="left"/>
        </w:tabs>
        <w:numPr>
          <w:ilvl w:val="0"/>
          <w:numId w:val="3"/>
        </w:numPr>
        <w:rPr>
          <w:rFonts w:ascii="Arial" w:cs="Arial" w:eastAsia="Arial" w:hAnsi="Arial"/>
          <w:sz w:val="17"/>
          <w:szCs w:val="17"/>
          <w:color w:val="auto"/>
        </w:rPr>
      </w:pPr>
      <w:r>
        <w:rPr>
          <w:rFonts w:ascii="Arial" w:cs="Arial" w:eastAsia="Arial" w:hAnsi="Arial"/>
          <w:sz w:val="17"/>
          <w:szCs w:val="17"/>
          <w:color w:val="auto"/>
        </w:rPr>
        <w:t>Marvell Technology Group Ltd. (the “Company”), through its subsidiary, Marvell Semiconductor, Inc. (“MSI”), has approved a Plan of Reimbursement with an unrelated third party entity, ACM Aviation, Inc. (“ACM”) for charter aircraft services provided to MSI. The aircraft provided by ACM to MSI for such services is owned by Estopia Air LLC (“Estopia Air”). The Company’s President and Chief Executive Officer, Dr. Sehat Sutardja, Ph.D., and Executive Vice President, Weili Dai, through their control and ownership of Estopia Air, own the aircraft provided by ACM.</w:t>
      </w:r>
    </w:p>
    <w:p>
      <w:pPr>
        <w:spacing w:after="0" w:line="171" w:lineRule="exact"/>
        <w:rPr>
          <w:rFonts w:ascii="Arial" w:cs="Arial" w:eastAsia="Arial" w:hAnsi="Arial"/>
          <w:sz w:val="17"/>
          <w:szCs w:val="17"/>
          <w:color w:val="auto"/>
        </w:rPr>
      </w:pPr>
    </w:p>
    <w:p>
      <w:pPr>
        <w:ind w:right="80" w:firstLine="8"/>
        <w:spacing w:after="0" w:line="302" w:lineRule="auto"/>
        <w:tabs>
          <w:tab w:leader="none" w:pos="720" w:val="left"/>
        </w:tabs>
        <w:numPr>
          <w:ilvl w:val="0"/>
          <w:numId w:val="3"/>
        </w:numPr>
        <w:rPr>
          <w:rFonts w:ascii="Arial" w:cs="Arial" w:eastAsia="Arial" w:hAnsi="Arial"/>
          <w:sz w:val="16"/>
          <w:szCs w:val="16"/>
          <w:color w:val="auto"/>
        </w:rPr>
      </w:pPr>
      <w:r>
        <w:rPr>
          <w:rFonts w:ascii="Arial" w:cs="Arial" w:eastAsia="Arial" w:hAnsi="Arial"/>
          <w:sz w:val="16"/>
          <w:szCs w:val="16"/>
          <w:color w:val="auto"/>
        </w:rPr>
        <w:t>The Company, through its subsidiaries MSI and Marvell Asia Pte. Ltd. (“MAPL”), has entered into a development agreement with MagnetoX (“MagnetoX”). This development agreement is on substantially similar terms as other development agreements with other third parties. Herbert Chang, one of the Company’s directors, is Chairman of the Board, President and Chief Executive Officer of MagnetoX. Estopia LLC (“Estopia”) is a shareholder of MagnetoX. Dr. Sehat Sutardja, Ph.D. and Weili Dai, through their ownership and control of Estopia, are indirect shareholders of MagnetoX.</w:t>
      </w:r>
    </w:p>
    <w:p>
      <w:pPr>
        <w:spacing w:after="0" w:line="154" w:lineRule="exact"/>
        <w:rPr>
          <w:sz w:val="24"/>
          <w:szCs w:val="24"/>
          <w:color w:val="auto"/>
        </w:rPr>
      </w:pPr>
    </w:p>
    <w:p>
      <w:pPr>
        <w:ind w:right="60" w:firstLine="648"/>
        <w:spacing w:after="0" w:line="272" w:lineRule="auto"/>
        <w:rPr>
          <w:sz w:val="20"/>
          <w:szCs w:val="20"/>
          <w:color w:val="auto"/>
        </w:rPr>
      </w:pPr>
      <w:r>
        <w:rPr>
          <w:rFonts w:ascii="Arial" w:cs="Arial" w:eastAsia="Arial" w:hAnsi="Arial"/>
          <w:sz w:val="17"/>
          <w:szCs w:val="17"/>
          <w:color w:val="auto"/>
        </w:rPr>
        <w:t>The Company’s Code of Ethics requires a waiver of any related party transactions by the Board of Directors, including the two transactions described above. On February 19, 2005, a Special Committee comprised of disinterested, independent directors, Dr. John Cioffi, Dr. Paul Gray and Ronald Verdoorn, granted a waiver of the Code of Ethics to (i) Dr. Sehat Sutardja, Ph.D. and Weili Dai for the Plan of Reimbursement for charter aircraft services provided by ACM for the aircraft owned by Estopia Air and (ii) Dr. Sehat Sutardja, Ph.D., Weili Dai and Herbert Chang in connection with the entry into the development agreement with MagnetoX by MSI and MAPL. The Special Committee approved these transactions as discussed above, after considering, among other things, the business and financial implications of the transactions, as well as the terms of the transactions, the Company’s Code of Ethics and after concluding that the transactions are fair to, and in the best interests of, the Company.</w:t>
      </w:r>
    </w:p>
    <w:p>
      <w:pPr>
        <w:spacing w:after="0" w:line="178"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380"/>
          </w:cols>
          <w:pgMar w:left="240" w:top="585" w:right="279" w:bottom="73" w:gutter="0" w:footer="0" w:header="0"/>
          <w:type w:val="continuous"/>
        </w:sectPr>
      </w:pPr>
    </w:p>
    <w:bookmarkStart w:id="1" w:name="page2"/>
    <w:bookmarkEnd w:id="1"/>
    <w:p>
      <w:pPr>
        <w:jc w:val="center"/>
        <w:ind w:right="-49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February 24, 2005</w:t>
      </w:r>
    </w:p>
    <w:p>
      <w:pPr>
        <w:spacing w:after="0" w:line="225"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tbl>
      <w:tblPr>
        <w:tblLayout w:type="fixed"/>
        <w:tblInd w:w="5980" w:type="dxa"/>
        <w:tblCellMar>
          <w:top w:w="0" w:type="dxa"/>
          <w:left w:w="0" w:type="dxa"/>
          <w:bottom w:w="0" w:type="dxa"/>
          <w:right w:w="0" w:type="dxa"/>
        </w:tblCellMar>
      </w:tblPr>
      <w:tr>
        <w:trPr>
          <w:trHeight w:val="230"/>
        </w:trPr>
        <w:tc>
          <w:tcPr>
            <w:tcW w:w="640" w:type="dxa"/>
            <w:vAlign w:val="bottom"/>
          </w:tcPr>
          <w:p>
            <w:pPr>
              <w:spacing w:after="0"/>
              <w:rPr>
                <w:sz w:val="20"/>
                <w:szCs w:val="20"/>
                <w:color w:val="auto"/>
              </w:rPr>
            </w:pPr>
            <w:r>
              <w:rPr>
                <w:rFonts w:ascii="Arial" w:cs="Arial" w:eastAsia="Arial" w:hAnsi="Arial"/>
                <w:sz w:val="18"/>
                <w:szCs w:val="18"/>
                <w:color w:val="auto"/>
              </w:rPr>
              <w:t>By:</w:t>
            </w:r>
          </w:p>
        </w:tc>
        <w:tc>
          <w:tcPr>
            <w:tcW w:w="32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George A. Hervey</w:t>
            </w:r>
          </w:p>
        </w:tc>
      </w:tr>
      <w:tr>
        <w:trPr>
          <w:trHeight w:val="195"/>
        </w:trPr>
        <w:tc>
          <w:tcPr>
            <w:tcW w:w="640" w:type="dxa"/>
            <w:vAlign w:val="bottom"/>
          </w:tcPr>
          <w:p>
            <w:pPr>
              <w:spacing w:after="0"/>
              <w:rPr>
                <w:sz w:val="16"/>
                <w:szCs w:val="16"/>
                <w:color w:val="auto"/>
              </w:rPr>
            </w:pPr>
          </w:p>
        </w:tc>
        <w:tc>
          <w:tcPr>
            <w:tcW w:w="3280" w:type="dxa"/>
            <w:vAlign w:val="bottom"/>
          </w:tcPr>
          <w:p>
            <w:pPr>
              <w:jc w:val="center"/>
              <w:spacing w:after="0" w:line="195" w:lineRule="exact"/>
              <w:rPr>
                <w:sz w:val="20"/>
                <w:szCs w:val="20"/>
                <w:color w:val="auto"/>
              </w:rPr>
            </w:pPr>
            <w:r>
              <w:rPr>
                <w:rFonts w:ascii="Arial" w:cs="Arial" w:eastAsia="Arial" w:hAnsi="Arial"/>
                <w:sz w:val="18"/>
                <w:szCs w:val="18"/>
                <w:color w:val="auto"/>
                <w:w w:val="91"/>
              </w:rPr>
              <w:t>George A. Hervey</w:t>
            </w:r>
          </w:p>
        </w:tc>
      </w:tr>
      <w:tr>
        <w:trPr>
          <w:trHeight w:val="216"/>
        </w:trPr>
        <w:tc>
          <w:tcPr>
            <w:tcW w:w="640" w:type="dxa"/>
            <w:vAlign w:val="bottom"/>
          </w:tcPr>
          <w:p>
            <w:pPr>
              <w:spacing w:after="0"/>
              <w:rPr>
                <w:sz w:val="18"/>
                <w:szCs w:val="18"/>
                <w:color w:val="auto"/>
              </w:rPr>
            </w:pPr>
          </w:p>
        </w:tc>
        <w:tc>
          <w:tcPr>
            <w:tcW w:w="3280" w:type="dxa"/>
            <w:vAlign w:val="bottom"/>
          </w:tcPr>
          <w:p>
            <w:pPr>
              <w:jc w:val="center"/>
              <w:spacing w:after="0"/>
              <w:rPr>
                <w:sz w:val="20"/>
                <w:szCs w:val="20"/>
                <w:color w:val="auto"/>
              </w:rPr>
            </w:pPr>
            <w:r>
              <w:rPr>
                <w:rFonts w:ascii="Arial" w:cs="Arial" w:eastAsia="Arial" w:hAnsi="Arial"/>
                <w:sz w:val="18"/>
                <w:szCs w:val="18"/>
                <w:color w:val="auto"/>
                <w:w w:val="89"/>
              </w:rPr>
              <w:t>Vice President of Finance and</w:t>
            </w:r>
          </w:p>
        </w:tc>
      </w:tr>
      <w:tr>
        <w:trPr>
          <w:trHeight w:val="230"/>
        </w:trPr>
        <w:tc>
          <w:tcPr>
            <w:tcW w:w="640" w:type="dxa"/>
            <w:vAlign w:val="bottom"/>
          </w:tcPr>
          <w:p>
            <w:pPr>
              <w:spacing w:after="0"/>
              <w:rPr>
                <w:sz w:val="20"/>
                <w:szCs w:val="20"/>
                <w:color w:val="auto"/>
              </w:rPr>
            </w:pPr>
          </w:p>
        </w:tc>
        <w:tc>
          <w:tcPr>
            <w:tcW w:w="3280" w:type="dxa"/>
            <w:vAlign w:val="bottom"/>
          </w:tcPr>
          <w:p>
            <w:pPr>
              <w:jc w:val="center"/>
              <w:spacing w:after="0"/>
              <w:rPr>
                <w:sz w:val="20"/>
                <w:szCs w:val="20"/>
                <w:color w:val="auto"/>
              </w:rPr>
            </w:pPr>
            <w:r>
              <w:rPr>
                <w:rFonts w:ascii="Arial" w:cs="Arial" w:eastAsia="Arial" w:hAnsi="Arial"/>
                <w:sz w:val="18"/>
                <w:szCs w:val="18"/>
                <w:color w:val="auto"/>
                <w:w w:val="94"/>
              </w:rPr>
              <w:t>Chief Financial Officer</w:t>
            </w:r>
          </w:p>
        </w:tc>
      </w:tr>
    </w:tbl>
    <w:p>
      <w:pPr>
        <w:spacing w:after="0" w:line="202" w:lineRule="exact"/>
        <w:rPr>
          <w:sz w:val="20"/>
          <w:szCs w:val="20"/>
          <w:color w:val="auto"/>
        </w:rPr>
      </w:pPr>
    </w:p>
    <w:p>
      <w:pPr>
        <w:jc w:val="center"/>
        <w:ind w:right="-49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0940"/>
      </w:cols>
      <w:pgMar w:left="240" w:top="337" w:right="7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441"/>
    </w:lvl>
  </w:abstractNum>
  <w:abstractNum w:abstractNumId="1">
    <w:nsid w:val="74B0DC51"/>
    <w:multiLevelType w:val="hybridMultilevel"/>
    <w:lvl w:ilvl="0">
      <w:lvlJc w:val="left"/>
      <w:lvlText w:val="["/>
      <w:numFmt w:val="bullet"/>
      <w:start w:val="1"/>
    </w:lvl>
  </w:abstractNum>
  <w:abstractNum w:abstractNumId="2">
    <w:nsid w:val="19495CFF"/>
    <w:multiLevelType w:val="hybridMultilevel"/>
    <w:lvl w:ilvl="0">
      <w:lvlJc w:val="left"/>
      <w:lvlText w:val="%1."/>
      <w:numFmt w:val="decimal"/>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2019-12-14T20:29:09Z</dcterms:created>
  <dcterms:modified xsi:type="dcterms:W3CDTF">2019-12-14T20:29:09Z</dcterms:modified>
</cp:coreProperties>
</file>