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4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440" w:type="dxa"/>
            <w:vAlign w:val="bottom"/>
          </w:tcPr>
          <w:p>
            <w:pPr>
              <w:jc w:val="center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40" w:type="dxa"/>
            <w:vAlign w:val="bottom"/>
            <w:vMerge w:val="restart"/>
          </w:tcPr>
          <w:p>
            <w:pPr>
              <w:jc w:val="center"/>
              <w:ind w:right="31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4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40" w:type="dxa"/>
            <w:vAlign w:val="bottom"/>
            <w:vMerge w:val="restart"/>
          </w:tcPr>
          <w:p>
            <w:pPr>
              <w:jc w:val="center"/>
              <w:ind w:right="336"/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6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440" w:type="dxa"/>
            <w:vAlign w:val="bottom"/>
            <w:vMerge w:val="restart"/>
          </w:tcPr>
          <w:p>
            <w:pPr>
              <w:jc w:val="center"/>
              <w:ind w:right="3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5411470</wp:posOffset>
            </wp:positionH>
            <wp:positionV relativeFrom="paragraph">
              <wp:posOffset>-625475</wp:posOffset>
            </wp:positionV>
            <wp:extent cx="58420" cy="638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4070350</wp:posOffset>
            </wp:positionH>
            <wp:positionV relativeFrom="paragraph">
              <wp:posOffset>-625475</wp:posOffset>
            </wp:positionV>
            <wp:extent cx="58420" cy="638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-1775460</wp:posOffset>
            </wp:positionH>
            <wp:positionV relativeFrom="paragraph">
              <wp:posOffset>15240</wp:posOffset>
            </wp:positionV>
            <wp:extent cx="7325995" cy="92817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995" cy="9281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78" w:orient="portrait"/>
          <w:cols w:equalWidth="0" w:num="2">
            <w:col w:w="2260" w:space="520"/>
            <w:col w:w="8740"/>
          </w:cols>
          <w:pgMar w:left="240" w:top="221" w:right="139" w:bottom="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0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STREET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7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3980" w:type="dxa"/>
            <w:vAlign w:val="bottom"/>
            <w:gridSpan w:val="3"/>
          </w:tcPr>
          <w:p>
            <w:pPr>
              <w:ind w:left="60"/>
              <w:spacing w:after="0" w:line="137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15"/>
                <w:szCs w:val="15"/>
                <w:color w:val="000000"/>
              </w:rPr>
              <w:t>[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39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39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940" w:type="dxa"/>
            <w:vAlign w:val="bottom"/>
            <w:gridSpan w:val="2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3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3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03/18/2005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3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 Line)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gridSpan w:val="3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9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70" w:lineRule="exact"/>
        <w:rPr>
          <w:sz w:val="24"/>
          <w:szCs w:val="24"/>
          <w:color w:val="auto"/>
        </w:rPr>
      </w:pPr>
    </w:p>
    <w:p>
      <w:pPr>
        <w:sectPr>
          <w:pgSz w:w="11900" w:h="16878" w:orient="portrait"/>
          <w:cols w:equalWidth="0" w:num="2">
            <w:col w:w="3900" w:space="100"/>
            <w:col w:w="7520"/>
          </w:cols>
          <w:pgMar w:left="240" w:top="221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jc w:val="center"/>
              <w:ind w:righ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Disposed Of (D) (Instr. 3, 4 and 5)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jc w:val="center"/>
              <w:ind w:left="71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(D)</w:t>
            </w: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jc w:val="center"/>
              <w:ind w:left="6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03/18/2005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</w:t>
            </w:r>
          </w:p>
        </w:tc>
        <w:tc>
          <w:tcPr>
            <w:tcW w:w="7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44,163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jc w:val="center"/>
              <w:ind w:left="6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03/18/2005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</w:t>
            </w:r>
          </w:p>
        </w:tc>
        <w:tc>
          <w:tcPr>
            <w:tcW w:w="7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35.48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jc w:val="center"/>
              <w:ind w:left="6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03/22/2005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8,600</w:t>
            </w:r>
          </w:p>
        </w:tc>
        <w:tc>
          <w:tcPr>
            <w:tcW w:w="7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52,363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jc w:val="center"/>
              <w:ind w:left="6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03/22/2005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8,600</w:t>
            </w:r>
          </w:p>
        </w:tc>
        <w:tc>
          <w:tcPr>
            <w:tcW w:w="7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37.77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8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4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4 and 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202,400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03/18/2005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3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118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202,400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193,800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03/22/2005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3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58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8,600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193,800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5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8,000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 TO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 TO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35.46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03/18/2005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03/18/2005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12,106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12,106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 TO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STOCK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78" w:orient="portrait"/>
          <w:cols w:equalWidth="0" w:num="1">
            <w:col w:w="11520"/>
          </w:cols>
          <w:pgMar w:left="240" w:top="221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exercisable as it vests as follows: Vests 20% on 04/26/01 and 25,334 shares per month beginning 05/26/01 until 04/26/05.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exercisable as they vest.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 become exercisable as they vest.</w:t>
      </w:r>
    </w:p>
    <w:p>
      <w:pPr>
        <w:spacing w:after="0" w:line="55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exercisable as they vest.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becomes exercisable as they vest.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exercisable as they vest.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exercisable on 04/16/04.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exercisable on 02/01/05.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/s/ George Hervey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03/22/2005</w:t>
            </w:r>
          </w:p>
        </w:tc>
      </w:tr>
      <w:tr>
        <w:trPr>
          <w:trHeight w:val="20"/>
        </w:trPr>
        <w:tc>
          <w:tcPr>
            <w:tcW w:w="1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jc w:val="both"/>
        <w:ind w:right="2739" w:firstLine="2"/>
        <w:spacing w:after="0" w:line="334" w:lineRule="auto"/>
        <w:tabs>
          <w:tab w:leader="none" w:pos="136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56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2019-12-16T20:32:27Z</dcterms:created>
  <dcterms:modified xsi:type="dcterms:W3CDTF">2019-12-16T20:32:27Z</dcterms:modified>
</cp:coreProperties>
</file>