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9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84455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8445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44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03/10/2005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44" w:orient="portrait"/>
          <w:cols w:equalWidth="0" w:num="2">
            <w:col w:w="3900" w:space="100"/>
            <w:col w:w="7520"/>
          </w:cols>
          <w:pgMar w:left="240" w:top="225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2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20" w:type="dxa"/>
            <w:vAlign w:val="bottom"/>
            <w:gridSpan w:val="5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3480" w:type="dxa"/>
            <w:vAlign w:val="bottom"/>
            <w:gridSpan w:val="8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  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8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03/10/2005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right"/>
              <w:ind w:right="2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3,000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46,763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03/10/2005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right"/>
              <w:ind w:right="3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3,000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37.99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43,763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80" w:type="dxa"/>
            <w:vAlign w:val="bottom"/>
            <w:tcBorders>
              <w:bottom w:val="single" w:sz="8" w:color="2C2C2C"/>
            </w:tcBorders>
            <w:gridSpan w:val="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0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205,800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03/10/2005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40" w:type="dxa"/>
            <w:vAlign w:val="bottom"/>
          </w:tcPr>
          <w:p>
            <w:pPr>
              <w:ind w:left="4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205,800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10.6875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80,000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80,000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6.935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12.37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100,000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18.95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22.475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17,840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17,840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Vests 20% on 04/26/01 and 25,334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01/02/02 and 1,666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02/03/03, 16,666 shares on 12/03/03 and 1,666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ectPr>
          <w:pgSz w:w="11900" w:h="16844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8000"/>
        </w:rPr>
        <w:t>7. Of such 17,840 shares, all shares are fully vested and exerciseable on 04/16/04.</w:t>
      </w:r>
    </w:p>
    <w:p>
      <w:pPr>
        <w:spacing w:after="0" w:line="4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tbl>
      <w:tblPr>
        <w:tblLayout w:type="fixed"/>
        <w:tblInd w:w="68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George Hervey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03/10/2005</w:t>
            </w:r>
          </w:p>
        </w:tc>
      </w:tr>
      <w:tr>
        <w:trPr>
          <w:trHeight w:val="20"/>
        </w:trPr>
        <w:tc>
          <w:tcPr>
            <w:tcW w:w="10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right="2500" w:firstLine="7"/>
        <w:spacing w:after="0" w:line="320" w:lineRule="auto"/>
        <w:tabs>
          <w:tab w:leader="none" w:pos="14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220"/>
      </w:cols>
      <w:pgMar w:left="280" w:top="129" w:right="139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2019-12-17T17:44:48Z</dcterms:created>
  <dcterms:modified xsi:type="dcterms:W3CDTF">2019-12-17T17:44:48Z</dcterms:modified>
</cp:coreProperties>
</file>