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32"/>
          <w:szCs w:val="32"/>
          <w:b w:val="1"/>
          <w:bCs w:val="1"/>
          <w:color w:val="auto"/>
        </w:rPr>
        <w:t>UNITED STATES</w:t>
      </w:r>
    </w:p>
    <w:p>
      <w:pPr>
        <w:spacing w:after="0" w:line="29" w:lineRule="exact"/>
        <w:rPr>
          <w:sz w:val="24"/>
          <w:szCs w:val="24"/>
          <w:color w:val="auto"/>
        </w:rPr>
      </w:pPr>
    </w:p>
    <w:p>
      <w:pPr>
        <w:jc w:val="center"/>
        <w:ind w:right="-159"/>
        <w:spacing w:after="0"/>
        <w:rPr>
          <w:sz w:val="20"/>
          <w:szCs w:val="20"/>
          <w:color w:val="auto"/>
        </w:rPr>
      </w:pPr>
      <w:r>
        <w:rPr>
          <w:rFonts w:ascii="Arial" w:cs="Arial" w:eastAsia="Arial" w:hAnsi="Arial"/>
          <w:sz w:val="32"/>
          <w:szCs w:val="32"/>
          <w:b w:val="1"/>
          <w:bCs w:val="1"/>
          <w:color w:val="auto"/>
        </w:rPr>
        <w:t>SECURITIES AND EXCHANGE</w:t>
      </w:r>
    </w:p>
    <w:p>
      <w:pPr>
        <w:jc w:val="center"/>
        <w:ind w:right="-159"/>
        <w:spacing w:after="0"/>
        <w:rPr>
          <w:sz w:val="20"/>
          <w:szCs w:val="20"/>
          <w:color w:val="auto"/>
        </w:rPr>
      </w:pPr>
      <w:r>
        <w:rPr>
          <w:rFonts w:ascii="Arial" w:cs="Arial" w:eastAsia="Arial" w:hAnsi="Arial"/>
          <w:sz w:val="32"/>
          <w:szCs w:val="32"/>
          <w:b w:val="1"/>
          <w:bCs w:val="1"/>
          <w:color w:val="auto"/>
        </w:rPr>
        <w:t>COMMISSION</w:t>
      </w:r>
    </w:p>
    <w:p>
      <w:pPr>
        <w:spacing w:after="0" w:line="4"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159"/>
        <w:spacing w:after="0"/>
        <w:rPr>
          <w:sz w:val="20"/>
          <w:szCs w:val="20"/>
          <w:color w:val="auto"/>
        </w:rPr>
      </w:pPr>
      <w:r>
        <w:rPr>
          <w:rFonts w:ascii="Arial" w:cs="Arial" w:eastAsia="Arial" w:hAnsi="Arial"/>
          <w:sz w:val="32"/>
          <w:szCs w:val="32"/>
          <w:b w:val="1"/>
          <w:bCs w:val="1"/>
          <w:color w:val="auto"/>
        </w:rPr>
        <w:t>SCHEDULE 13G</w:t>
      </w:r>
    </w:p>
    <w:p>
      <w:pPr>
        <w:spacing w:after="0" w:line="236"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Under the Securities Exchange Act of 1934</w:t>
      </w:r>
    </w:p>
    <w:p>
      <w:pPr>
        <w:spacing w:after="0" w:line="27"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(Amendment No. 1)*</w:t>
      </w:r>
    </w:p>
    <w:p>
      <w:pPr>
        <w:spacing w:after="0" w:line="184" w:lineRule="exact"/>
        <w:rPr>
          <w:sz w:val="24"/>
          <w:szCs w:val="24"/>
          <w:color w:val="auto"/>
        </w:rPr>
      </w:pPr>
    </w:p>
    <w:p>
      <w:pPr>
        <w:jc w:val="center"/>
        <w:ind w:right="-159"/>
        <w:spacing w:after="0"/>
        <w:rPr>
          <w:sz w:val="20"/>
          <w:szCs w:val="20"/>
          <w:color w:val="auto"/>
        </w:rPr>
      </w:pPr>
      <w:r>
        <w:rPr>
          <w:rFonts w:ascii="Arial" w:cs="Arial" w:eastAsia="Arial" w:hAnsi="Arial"/>
          <w:sz w:val="32"/>
          <w:szCs w:val="3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24130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(Name of Issuer)</w:t>
      </w:r>
    </w:p>
    <w:p>
      <w:pPr>
        <w:spacing w:after="0" w:line="205"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54"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(Title of Class of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1" w:lineRule="exact"/>
        <w:rPr>
          <w:sz w:val="24"/>
          <w:szCs w:val="24"/>
          <w:color w:val="auto"/>
        </w:rPr>
      </w:pPr>
    </w:p>
    <w:p>
      <w:pPr>
        <w:ind w:left="5080" w:right="4920" w:firstLine="156"/>
        <w:spacing w:after="0" w:line="400" w:lineRule="auto"/>
        <w:tabs>
          <w:tab w:leader="none" w:pos="5420" w:val="left"/>
        </w:tabs>
        <w:numPr>
          <w:ilvl w:val="0"/>
          <w:numId w:val="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5876H105 </w:t>
      </w:r>
      <w:r>
        <w:rPr>
          <w:rFonts w:ascii="Arial" w:cs="Arial" w:eastAsia="Arial" w:hAnsi="Arial"/>
          <w:sz w:val="16"/>
          <w:szCs w:val="16"/>
          <w:color w:val="auto"/>
        </w:rPr>
        <w:t>(CUSIP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5"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December 31, 2004</w:t>
      </w:r>
    </w:p>
    <w:p>
      <w:pPr>
        <w:spacing w:after="0" w:line="40"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63" w:lineRule="exact"/>
        <w:rPr>
          <w:sz w:val="24"/>
          <w:szCs w:val="24"/>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13d-1(b)</w:t>
      </w:r>
    </w:p>
    <w:p>
      <w:pPr>
        <w:spacing w:after="0" w:line="117" w:lineRule="exact"/>
        <w:rPr>
          <w:rFonts w:ascii="Arial" w:cs="Arial" w:eastAsia="Arial" w:hAnsi="Arial"/>
          <w:sz w:val="18"/>
          <w:szCs w:val="18"/>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13d-1(c)</w:t>
      </w:r>
    </w:p>
    <w:p>
      <w:pPr>
        <w:spacing w:after="0" w:line="117" w:lineRule="exact"/>
        <w:rPr>
          <w:sz w:val="24"/>
          <w:szCs w:val="24"/>
          <w:color w:val="auto"/>
        </w:rPr>
      </w:pPr>
    </w:p>
    <w:p>
      <w:pPr>
        <w:ind w:left="1140" w:hanging="673"/>
        <w:spacing w:after="0"/>
        <w:tabs>
          <w:tab w:leader="none" w:pos="114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79" w:lineRule="exact"/>
        <w:rPr>
          <w:sz w:val="24"/>
          <w:szCs w:val="24"/>
          <w:color w:val="auto"/>
        </w:rPr>
      </w:pPr>
    </w:p>
    <w:p>
      <w:pPr>
        <w:ind w:left="660"/>
        <w:spacing w:after="0" w:line="308" w:lineRule="auto"/>
        <w:rPr>
          <w:sz w:val="20"/>
          <w:szCs w:val="20"/>
          <w:color w:val="auto"/>
        </w:rPr>
      </w:pPr>
      <w:r>
        <w:rPr>
          <w:rFonts w:ascii="Arial" w:cs="Arial" w:eastAsia="Arial" w:hAnsi="Arial"/>
          <w:sz w:val="17"/>
          <w:szCs w:val="17"/>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47" w:lineRule="exact"/>
        <w:rPr>
          <w:sz w:val="24"/>
          <w:szCs w:val="24"/>
          <w:color w:val="auto"/>
        </w:rPr>
      </w:pPr>
    </w:p>
    <w:p>
      <w:pPr>
        <w:ind w:left="660" w:right="100"/>
        <w:spacing w:after="0" w:line="264" w:lineRule="auto"/>
        <w:rPr>
          <w:sz w:val="20"/>
          <w:szCs w:val="20"/>
          <w:color w:val="auto"/>
        </w:rPr>
      </w:pPr>
      <w:r>
        <w:rPr>
          <w:rFonts w:ascii="Arial" w:cs="Arial" w:eastAsia="Arial" w:hAnsi="Arial"/>
          <w:sz w:val="18"/>
          <w:szCs w:val="18"/>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182245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1" w:lineRule="exact"/>
        <w:rPr>
          <w:sz w:val="24"/>
          <w:szCs w:val="24"/>
          <w:color w:val="auto"/>
        </w:rPr>
      </w:pPr>
    </w:p>
    <w:p>
      <w:pPr>
        <w:ind w:left="60"/>
        <w:spacing w:after="0"/>
        <w:rPr>
          <w:sz w:val="20"/>
          <w:szCs w:val="20"/>
          <w:color w:val="auto"/>
        </w:rPr>
      </w:pPr>
      <w:r>
        <w:rPr>
          <w:rFonts w:ascii="Arial" w:cs="Arial" w:eastAsia="Arial" w:hAnsi="Arial"/>
          <w:sz w:val="18"/>
          <w:szCs w:val="18"/>
          <w:color w:val="auto"/>
        </w:rPr>
        <w:t>CUSIP No. G 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48895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5" w:lineRule="exact"/>
        <w:rPr>
          <w:sz w:val="24"/>
          <w:szCs w:val="24"/>
          <w:color w:val="auto"/>
        </w:rPr>
      </w:pPr>
    </w:p>
    <w:p>
      <w:pPr>
        <w:ind w:left="1060" w:right="3920" w:hanging="620"/>
        <w:spacing w:after="0" w:line="275" w:lineRule="auto"/>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 xml:space="preserve">Names of Reporting Persons. I.R.S. Identification Nos. of above persons (entities only) </w:t>
      </w:r>
      <w:r>
        <w:rPr>
          <w:rFonts w:ascii="Arial" w:cs="Arial" w:eastAsia="Arial" w:hAnsi="Arial"/>
          <w:sz w:val="17"/>
          <w:szCs w:val="17"/>
          <w:color w:val="auto"/>
        </w:rPr>
        <w:t>Dr. Sehat Sutardja</w:t>
      </w:r>
    </w:p>
    <w:p>
      <w:pPr>
        <w:spacing w:after="0" w:line="389" w:lineRule="exact"/>
        <w:rPr>
          <w:rFonts w:ascii="Arial" w:cs="Arial" w:eastAsia="Arial" w:hAnsi="Arial"/>
          <w:sz w:val="18"/>
          <w:szCs w:val="18"/>
          <w:color w:val="auto"/>
        </w:rPr>
      </w:pPr>
    </w:p>
    <w:p>
      <w:pPr>
        <w:ind w:left="1060" w:hanging="620"/>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117" w:lineRule="exact"/>
        <w:rPr>
          <w:rFonts w:ascii="Arial" w:cs="Arial" w:eastAsia="Arial" w:hAnsi="Arial"/>
          <w:sz w:val="18"/>
          <w:szCs w:val="18"/>
          <w:color w:val="auto"/>
        </w:rPr>
      </w:pPr>
    </w:p>
    <w:p>
      <w:pPr>
        <w:ind w:left="2220" w:hanging="1159"/>
        <w:spacing w:after="0"/>
        <w:tabs>
          <w:tab w:leader="none" w:pos="2220" w:val="left"/>
        </w:tabs>
        <w:numPr>
          <w:ilvl w:val="1"/>
          <w:numId w:val="4"/>
        </w:numPr>
        <w:rPr>
          <w:rFonts w:ascii="Arial" w:cs="Arial" w:eastAsia="Arial" w:hAnsi="Arial"/>
          <w:sz w:val="18"/>
          <w:szCs w:val="18"/>
          <w:color w:val="auto"/>
        </w:rPr>
      </w:pPr>
      <w:r>
        <w:rPr>
          <w:rFonts w:ascii="Arial" w:cs="Arial" w:eastAsia="Arial" w:hAnsi="Arial"/>
          <w:sz w:val="18"/>
          <w:szCs w:val="18"/>
          <w:color w:val="auto"/>
        </w:rPr>
        <w:t>o</w:t>
      </w:r>
    </w:p>
    <w:p>
      <w:pPr>
        <w:spacing w:after="0" w:line="130" w:lineRule="exact"/>
        <w:rPr>
          <w:rFonts w:ascii="Arial" w:cs="Arial" w:eastAsia="Arial" w:hAnsi="Arial"/>
          <w:sz w:val="18"/>
          <w:szCs w:val="18"/>
          <w:color w:val="auto"/>
        </w:rPr>
      </w:pPr>
    </w:p>
    <w:p>
      <w:pPr>
        <w:ind w:left="2220" w:hanging="1159"/>
        <w:spacing w:after="0"/>
        <w:tabs>
          <w:tab w:leader="none" w:pos="2220" w:val="left"/>
        </w:tabs>
        <w:numPr>
          <w:ilvl w:val="1"/>
          <w:numId w:val="4"/>
        </w:numPr>
        <w:rPr>
          <w:rFonts w:ascii="Arial" w:cs="Arial" w:eastAsia="Arial" w:hAnsi="Arial"/>
          <w:sz w:val="18"/>
          <w:szCs w:val="18"/>
          <w:color w:val="auto"/>
        </w:rPr>
      </w:pPr>
      <w:r>
        <w:rPr>
          <w:rFonts w:ascii="Arial" w:cs="Arial" w:eastAsia="Arial" w:hAnsi="Arial"/>
          <w:sz w:val="18"/>
          <w:szCs w:val="18"/>
          <w:color w:val="auto"/>
        </w:rPr>
        <w:t>o</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hanging="620"/>
        <w:spacing w:after="0"/>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right="7580" w:hanging="620"/>
        <w:spacing w:after="0" w:line="275" w:lineRule="auto"/>
        <w:tabs>
          <w:tab w:leader="none" w:pos="1060" w:val="left"/>
        </w:tabs>
        <w:numPr>
          <w:ilvl w:val="0"/>
          <w:numId w:val="4"/>
        </w:numPr>
        <w:rPr>
          <w:rFonts w:ascii="Arial" w:cs="Arial" w:eastAsia="Arial" w:hAnsi="Arial"/>
          <w:sz w:val="18"/>
          <w:szCs w:val="18"/>
          <w:color w:val="auto"/>
        </w:rPr>
      </w:pPr>
      <w:r>
        <w:rPr>
          <w:rFonts w:ascii="Arial" w:cs="Arial" w:eastAsia="Arial" w:hAnsi="Arial"/>
          <w:sz w:val="18"/>
          <w:szCs w:val="18"/>
          <w:color w:val="auto"/>
        </w:rPr>
        <w:t xml:space="preserve">Citizenship or Place of Organization </w:t>
      </w:r>
      <w:r>
        <w:rPr>
          <w:rFonts w:ascii="Arial" w:cs="Arial" w:eastAsia="Arial" w:hAnsi="Arial"/>
          <w:sz w:val="17"/>
          <w:szCs w:val="17"/>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639445</wp:posOffset>
            </wp:positionH>
            <wp:positionV relativeFrom="paragraph">
              <wp:posOffset>16510</wp:posOffset>
            </wp:positionV>
            <wp:extent cx="661225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-531495</wp:posOffset>
            </wp:positionV>
            <wp:extent cx="661225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-942975</wp:posOffset>
            </wp:positionV>
            <wp:extent cx="587438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-1157605</wp:posOffset>
            </wp:positionV>
            <wp:extent cx="587438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-1774825</wp:posOffset>
            </wp:positionV>
            <wp:extent cx="661225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12255" cy="8890"/>
                    </a:xfrm>
                    <a:prstGeom prst="rect">
                      <a:avLst/>
                    </a:prstGeom>
                    <a:noFill/>
                  </pic:spPr>
                </pic:pic>
              </a:graphicData>
            </a:graphic>
          </wp:anchor>
        </w:drawing>
      </w:r>
    </w:p>
    <w:p>
      <w:pPr>
        <w:sectPr>
          <w:pgSz w:w="11900" w:h="16838" w:orient="portrait"/>
          <w:cols w:equalWidth="0" w:num="1">
            <w:col w:w="11260"/>
          </w:cols>
          <w:pgMar w:left="240" w:top="422" w:right="399" w:bottom="31" w:gutter="0" w:footer="0" w:header="0"/>
        </w:sectPr>
      </w:pPr>
    </w:p>
    <w:p>
      <w:pPr>
        <w:spacing w:after="0" w:line="200" w:lineRule="exact"/>
        <w:rPr>
          <w:sz w:val="24"/>
          <w:szCs w:val="24"/>
          <w:color w:val="auto"/>
        </w:rPr>
      </w:pPr>
    </w:p>
    <w:p>
      <w:pPr>
        <w:spacing w:after="0" w:line="204" w:lineRule="exact"/>
        <w:rPr>
          <w:sz w:val="24"/>
          <w:szCs w:val="24"/>
          <w:color w:val="auto"/>
        </w:rPr>
      </w:pPr>
    </w:p>
    <w:tbl>
      <w:tblPr>
        <w:tblLayout w:type="fixed"/>
        <w:tblInd w:w="60" w:type="dxa"/>
        <w:tblCellMar>
          <w:top w:w="0" w:type="dxa"/>
          <w:left w:w="0" w:type="dxa"/>
          <w:bottom w:w="0" w:type="dxa"/>
          <w:right w:w="0" w:type="dxa"/>
        </w:tblCellMar>
      </w:tblP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Number of</w:t>
            </w:r>
          </w:p>
        </w:tc>
        <w:tc>
          <w:tcPr>
            <w:tcW w:w="50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Shares</w:t>
            </w:r>
          </w:p>
        </w:tc>
        <w:tc>
          <w:tcPr>
            <w:tcW w:w="500" w:type="dxa"/>
            <w:vAlign w:val="bottom"/>
          </w:tcPr>
          <w:p>
            <w:pPr>
              <w:spacing w:after="0"/>
              <w:rPr>
                <w:sz w:val="18"/>
                <w:szCs w:val="18"/>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Beneficially</w:t>
            </w:r>
          </w:p>
        </w:tc>
        <w:tc>
          <w:tcPr>
            <w:tcW w:w="500" w:type="dxa"/>
            <w:vAlign w:val="bottom"/>
          </w:tcPr>
          <w:p>
            <w:pPr>
              <w:spacing w:after="0"/>
              <w:rPr>
                <w:sz w:val="18"/>
                <w:szCs w:val="18"/>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Owned by</w:t>
            </w:r>
          </w:p>
        </w:tc>
        <w:tc>
          <w:tcPr>
            <w:tcW w:w="500" w:type="dxa"/>
            <w:vAlign w:val="bottom"/>
          </w:tcPr>
          <w:p>
            <w:pPr>
              <w:spacing w:after="0"/>
              <w:rPr>
                <w:sz w:val="18"/>
                <w:szCs w:val="18"/>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Each</w:t>
            </w:r>
          </w:p>
        </w:tc>
        <w:tc>
          <w:tcPr>
            <w:tcW w:w="50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Reporting</w:t>
            </w:r>
          </w:p>
        </w:tc>
        <w:tc>
          <w:tcPr>
            <w:tcW w:w="500" w:type="dxa"/>
            <w:vAlign w:val="bottom"/>
          </w:tcPr>
          <w:p>
            <w:pPr>
              <w:spacing w:after="0"/>
              <w:rPr>
                <w:sz w:val="18"/>
                <w:szCs w:val="18"/>
                <w:color w:val="auto"/>
              </w:rPr>
            </w:pPr>
          </w:p>
        </w:tc>
      </w:tr>
      <w:tr>
        <w:trPr>
          <w:trHeight w:val="230"/>
        </w:trPr>
        <w:tc>
          <w:tcPr>
            <w:tcW w:w="1240" w:type="dxa"/>
            <w:vAlign w:val="bottom"/>
          </w:tcPr>
          <w:p>
            <w:pPr>
              <w:spacing w:after="0"/>
              <w:rPr>
                <w:sz w:val="20"/>
                <w:szCs w:val="20"/>
                <w:color w:val="auto"/>
              </w:rPr>
            </w:pPr>
            <w:r>
              <w:rPr>
                <w:rFonts w:ascii="Arial" w:cs="Arial" w:eastAsia="Arial" w:hAnsi="Arial"/>
                <w:sz w:val="18"/>
                <w:szCs w:val="18"/>
                <w:color w:val="auto"/>
              </w:rPr>
              <w:t>Person With</w:t>
            </w:r>
          </w:p>
        </w:tc>
        <w:tc>
          <w:tcPr>
            <w:tcW w:w="500" w:type="dxa"/>
            <w:vAlign w:val="bottom"/>
          </w:tcPr>
          <w:p>
            <w:pPr>
              <w:spacing w:after="0"/>
              <w:rPr>
                <w:sz w:val="20"/>
                <w:szCs w:val="20"/>
                <w:color w:val="auto"/>
              </w:rPr>
            </w:pPr>
          </w:p>
        </w:tc>
      </w:tr>
      <w:tr>
        <w:trPr>
          <w:trHeight w:val="432"/>
        </w:trPr>
        <w:tc>
          <w:tcPr>
            <w:tcW w:w="1240" w:type="dxa"/>
            <w:vAlign w:val="bottom"/>
          </w:tcPr>
          <w:p>
            <w:pPr>
              <w:spacing w:after="0"/>
              <w:rPr>
                <w:sz w:val="24"/>
                <w:szCs w:val="24"/>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7.</w:t>
            </w:r>
          </w:p>
        </w:tc>
      </w:tr>
    </w:tbl>
    <w:p>
      <w:pPr>
        <w:spacing w:after="0" w:line="20" w:lineRule="exact"/>
        <w:rPr>
          <w:sz w:val="24"/>
          <w:szCs w:val="24"/>
          <w:color w:val="auto"/>
        </w:rPr>
      </w:pPr>
      <w:r>
        <w:rPr>
          <w:sz w:val="24"/>
          <w:szCs w:val="24"/>
          <w:color w:val="auto"/>
        </w:rPr>
        <w:br w:type="column"/>
      </w:r>
    </w:p>
    <w:p>
      <w:pPr>
        <w:spacing w:after="0" w:line="384" w:lineRule="exact"/>
        <w:rPr>
          <w:sz w:val="24"/>
          <w:szCs w:val="24"/>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0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4"/>
          <w:szCs w:val="24"/>
          <w:color w:val="auto"/>
        </w:rPr>
      </w:pPr>
    </w:p>
    <w:p>
      <w:pPr>
        <w:spacing w:after="0"/>
        <w:rPr>
          <w:sz w:val="20"/>
          <w:szCs w:val="20"/>
          <w:color w:val="auto"/>
        </w:rPr>
      </w:pPr>
      <w:r>
        <w:rPr>
          <w:rFonts w:ascii="Arial" w:cs="Arial" w:eastAsia="Arial" w:hAnsi="Arial"/>
          <w:sz w:val="18"/>
          <w:szCs w:val="18"/>
          <w:color w:val="auto"/>
        </w:rPr>
        <w:t>43,114,356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4"/>
          <w:szCs w:val="24"/>
          <w:color w:val="auto"/>
        </w:rPr>
      </w:pPr>
    </w:p>
    <w:p>
      <w:pPr>
        <w:spacing w:after="0"/>
        <w:rPr>
          <w:sz w:val="20"/>
          <w:szCs w:val="20"/>
          <w:color w:val="auto"/>
        </w:rPr>
      </w:pPr>
      <w:r>
        <w:rPr>
          <w:rFonts w:ascii="Arial" w:cs="Arial" w:eastAsia="Arial" w:hAnsi="Arial"/>
          <w:sz w:val="18"/>
          <w:szCs w:val="18"/>
          <w:color w:val="auto"/>
        </w:rPr>
        <w:t>0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40005</wp:posOffset>
            </wp:positionV>
            <wp:extent cx="553148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5531485" cy="8890"/>
                    </a:xfrm>
                    <a:prstGeom prst="rect">
                      <a:avLst/>
                    </a:prstGeom>
                    <a:noFill/>
                  </pic:spPr>
                </pic:pic>
              </a:graphicData>
            </a:graphic>
          </wp:anchor>
        </w:drawing>
      </w:r>
    </w:p>
    <w:p>
      <w:pPr>
        <w:sectPr>
          <w:pgSz w:w="11900" w:h="16838" w:orient="portrait"/>
          <w:cols w:equalWidth="0" w:num="2">
            <w:col w:w="2040" w:space="720"/>
            <w:col w:w="8500"/>
          </w:cols>
          <w:pgMar w:left="240" w:top="422" w:right="399" w:bottom="31" w:gutter="0" w:footer="0" w:header="0"/>
          <w:type w:val="continuous"/>
        </w:sectPr>
      </w:pPr>
    </w:p>
    <w:bookmarkStart w:id="1" w:name="page2"/>
    <w:bookmarkEnd w:id="1"/>
    <w:p>
      <w:pPr>
        <w:ind w:left="2700" w:right="6500" w:hanging="1091"/>
        <w:spacing w:after="0" w:line="339" w:lineRule="auto"/>
        <w:tabs>
          <w:tab w:leader="none" w:pos="2700" w:val="left"/>
        </w:tabs>
        <w:numPr>
          <w:ilvl w:val="3"/>
          <w:numId w:val="5"/>
        </w:numPr>
        <w:rPr>
          <w:rFonts w:ascii="Arial" w:cs="Arial" w:eastAsia="Arial" w:hAnsi="Arial"/>
          <w:sz w:val="16"/>
          <w:szCs w:val="16"/>
          <w:color w:val="auto"/>
        </w:rPr>
      </w:pPr>
      <w:r>
        <w:rPr>
          <w:rFonts w:ascii="Arial" w:cs="Arial" w:eastAsia="Arial" w:hAnsi="Arial"/>
          <w:sz w:val="16"/>
          <w:szCs w:val="16"/>
          <w:color w:val="auto"/>
        </w:rPr>
        <w:t xml:space="preserve">Shared Dispositive Power </w:t>
      </w:r>
      <w:r>
        <w:rPr>
          <w:rFonts w:ascii="Arial" w:cs="Arial" w:eastAsia="Arial" w:hAnsi="Arial"/>
          <w:sz w:val="15"/>
          <w:szCs w:val="15"/>
          <w:color w:val="auto"/>
        </w:rPr>
        <w:t>43,114,356 shares*</w:t>
      </w:r>
    </w:p>
    <w:p>
      <w:pPr>
        <w:spacing w:after="0" w:line="344" w:lineRule="exact"/>
        <w:rPr>
          <w:rFonts w:ascii="Arial" w:cs="Arial" w:eastAsia="Arial" w:hAnsi="Arial"/>
          <w:sz w:val="16"/>
          <w:szCs w:val="16"/>
          <w:color w:val="auto"/>
        </w:rPr>
      </w:pPr>
    </w:p>
    <w:p>
      <w:pPr>
        <w:ind w:left="1000" w:right="5280" w:hanging="620"/>
        <w:spacing w:after="0" w:line="275" w:lineRule="auto"/>
        <w:tabs>
          <w:tab w:leader="none" w:pos="1000" w:val="left"/>
        </w:tabs>
        <w:numPr>
          <w:ilvl w:val="1"/>
          <w:numId w:val="6"/>
        </w:numPr>
        <w:rPr>
          <w:rFonts w:ascii="Arial" w:cs="Arial" w:eastAsia="Arial" w:hAnsi="Arial"/>
          <w:sz w:val="18"/>
          <w:szCs w:val="18"/>
          <w:color w:val="auto"/>
        </w:rPr>
      </w:pPr>
      <w:r>
        <w:rPr>
          <w:rFonts w:ascii="Arial" w:cs="Arial" w:eastAsia="Arial" w:hAnsi="Arial"/>
          <w:sz w:val="18"/>
          <w:szCs w:val="18"/>
          <w:color w:val="auto"/>
        </w:rPr>
        <w:t xml:space="preserve">Aggregate Amount Beneficially Owned by Each Reporting Person </w:t>
      </w:r>
      <w:r>
        <w:rPr>
          <w:rFonts w:ascii="Arial" w:cs="Arial" w:eastAsia="Arial" w:hAnsi="Arial"/>
          <w:sz w:val="17"/>
          <w:szCs w:val="17"/>
          <w:color w:val="auto"/>
        </w:rPr>
        <w:t>43,114,356 shares*</w:t>
      </w:r>
    </w:p>
    <w:p>
      <w:pPr>
        <w:spacing w:after="0" w:line="389" w:lineRule="exact"/>
        <w:rPr>
          <w:rFonts w:ascii="Arial" w:cs="Arial" w:eastAsia="Arial" w:hAnsi="Arial"/>
          <w:sz w:val="18"/>
          <w:szCs w:val="18"/>
          <w:color w:val="auto"/>
        </w:rPr>
      </w:pPr>
    </w:p>
    <w:p>
      <w:pPr>
        <w:ind w:left="1000" w:hanging="620"/>
        <w:spacing w:after="0"/>
        <w:tabs>
          <w:tab w:leader="none" w:pos="1000" w:val="left"/>
        </w:tabs>
        <w:numPr>
          <w:ilvl w:val="1"/>
          <w:numId w:val="6"/>
        </w:numPr>
        <w:rPr>
          <w:rFonts w:ascii="Arial" w:cs="Arial" w:eastAsia="Arial" w:hAnsi="Arial"/>
          <w:sz w:val="18"/>
          <w:szCs w:val="18"/>
          <w:color w:val="auto"/>
        </w:rPr>
      </w:pPr>
      <w:r>
        <w:rPr>
          <w:rFonts w:ascii="Arial" w:cs="Arial" w:eastAsia="Arial" w:hAnsi="Arial"/>
          <w:sz w:val="18"/>
          <w:szCs w:val="18"/>
          <w:color w:val="auto"/>
        </w:rPr>
        <w:t>Check if the Aggregate Amount in Row (9) Excludes Certain Shares (See Instructions) o</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57" w:lineRule="exact"/>
        <w:rPr>
          <w:rFonts w:ascii="Arial" w:cs="Arial" w:eastAsia="Arial" w:hAnsi="Arial"/>
          <w:sz w:val="18"/>
          <w:szCs w:val="18"/>
          <w:color w:val="auto"/>
        </w:rPr>
      </w:pPr>
    </w:p>
    <w:p>
      <w:pPr>
        <w:ind w:left="1000" w:hanging="620"/>
        <w:spacing w:after="0"/>
        <w:tabs>
          <w:tab w:leader="none" w:pos="1000" w:val="left"/>
        </w:tabs>
        <w:numPr>
          <w:ilvl w:val="1"/>
          <w:numId w:val="6"/>
        </w:numPr>
        <w:rPr>
          <w:rFonts w:ascii="Arial" w:cs="Arial" w:eastAsia="Arial" w:hAnsi="Arial"/>
          <w:sz w:val="18"/>
          <w:szCs w:val="18"/>
          <w:color w:val="auto"/>
        </w:rPr>
      </w:pPr>
      <w:r>
        <w:rPr>
          <w:rFonts w:ascii="Arial" w:cs="Arial" w:eastAsia="Arial" w:hAnsi="Arial"/>
          <w:sz w:val="18"/>
          <w:szCs w:val="18"/>
          <w:color w:val="auto"/>
        </w:rPr>
        <w:t>Percent of Class Represented by Amount in Row (9)</w:t>
      </w:r>
    </w:p>
    <w:p>
      <w:pPr>
        <w:spacing w:after="0" w:line="23" w:lineRule="exact"/>
        <w:rPr>
          <w:rFonts w:ascii="Arial" w:cs="Arial" w:eastAsia="Arial" w:hAnsi="Arial"/>
          <w:sz w:val="18"/>
          <w:szCs w:val="18"/>
          <w:color w:val="auto"/>
        </w:rPr>
      </w:pPr>
    </w:p>
    <w:p>
      <w:pPr>
        <w:ind w:left="1000"/>
        <w:spacing w:after="0"/>
        <w:rPr>
          <w:rFonts w:ascii="Arial" w:cs="Arial" w:eastAsia="Arial" w:hAnsi="Arial"/>
          <w:sz w:val="18"/>
          <w:szCs w:val="18"/>
          <w:color w:val="auto"/>
        </w:rPr>
      </w:pPr>
      <w:r>
        <w:rPr>
          <w:rFonts w:ascii="Arial" w:cs="Arial" w:eastAsia="Arial" w:hAnsi="Arial"/>
          <w:sz w:val="18"/>
          <w:szCs w:val="18"/>
          <w:color w:val="auto"/>
        </w:rPr>
        <w:t>15.7 %</w:t>
      </w:r>
    </w:p>
    <w:p>
      <w:pPr>
        <w:spacing w:after="0" w:line="200" w:lineRule="exact"/>
        <w:rPr>
          <w:rFonts w:ascii="Arial" w:cs="Arial" w:eastAsia="Arial" w:hAnsi="Arial"/>
          <w:sz w:val="18"/>
          <w:szCs w:val="18"/>
          <w:color w:val="auto"/>
        </w:rPr>
      </w:pPr>
    </w:p>
    <w:p>
      <w:pPr>
        <w:spacing w:after="0" w:line="226" w:lineRule="exact"/>
        <w:rPr>
          <w:rFonts w:ascii="Arial" w:cs="Arial" w:eastAsia="Arial" w:hAnsi="Arial"/>
          <w:sz w:val="18"/>
          <w:szCs w:val="18"/>
          <w:color w:val="auto"/>
        </w:rPr>
      </w:pPr>
    </w:p>
    <w:p>
      <w:pPr>
        <w:ind w:left="1000" w:hanging="620"/>
        <w:spacing w:after="0"/>
        <w:tabs>
          <w:tab w:leader="none" w:pos="1000" w:val="left"/>
        </w:tabs>
        <w:numPr>
          <w:ilvl w:val="1"/>
          <w:numId w:val="6"/>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00"/>
        <w:spacing w:after="0"/>
        <w:rPr>
          <w:rFonts w:ascii="Arial" w:cs="Arial" w:eastAsia="Arial" w:hAnsi="Arial"/>
          <w:sz w:val="18"/>
          <w:szCs w:val="18"/>
          <w:color w:val="auto"/>
        </w:rPr>
      </w:pPr>
      <w:r>
        <w:rPr>
          <w:rFonts w:ascii="Arial" w:cs="Arial" w:eastAsia="Arial" w:hAnsi="Arial"/>
          <w:sz w:val="18"/>
          <w:szCs w:val="18"/>
          <w:color w:val="auto"/>
        </w:rPr>
        <w:t>IN</w:t>
      </w:r>
    </w:p>
    <w:p>
      <w:pPr>
        <w:spacing w:after="0" w:line="200" w:lineRule="exact"/>
        <w:rPr>
          <w:rFonts w:ascii="Arial" w:cs="Arial" w:eastAsia="Arial" w:hAnsi="Arial"/>
          <w:sz w:val="18"/>
          <w:szCs w:val="18"/>
          <w:color w:val="auto"/>
        </w:rPr>
      </w:pPr>
    </w:p>
    <w:p>
      <w:pPr>
        <w:spacing w:after="0" w:line="267" w:lineRule="exact"/>
        <w:rPr>
          <w:rFonts w:ascii="Arial" w:cs="Arial" w:eastAsia="Arial" w:hAnsi="Arial"/>
          <w:sz w:val="18"/>
          <w:szCs w:val="18"/>
          <w:color w:val="auto"/>
        </w:rPr>
      </w:pPr>
    </w:p>
    <w:p>
      <w:pPr>
        <w:ind w:left="280"/>
        <w:spacing w:after="0"/>
        <w:rPr>
          <w:rFonts w:ascii="Arial" w:cs="Arial" w:eastAsia="Arial" w:hAnsi="Arial"/>
          <w:sz w:val="18"/>
          <w:szCs w:val="18"/>
          <w:color w:val="auto"/>
        </w:rPr>
      </w:pPr>
      <w:r>
        <w:rPr>
          <w:rFonts w:ascii="Arial" w:cs="Arial" w:eastAsia="Arial" w:hAnsi="Arial"/>
          <w:sz w:val="18"/>
          <w:szCs w:val="18"/>
          <w:color w:val="auto"/>
        </w:rPr>
        <w:t>* Reporting Person shares dispositive and voting control over the following shares:</w:t>
      </w:r>
    </w:p>
    <w:p>
      <w:pPr>
        <w:spacing w:after="0" w:line="225" w:lineRule="exact"/>
        <w:rPr>
          <w:rFonts w:ascii="Arial" w:cs="Arial" w:eastAsia="Arial" w:hAnsi="Arial"/>
          <w:sz w:val="18"/>
          <w:szCs w:val="18"/>
          <w:color w:val="auto"/>
        </w:rPr>
      </w:pPr>
    </w:p>
    <w:p>
      <w:pPr>
        <w:ind w:left="1240" w:hanging="320"/>
        <w:spacing w:after="0"/>
        <w:tabs>
          <w:tab w:leader="none" w:pos="1240" w:val="left"/>
        </w:tabs>
        <w:numPr>
          <w:ilvl w:val="2"/>
          <w:numId w:val="6"/>
        </w:numPr>
        <w:rPr>
          <w:rFonts w:ascii="Arial" w:cs="Arial" w:eastAsia="Arial" w:hAnsi="Arial"/>
          <w:sz w:val="18"/>
          <w:szCs w:val="18"/>
          <w:color w:val="auto"/>
        </w:rPr>
      </w:pPr>
      <w:r>
        <w:rPr>
          <w:rFonts w:ascii="Arial" w:cs="Arial" w:eastAsia="Arial" w:hAnsi="Arial"/>
          <w:sz w:val="18"/>
          <w:szCs w:val="18"/>
          <w:color w:val="auto"/>
        </w:rPr>
        <w:t>15,086,900 shares directly owned by Reporting Person;</w:t>
      </w:r>
    </w:p>
    <w:p>
      <w:pPr>
        <w:spacing w:after="0" w:line="23" w:lineRule="exact"/>
        <w:rPr>
          <w:rFonts w:ascii="Arial" w:cs="Arial" w:eastAsia="Arial" w:hAnsi="Arial"/>
          <w:sz w:val="18"/>
          <w:szCs w:val="18"/>
          <w:color w:val="auto"/>
        </w:rPr>
      </w:pPr>
    </w:p>
    <w:p>
      <w:pPr>
        <w:ind w:left="1240" w:hanging="320"/>
        <w:spacing w:after="0"/>
        <w:tabs>
          <w:tab w:leader="none" w:pos="1240" w:val="left"/>
        </w:tabs>
        <w:numPr>
          <w:ilvl w:val="2"/>
          <w:numId w:val="6"/>
        </w:numPr>
        <w:rPr>
          <w:rFonts w:ascii="Arial" w:cs="Arial" w:eastAsia="Arial" w:hAnsi="Arial"/>
          <w:sz w:val="16"/>
          <w:szCs w:val="16"/>
          <w:color w:val="auto"/>
        </w:rPr>
      </w:pPr>
      <w:r>
        <w:rPr>
          <w:rFonts w:ascii="Arial" w:cs="Arial" w:eastAsia="Arial" w:hAnsi="Arial"/>
          <w:sz w:val="16"/>
          <w:szCs w:val="16"/>
          <w:color w:val="auto"/>
        </w:rPr>
        <w:t>15,086,900 shares directly owned by Reporting Person’s spouse, Ms. Weili Dai (these shares are indirectly owned by Reporting Person);</w:t>
      </w:r>
    </w:p>
    <w:p>
      <w:pPr>
        <w:spacing w:after="0" w:line="32" w:lineRule="exact"/>
        <w:rPr>
          <w:rFonts w:ascii="Arial" w:cs="Arial" w:eastAsia="Arial" w:hAnsi="Arial"/>
          <w:sz w:val="16"/>
          <w:szCs w:val="16"/>
          <w:color w:val="auto"/>
        </w:rPr>
      </w:pPr>
    </w:p>
    <w:p>
      <w:pPr>
        <w:ind w:left="1240" w:right="40" w:hanging="320"/>
        <w:spacing w:after="0" w:line="250" w:lineRule="auto"/>
        <w:tabs>
          <w:tab w:leader="none" w:pos="1242" w:val="left"/>
        </w:tabs>
        <w:numPr>
          <w:ilvl w:val="2"/>
          <w:numId w:val="6"/>
        </w:numPr>
        <w:rPr>
          <w:rFonts w:ascii="Arial" w:cs="Arial" w:eastAsia="Arial" w:hAnsi="Arial"/>
          <w:sz w:val="18"/>
          <w:szCs w:val="18"/>
          <w:color w:val="auto"/>
        </w:rPr>
      </w:pPr>
      <w:r>
        <w:rPr>
          <w:rFonts w:ascii="Arial" w:cs="Arial" w:eastAsia="Arial" w:hAnsi="Arial"/>
          <w:sz w:val="18"/>
          <w:szCs w:val="18"/>
          <w:color w:val="auto"/>
        </w:rPr>
        <w:t>10,900,000 shares owned by The Sutardja Family Partners, a California family limited partnership (these shares are indirectly owned by Reporting Person);</w:t>
      </w:r>
    </w:p>
    <w:p>
      <w:pPr>
        <w:ind w:left="1240" w:hanging="320"/>
        <w:spacing w:after="0"/>
        <w:tabs>
          <w:tab w:leader="none" w:pos="1240" w:val="left"/>
        </w:tabs>
        <w:numPr>
          <w:ilvl w:val="2"/>
          <w:numId w:val="6"/>
        </w:numPr>
        <w:rPr>
          <w:rFonts w:ascii="Arial" w:cs="Arial" w:eastAsia="Arial" w:hAnsi="Arial"/>
          <w:sz w:val="18"/>
          <w:szCs w:val="18"/>
          <w:color w:val="auto"/>
        </w:rPr>
      </w:pPr>
      <w:r>
        <w:rPr>
          <w:rFonts w:ascii="Arial" w:cs="Arial" w:eastAsia="Arial" w:hAnsi="Arial"/>
          <w:sz w:val="18"/>
          <w:szCs w:val="18"/>
          <w:color w:val="auto"/>
        </w:rPr>
        <w:t>1,141,666 derivative securities directly owned by Reporting Person and exercisable on or at March 1, 2005;</w:t>
      </w:r>
    </w:p>
    <w:p>
      <w:pPr>
        <w:spacing w:after="0" w:line="9" w:lineRule="exact"/>
        <w:rPr>
          <w:rFonts w:ascii="Arial" w:cs="Arial" w:eastAsia="Arial" w:hAnsi="Arial"/>
          <w:sz w:val="18"/>
          <w:szCs w:val="18"/>
          <w:color w:val="auto"/>
        </w:rPr>
      </w:pPr>
    </w:p>
    <w:p>
      <w:pPr>
        <w:ind w:left="1240" w:right="40" w:hanging="320"/>
        <w:spacing w:after="0" w:line="250" w:lineRule="auto"/>
        <w:tabs>
          <w:tab w:leader="none" w:pos="1242" w:val="left"/>
        </w:tabs>
        <w:numPr>
          <w:ilvl w:val="2"/>
          <w:numId w:val="6"/>
        </w:numPr>
        <w:rPr>
          <w:rFonts w:ascii="Arial" w:cs="Arial" w:eastAsia="Arial" w:hAnsi="Arial"/>
          <w:sz w:val="18"/>
          <w:szCs w:val="18"/>
          <w:color w:val="auto"/>
        </w:rPr>
      </w:pPr>
      <w:r>
        <w:rPr>
          <w:rFonts w:ascii="Arial" w:cs="Arial" w:eastAsia="Arial" w:hAnsi="Arial"/>
          <w:sz w:val="18"/>
          <w:szCs w:val="18"/>
          <w:color w:val="auto"/>
        </w:rPr>
        <w:t>716,666 derivative securities directly owned by Reporting Person’s spouse, Ms. Weili Dai and exercisable on or at March 1, 2005 (these securities are indirectly owned by Reporting Person); and</w:t>
      </w:r>
    </w:p>
    <w:p>
      <w:pPr>
        <w:ind w:left="1240" w:hanging="320"/>
        <w:spacing w:after="0"/>
        <w:tabs>
          <w:tab w:leader="none" w:pos="1240" w:val="left"/>
        </w:tabs>
        <w:numPr>
          <w:ilvl w:val="2"/>
          <w:numId w:val="6"/>
        </w:numPr>
        <w:rPr>
          <w:rFonts w:ascii="Arial" w:cs="Arial" w:eastAsia="Arial" w:hAnsi="Arial"/>
          <w:sz w:val="18"/>
          <w:szCs w:val="18"/>
          <w:color w:val="auto"/>
        </w:rPr>
      </w:pPr>
      <w:r>
        <w:rPr>
          <w:rFonts w:ascii="Arial" w:cs="Arial" w:eastAsia="Arial" w:hAnsi="Arial"/>
          <w:sz w:val="18"/>
          <w:szCs w:val="18"/>
          <w:color w:val="auto"/>
        </w:rPr>
        <w:t>182,224 shares directly owned by Reporting Person and his spouse, Ms. 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601345</wp:posOffset>
            </wp:positionH>
            <wp:positionV relativeFrom="paragraph">
              <wp:posOffset>-1631315</wp:posOffset>
            </wp:positionV>
            <wp:extent cx="661225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601345</wp:posOffset>
            </wp:positionH>
            <wp:positionV relativeFrom="paragraph">
              <wp:posOffset>-2180590</wp:posOffset>
            </wp:positionV>
            <wp:extent cx="661225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601345</wp:posOffset>
            </wp:positionH>
            <wp:positionV relativeFrom="paragraph">
              <wp:posOffset>-2729230</wp:posOffset>
            </wp:positionV>
            <wp:extent cx="661225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601345</wp:posOffset>
            </wp:positionH>
            <wp:positionV relativeFrom="paragraph">
              <wp:posOffset>-3277870</wp:posOffset>
            </wp:positionV>
            <wp:extent cx="661225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1682115</wp:posOffset>
            </wp:positionH>
            <wp:positionV relativeFrom="paragraph">
              <wp:posOffset>-3827145</wp:posOffset>
            </wp:positionV>
            <wp:extent cx="553148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5531485" cy="8890"/>
                    </a:xfrm>
                    <a:prstGeom prst="rect">
                      <a:avLst/>
                    </a:prstGeom>
                    <a:noFill/>
                  </pic:spPr>
                </pic:pic>
              </a:graphicData>
            </a:graphic>
          </wp:anchor>
        </w:drawing>
        <w:drawing>
          <wp:anchor simplePos="0" relativeHeight="251657728" behindDoc="1" locked="0" layoutInCell="0" allowOverlap="1">
            <wp:simplePos x="0" y="0"/>
            <wp:positionH relativeFrom="column">
              <wp:posOffset>-32385</wp:posOffset>
            </wp:positionH>
            <wp:positionV relativeFrom="paragraph">
              <wp:posOffset>-1434465</wp:posOffset>
            </wp:positionV>
            <wp:extent cx="182689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19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(Share balances are from SEC Form 4 filed on October 5, 2004.)</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73025</wp:posOffset>
            </wp:positionV>
            <wp:extent cx="7267575"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w:t>
      </w:r>
    </w:p>
    <w:p>
      <w:pPr>
        <w:spacing w:after="0" w:line="121" w:lineRule="exact"/>
        <w:rPr>
          <w:sz w:val="20"/>
          <w:szCs w:val="20"/>
          <w:color w:val="auto"/>
        </w:rPr>
      </w:pPr>
    </w:p>
    <w:p>
      <w:pPr>
        <w:ind w:left="1440" w:hanging="493"/>
        <w:spacing w:after="0"/>
        <w:tabs>
          <w:tab w:leader="none" w:pos="1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23"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16" w:lineRule="exact"/>
        <w:rPr>
          <w:rFonts w:ascii="Arial" w:cs="Arial" w:eastAsia="Arial" w:hAnsi="Arial"/>
          <w:sz w:val="18"/>
          <w:szCs w:val="18"/>
          <w:color w:val="auto"/>
        </w:rPr>
      </w:pPr>
    </w:p>
    <w:p>
      <w:pPr>
        <w:ind w:left="1440" w:right="6220" w:hanging="493"/>
        <w:spacing w:after="0" w:line="258" w:lineRule="auto"/>
        <w:tabs>
          <w:tab w:leader="none" w:pos="1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Address of Issuer’s Principal Executive Offices Marvell Technology Group Ltd.</w:t>
      </w:r>
    </w:p>
    <w:p>
      <w:pPr>
        <w:spacing w:after="0" w:line="1"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Canon’s Court</w:t>
      </w:r>
    </w:p>
    <w:p>
      <w:pPr>
        <w:spacing w:after="0" w:line="9" w:lineRule="exact"/>
        <w:rPr>
          <w:rFonts w:ascii="Arial" w:cs="Arial" w:eastAsia="Arial" w:hAnsi="Arial"/>
          <w:sz w:val="18"/>
          <w:szCs w:val="18"/>
          <w:color w:val="auto"/>
        </w:rPr>
      </w:pPr>
    </w:p>
    <w:p>
      <w:pPr>
        <w:jc w:val="both"/>
        <w:ind w:left="1440" w:right="8360"/>
        <w:spacing w:after="0" w:line="277" w:lineRule="auto"/>
        <w:rPr>
          <w:rFonts w:ascii="Arial" w:cs="Arial" w:eastAsia="Arial" w:hAnsi="Arial"/>
          <w:sz w:val="18"/>
          <w:szCs w:val="18"/>
          <w:color w:val="auto"/>
        </w:rPr>
      </w:pPr>
      <w:r>
        <w:rPr>
          <w:rFonts w:ascii="Arial" w:cs="Arial" w:eastAsia="Arial" w:hAnsi="Arial"/>
          <w:sz w:val="17"/>
          <w:szCs w:val="17"/>
          <w:color w:val="auto"/>
        </w:rPr>
        <w:t>22 Victoria Street Hamilton HM 12 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884555</wp:posOffset>
            </wp:positionH>
            <wp:positionV relativeFrom="paragraph">
              <wp:posOffset>15875</wp:posOffset>
            </wp:positionV>
            <wp:extent cx="632904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-883920</wp:posOffset>
            </wp:positionV>
            <wp:extent cx="632904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w:t>
      </w:r>
    </w:p>
    <w:p>
      <w:pPr>
        <w:spacing w:after="0" w:line="121" w:lineRule="exact"/>
        <w:rPr>
          <w:sz w:val="20"/>
          <w:szCs w:val="20"/>
          <w:color w:val="auto"/>
        </w:rPr>
      </w:pPr>
    </w:p>
    <w:p>
      <w:pPr>
        <w:ind w:left="1440" w:right="8000" w:hanging="493"/>
        <w:spacing w:after="0" w:line="342" w:lineRule="auto"/>
        <w:tabs>
          <w:tab w:leader="none" w:pos="1440" w:val="left"/>
        </w:tabs>
        <w:numPr>
          <w:ilvl w:val="0"/>
          <w:numId w:val="8"/>
        </w:numPr>
        <w:rPr>
          <w:rFonts w:ascii="Arial" w:cs="Arial" w:eastAsia="Arial" w:hAnsi="Arial"/>
          <w:sz w:val="16"/>
          <w:szCs w:val="16"/>
          <w:color w:val="auto"/>
        </w:rPr>
      </w:pPr>
      <w:r>
        <w:rPr>
          <w:rFonts w:ascii="Arial" w:cs="Arial" w:eastAsia="Arial" w:hAnsi="Arial"/>
          <w:sz w:val="16"/>
          <w:szCs w:val="16"/>
          <w:color w:val="auto"/>
        </w:rPr>
        <w:t>Name of Person Filing Dr. Sehat Sutardja</w:t>
      </w:r>
    </w:p>
    <w:p>
      <w:pPr>
        <w:spacing w:after="0" w:line="29" w:lineRule="exact"/>
        <w:rPr>
          <w:rFonts w:ascii="Arial" w:cs="Arial" w:eastAsia="Arial" w:hAnsi="Arial"/>
          <w:sz w:val="16"/>
          <w:szCs w:val="16"/>
          <w:color w:val="auto"/>
        </w:rPr>
      </w:pPr>
    </w:p>
    <w:p>
      <w:pPr>
        <w:ind w:left="1440" w:right="5360" w:hanging="493"/>
        <w:spacing w:after="0" w:line="258" w:lineRule="auto"/>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spacing w:after="0" w:line="1" w:lineRule="exact"/>
        <w:rPr>
          <w:rFonts w:ascii="Arial" w:cs="Arial" w:eastAsia="Arial" w:hAnsi="Arial"/>
          <w:sz w:val="18"/>
          <w:szCs w:val="18"/>
          <w:color w:val="auto"/>
        </w:rPr>
      </w:pPr>
    </w:p>
    <w:p>
      <w:pPr>
        <w:ind w:left="1440" w:right="8040"/>
        <w:spacing w:after="0" w:line="323" w:lineRule="auto"/>
        <w:rPr>
          <w:rFonts w:ascii="Arial" w:cs="Arial" w:eastAsia="Arial" w:hAnsi="Arial"/>
          <w:sz w:val="18"/>
          <w:szCs w:val="18"/>
          <w:color w:val="auto"/>
        </w:rPr>
      </w:pPr>
      <w:r>
        <w:rPr>
          <w:rFonts w:ascii="Arial" w:cs="Arial" w:eastAsia="Arial" w:hAnsi="Arial"/>
          <w:sz w:val="16"/>
          <w:szCs w:val="16"/>
          <w:color w:val="auto"/>
        </w:rPr>
        <w:t>700 First Avenue Sunnyvale, CA 94089</w:t>
      </w:r>
    </w:p>
    <w:p>
      <w:pPr>
        <w:spacing w:after="0" w:line="44" w:lineRule="exact"/>
        <w:rPr>
          <w:rFonts w:ascii="Arial" w:cs="Arial" w:eastAsia="Arial" w:hAnsi="Arial"/>
          <w:sz w:val="18"/>
          <w:szCs w:val="18"/>
          <w:color w:val="auto"/>
        </w:rPr>
      </w:pPr>
    </w:p>
    <w:p>
      <w:pPr>
        <w:ind w:left="1440" w:right="8660" w:hanging="493"/>
        <w:spacing w:after="0" w:line="342" w:lineRule="auto"/>
        <w:tabs>
          <w:tab w:leader="none" w:pos="1440" w:val="left"/>
        </w:tabs>
        <w:numPr>
          <w:ilvl w:val="0"/>
          <w:numId w:val="8"/>
        </w:numPr>
        <w:rPr>
          <w:rFonts w:ascii="Arial" w:cs="Arial" w:eastAsia="Arial" w:hAnsi="Arial"/>
          <w:sz w:val="16"/>
          <w:szCs w:val="16"/>
          <w:color w:val="auto"/>
        </w:rPr>
      </w:pPr>
      <w:r>
        <w:rPr>
          <w:rFonts w:ascii="Arial" w:cs="Arial" w:eastAsia="Arial" w:hAnsi="Arial"/>
          <w:sz w:val="16"/>
          <w:szCs w:val="16"/>
          <w:color w:val="auto"/>
        </w:rPr>
        <w:t>Citizenship United States</w:t>
      </w:r>
    </w:p>
    <w:p>
      <w:pPr>
        <w:spacing w:after="0" w:line="29" w:lineRule="exact"/>
        <w:rPr>
          <w:rFonts w:ascii="Arial" w:cs="Arial" w:eastAsia="Arial" w:hAnsi="Arial"/>
          <w:sz w:val="16"/>
          <w:szCs w:val="16"/>
          <w:color w:val="auto"/>
        </w:rPr>
      </w:pPr>
    </w:p>
    <w:p>
      <w:pPr>
        <w:ind w:left="1440" w:hanging="493"/>
        <w:spacing w:after="0"/>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Common stock, par value $0.002 per share</w:t>
      </w:r>
    </w:p>
    <w:p>
      <w:pPr>
        <w:spacing w:after="0" w:line="116" w:lineRule="exact"/>
        <w:rPr>
          <w:rFonts w:ascii="Arial" w:cs="Arial" w:eastAsia="Arial" w:hAnsi="Arial"/>
          <w:sz w:val="18"/>
          <w:szCs w:val="18"/>
          <w:color w:val="auto"/>
        </w:rPr>
      </w:pPr>
    </w:p>
    <w:p>
      <w:pPr>
        <w:ind w:left="1440" w:right="8480" w:hanging="493"/>
        <w:spacing w:after="0" w:line="342" w:lineRule="auto"/>
        <w:tabs>
          <w:tab w:leader="none" w:pos="1440" w:val="left"/>
        </w:tabs>
        <w:numPr>
          <w:ilvl w:val="0"/>
          <w:numId w:val="8"/>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884555</wp:posOffset>
            </wp:positionH>
            <wp:positionV relativeFrom="paragraph">
              <wp:posOffset>-14605</wp:posOffset>
            </wp:positionV>
            <wp:extent cx="6329045"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-366395</wp:posOffset>
            </wp:positionV>
            <wp:extent cx="632904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-717550</wp:posOffset>
            </wp:positionV>
            <wp:extent cx="6329045"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-1069340</wp:posOffset>
            </wp:positionV>
            <wp:extent cx="6329045"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-1695450</wp:posOffset>
            </wp:positionV>
            <wp:extent cx="6329045"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16" w:lineRule="exact"/>
        <w:rPr>
          <w:sz w:val="20"/>
          <w:szCs w:val="20"/>
          <w:color w:val="auto"/>
        </w:rPr>
      </w:pPr>
    </w:p>
    <w:p>
      <w:pPr>
        <w:spacing w:after="0"/>
        <w:tabs>
          <w:tab w:leader="none" w:pos="9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If this statement is filed pursuant to §§240.13d-1(b) or 240.13d-2(b) or (c), check whether the person filing is a:</w:t>
      </w:r>
    </w:p>
    <w:p>
      <w:pPr>
        <w:spacing w:after="0" w:line="175" w:lineRule="exact"/>
        <w:rPr>
          <w:sz w:val="20"/>
          <w:szCs w:val="20"/>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Broker or dealer registered under section 15 of the Act (15 U.S.C. 78o).</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Bank as defined in section 3(a)(6) of the Act (15 U.S.C. 78c).</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Insurance company as defined in section 3(a)(19) of the Act (15 U.S.C. 78c).</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Investment company registered under section 8 of the Investment Company Act of 1940 (15 U.S.C 80a-8).</w:t>
      </w:r>
    </w:p>
    <w:p>
      <w:pPr>
        <w:sectPr>
          <w:pgSz w:w="11900" w:h="16838" w:orient="portrait"/>
          <w:cols w:equalWidth="0" w:num="1">
            <w:col w:w="11080"/>
          </w:cols>
          <w:pgMar w:left="300" w:top="193" w:right="519" w:bottom="0" w:gutter="0" w:footer="0" w:header="0"/>
        </w:sectPr>
      </w:pPr>
    </w:p>
    <w:bookmarkStart w:id="2" w:name="page3"/>
    <w:bookmarkEnd w:id="2"/>
    <w:p>
      <w:pPr>
        <w:ind w:left="1440" w:hanging="493"/>
        <w:spacing w:after="0"/>
        <w:tabs>
          <w:tab w:leader="none" w:pos="1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investment adviser in accordance with §240.13d-1(b)(1)(ii)(E);</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employee benefit plan or endowment fund in accordance with §240.13d-1(b)(1)(ii)(F);</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parent holding company or control person in accordance with § 240.13d-1(b)(1)(ii)(G);</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savings associations as defined in Section 3(b) of the Federal Deposit Insurance Act (12 U.S.C. 1813);</w:t>
      </w:r>
    </w:p>
    <w:p>
      <w:pPr>
        <w:spacing w:after="0" w:line="225" w:lineRule="exact"/>
        <w:rPr>
          <w:rFonts w:ascii="Arial" w:cs="Arial" w:eastAsia="Arial" w:hAnsi="Arial"/>
          <w:sz w:val="18"/>
          <w:szCs w:val="18"/>
          <w:color w:val="auto"/>
        </w:rPr>
      </w:pPr>
    </w:p>
    <w:p>
      <w:pPr>
        <w:ind w:left="1960" w:right="80" w:hanging="1013"/>
        <w:spacing w:after="0" w:line="277" w:lineRule="auto"/>
        <w:tabs>
          <w:tab w:leader="none" w:pos="1447" w:val="left"/>
        </w:tabs>
        <w:numPr>
          <w:ilvl w:val="0"/>
          <w:numId w:val="10"/>
        </w:numPr>
        <w:rPr>
          <w:rFonts w:ascii="Arial" w:cs="Arial" w:eastAsia="Arial" w:hAnsi="Arial"/>
          <w:sz w:val="18"/>
          <w:szCs w:val="18"/>
          <w:color w:val="auto"/>
        </w:rPr>
      </w:pPr>
      <w:r>
        <w:rPr>
          <w:rFonts w:ascii="Arial" w:cs="Arial" w:eastAsia="Arial" w:hAnsi="Arial"/>
          <w:sz w:val="18"/>
          <w:szCs w:val="18"/>
          <w:color w:val="auto"/>
        </w:rPr>
        <w:t>oA church plan that is excluded from the definition of an investment company under section 3(c)(14) of the Investment Company Act of 1940 (15 U.S.C. 80a-3);</w:t>
      </w:r>
    </w:p>
    <w:p>
      <w:pPr>
        <w:spacing w:after="0" w:line="170" w:lineRule="exact"/>
        <w:rPr>
          <w:rFonts w:ascii="Arial" w:cs="Arial" w:eastAsia="Arial" w:hAnsi="Arial"/>
          <w:sz w:val="18"/>
          <w:szCs w:val="18"/>
          <w:color w:val="auto"/>
        </w:rPr>
      </w:pPr>
    </w:p>
    <w:p>
      <w:pPr>
        <w:ind w:left="1440" w:hanging="493"/>
        <w:spacing w:after="0"/>
        <w:tabs>
          <w:tab w:leader="none" w:pos="1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Group, in accordance with §240.13d-1(b)(1)(ii)(J).</w:t>
      </w:r>
    </w:p>
    <w:p>
      <w:pPr>
        <w:spacing w:after="0" w:line="171" w:lineRule="exact"/>
        <w:rPr>
          <w:sz w:val="20"/>
          <w:szCs w:val="20"/>
          <w:color w:val="auto"/>
        </w:rPr>
      </w:pPr>
    </w:p>
    <w:p>
      <w:pPr>
        <w:ind w:left="940"/>
        <w:spacing w:after="0"/>
        <w:rPr>
          <w:sz w:val="20"/>
          <w:szCs w:val="20"/>
          <w:color w:val="auto"/>
        </w:rPr>
      </w:pPr>
      <w:r>
        <w:rPr>
          <w:rFonts w:ascii="Arial" w:cs="Arial" w:eastAsia="Arial" w:hAnsi="Arial"/>
          <w:sz w:val="18"/>
          <w:szCs w:val="18"/>
          <w:color w:val="auto"/>
        </w:rPr>
        <w:t>Not applicable.</w:t>
      </w:r>
    </w:p>
    <w:p>
      <w:pPr>
        <w:spacing w:after="0" w:line="2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73025</wp:posOffset>
            </wp:positionV>
            <wp:extent cx="7267575"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6"/>
          <w:szCs w:val="16"/>
          <w:b w:val="1"/>
          <w:bCs w:val="1"/>
          <w:color w:val="auto"/>
        </w:rPr>
        <w:t>Ownership</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171" w:lineRule="exact"/>
        <w:rPr>
          <w:sz w:val="20"/>
          <w:szCs w:val="20"/>
          <w:color w:val="auto"/>
        </w:rPr>
      </w:pPr>
    </w:p>
    <w:p>
      <w:pPr>
        <w:ind w:left="1600" w:hanging="394"/>
        <w:spacing w:after="0"/>
        <w:tabs>
          <w:tab w:leader="none" w:pos="16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63" w:lineRule="exact"/>
        <w:rPr>
          <w:rFonts w:ascii="Arial" w:cs="Arial" w:eastAsia="Arial" w:hAnsi="Arial"/>
          <w:sz w:val="18"/>
          <w:szCs w:val="18"/>
          <w:color w:val="auto"/>
        </w:rPr>
      </w:pPr>
    </w:p>
    <w:p>
      <w:pPr>
        <w:ind w:left="1600"/>
        <w:spacing w:after="0"/>
        <w:rPr>
          <w:rFonts w:ascii="Arial" w:cs="Arial" w:eastAsia="Arial" w:hAnsi="Arial"/>
          <w:sz w:val="18"/>
          <w:szCs w:val="18"/>
          <w:color w:val="auto"/>
        </w:rPr>
      </w:pPr>
      <w:r>
        <w:rPr>
          <w:rFonts w:ascii="Arial" w:cs="Arial" w:eastAsia="Arial" w:hAnsi="Arial"/>
          <w:sz w:val="18"/>
          <w:szCs w:val="18"/>
          <w:color w:val="auto"/>
        </w:rPr>
        <w:t>43,114,356 shares.*</w:t>
      </w:r>
    </w:p>
    <w:p>
      <w:pPr>
        <w:spacing w:after="0" w:line="238" w:lineRule="exact"/>
        <w:rPr>
          <w:rFonts w:ascii="Arial" w:cs="Arial" w:eastAsia="Arial" w:hAnsi="Arial"/>
          <w:sz w:val="18"/>
          <w:szCs w:val="18"/>
          <w:color w:val="auto"/>
        </w:rPr>
      </w:pPr>
    </w:p>
    <w:p>
      <w:pPr>
        <w:ind w:left="1600" w:hanging="400"/>
        <w:spacing w:after="0"/>
        <w:tabs>
          <w:tab w:leader="none" w:pos="16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63" w:lineRule="exact"/>
        <w:rPr>
          <w:rFonts w:ascii="Arial" w:cs="Arial" w:eastAsia="Arial" w:hAnsi="Arial"/>
          <w:sz w:val="18"/>
          <w:szCs w:val="18"/>
          <w:color w:val="auto"/>
        </w:rPr>
      </w:pPr>
    </w:p>
    <w:p>
      <w:pPr>
        <w:ind w:left="1600"/>
        <w:spacing w:after="0"/>
        <w:rPr>
          <w:rFonts w:ascii="Arial" w:cs="Arial" w:eastAsia="Arial" w:hAnsi="Arial"/>
          <w:sz w:val="18"/>
          <w:szCs w:val="18"/>
          <w:color w:val="auto"/>
        </w:rPr>
      </w:pPr>
      <w:r>
        <w:rPr>
          <w:rFonts w:ascii="Arial" w:cs="Arial" w:eastAsia="Arial" w:hAnsi="Arial"/>
          <w:sz w:val="18"/>
          <w:szCs w:val="18"/>
          <w:color w:val="auto"/>
        </w:rPr>
        <w:t>15.7 %.</w:t>
      </w:r>
    </w:p>
    <w:p>
      <w:pPr>
        <w:spacing w:after="0" w:line="238" w:lineRule="exact"/>
        <w:rPr>
          <w:rFonts w:ascii="Arial" w:cs="Arial" w:eastAsia="Arial" w:hAnsi="Arial"/>
          <w:sz w:val="18"/>
          <w:szCs w:val="18"/>
          <w:color w:val="auto"/>
        </w:rPr>
      </w:pPr>
    </w:p>
    <w:p>
      <w:pPr>
        <w:ind w:left="1600" w:hanging="394"/>
        <w:spacing w:after="0"/>
        <w:tabs>
          <w:tab w:leader="none" w:pos="16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979170</wp:posOffset>
            </wp:positionH>
            <wp:positionV relativeFrom="paragraph">
              <wp:posOffset>255270</wp:posOffset>
            </wp:positionV>
            <wp:extent cx="623443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979170</wp:posOffset>
            </wp:positionH>
            <wp:positionV relativeFrom="paragraph">
              <wp:posOffset>-198755</wp:posOffset>
            </wp:positionV>
            <wp:extent cx="623443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979170</wp:posOffset>
            </wp:positionH>
            <wp:positionV relativeFrom="paragraph">
              <wp:posOffset>-653415</wp:posOffset>
            </wp:positionV>
            <wp:extent cx="623443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6234430" cy="8890"/>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ind w:left="2220" w:right="6260" w:hanging="453"/>
        <w:spacing w:after="0" w:line="340" w:lineRule="auto"/>
        <w:tabs>
          <w:tab w:leader="none" w:pos="22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Sole power to vote or to direct the vote 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1373505</wp:posOffset>
            </wp:positionH>
            <wp:positionV relativeFrom="paragraph">
              <wp:posOffset>13970</wp:posOffset>
            </wp:positionV>
            <wp:extent cx="5840095"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09" w:lineRule="exact"/>
        <w:rPr>
          <w:sz w:val="20"/>
          <w:szCs w:val="20"/>
          <w:color w:val="auto"/>
        </w:rPr>
      </w:pPr>
    </w:p>
    <w:p>
      <w:pPr>
        <w:ind w:left="2220" w:right="6080" w:hanging="478"/>
        <w:spacing w:after="0" w:line="340" w:lineRule="auto"/>
        <w:tabs>
          <w:tab w:leader="none" w:pos="22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Shared power to vote or to direct the vote 43,114,356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1373505</wp:posOffset>
            </wp:positionH>
            <wp:positionV relativeFrom="paragraph">
              <wp:posOffset>13970</wp:posOffset>
            </wp:positionV>
            <wp:extent cx="5840095"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09" w:lineRule="exact"/>
        <w:rPr>
          <w:sz w:val="20"/>
          <w:szCs w:val="20"/>
          <w:color w:val="auto"/>
        </w:rPr>
      </w:pPr>
    </w:p>
    <w:p>
      <w:pPr>
        <w:ind w:left="2220" w:right="5340" w:hanging="503"/>
        <w:spacing w:after="0" w:line="340" w:lineRule="auto"/>
        <w:tabs>
          <w:tab w:leader="none" w:pos="2220" w:val="left"/>
        </w:tabs>
        <w:numPr>
          <w:ilvl w:val="1"/>
          <w:numId w:val="14"/>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spacing w:after="0" w:line="129" w:lineRule="exact"/>
        <w:rPr>
          <w:rFonts w:ascii="Arial" w:cs="Arial" w:eastAsia="Arial" w:hAnsi="Arial"/>
          <w:sz w:val="18"/>
          <w:szCs w:val="18"/>
          <w:color w:val="auto"/>
        </w:rPr>
      </w:pPr>
    </w:p>
    <w:p>
      <w:pPr>
        <w:ind w:left="2220" w:right="5160" w:hanging="498"/>
        <w:spacing w:after="0" w:line="340" w:lineRule="auto"/>
        <w:tabs>
          <w:tab w:leader="none" w:pos="2220" w:val="left"/>
        </w:tabs>
        <w:numPr>
          <w:ilvl w:val="1"/>
          <w:numId w:val="14"/>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43,114,356 shares.*</w:t>
      </w:r>
    </w:p>
    <w:p>
      <w:pPr>
        <w:spacing w:after="0" w:line="358" w:lineRule="exact"/>
        <w:rPr>
          <w:rFonts w:ascii="Arial" w:cs="Arial" w:eastAsia="Arial" w:hAnsi="Arial"/>
          <w:sz w:val="18"/>
          <w:szCs w:val="18"/>
          <w:color w:val="auto"/>
        </w:rPr>
      </w:pPr>
    </w:p>
    <w:p>
      <w:pPr>
        <w:ind w:left="1600"/>
        <w:spacing w:after="0"/>
        <w:rPr>
          <w:rFonts w:ascii="Arial" w:cs="Arial" w:eastAsia="Arial" w:hAnsi="Arial"/>
          <w:sz w:val="18"/>
          <w:szCs w:val="18"/>
          <w:color w:val="auto"/>
        </w:rPr>
      </w:pPr>
      <w:r>
        <w:rPr>
          <w:rFonts w:ascii="Arial" w:cs="Arial" w:eastAsia="Arial" w:hAnsi="Arial"/>
          <w:sz w:val="18"/>
          <w:szCs w:val="18"/>
          <w:color w:val="auto"/>
        </w:rPr>
        <w:t>* Reporting Person shares dispositive and voting control over the following shares:</w:t>
      </w:r>
    </w:p>
    <w:p>
      <w:pPr>
        <w:spacing w:after="0" w:line="225" w:lineRule="exact"/>
        <w:rPr>
          <w:rFonts w:ascii="Arial" w:cs="Arial" w:eastAsia="Arial" w:hAnsi="Arial"/>
          <w:sz w:val="18"/>
          <w:szCs w:val="18"/>
          <w:color w:val="auto"/>
        </w:rPr>
      </w:pPr>
    </w:p>
    <w:p>
      <w:pPr>
        <w:ind w:left="2720" w:hanging="439"/>
        <w:spacing w:after="0"/>
        <w:tabs>
          <w:tab w:leader="none" w:pos="2720" w:val="left"/>
        </w:tabs>
        <w:numPr>
          <w:ilvl w:val="2"/>
          <w:numId w:val="14"/>
        </w:numPr>
        <w:rPr>
          <w:rFonts w:ascii="Arial" w:cs="Arial" w:eastAsia="Arial" w:hAnsi="Arial"/>
          <w:sz w:val="18"/>
          <w:szCs w:val="18"/>
          <w:color w:val="auto"/>
        </w:rPr>
      </w:pPr>
      <w:r>
        <w:rPr>
          <w:rFonts w:ascii="Arial" w:cs="Arial" w:eastAsia="Arial" w:hAnsi="Arial"/>
          <w:sz w:val="18"/>
          <w:szCs w:val="18"/>
          <w:color w:val="auto"/>
        </w:rPr>
        <w:t>15,086,900 shares directly owned by Reporting Person;</w:t>
      </w:r>
    </w:p>
    <w:p>
      <w:pPr>
        <w:spacing w:after="0" w:line="23" w:lineRule="exact"/>
        <w:rPr>
          <w:rFonts w:ascii="Arial" w:cs="Arial" w:eastAsia="Arial" w:hAnsi="Arial"/>
          <w:sz w:val="18"/>
          <w:szCs w:val="18"/>
          <w:color w:val="auto"/>
        </w:rPr>
      </w:pPr>
    </w:p>
    <w:p>
      <w:pPr>
        <w:ind w:left="2720" w:right="140" w:hanging="439"/>
        <w:spacing w:after="0" w:line="250" w:lineRule="auto"/>
        <w:tabs>
          <w:tab w:leader="none" w:pos="2729" w:val="left"/>
        </w:tabs>
        <w:numPr>
          <w:ilvl w:val="2"/>
          <w:numId w:val="14"/>
        </w:numPr>
        <w:rPr>
          <w:rFonts w:ascii="Arial" w:cs="Arial" w:eastAsia="Arial" w:hAnsi="Arial"/>
          <w:sz w:val="18"/>
          <w:szCs w:val="18"/>
          <w:color w:val="auto"/>
        </w:rPr>
      </w:pPr>
      <w:r>
        <w:rPr>
          <w:rFonts w:ascii="Arial" w:cs="Arial" w:eastAsia="Arial" w:hAnsi="Arial"/>
          <w:sz w:val="18"/>
          <w:szCs w:val="18"/>
          <w:color w:val="auto"/>
        </w:rPr>
        <w:t>15,086,900 shares directly owned by Reporting Person’s spouse, Ms. Weili Dai (these shares are indirectly owned by Reporting Person);</w:t>
      </w:r>
    </w:p>
    <w:p>
      <w:pPr>
        <w:ind w:left="2720" w:right="240" w:hanging="439"/>
        <w:spacing w:after="0" w:line="250" w:lineRule="auto"/>
        <w:tabs>
          <w:tab w:leader="none" w:pos="2729" w:val="left"/>
        </w:tabs>
        <w:numPr>
          <w:ilvl w:val="2"/>
          <w:numId w:val="14"/>
        </w:numPr>
        <w:rPr>
          <w:rFonts w:ascii="Arial" w:cs="Arial" w:eastAsia="Arial" w:hAnsi="Arial"/>
          <w:sz w:val="18"/>
          <w:szCs w:val="18"/>
          <w:color w:val="auto"/>
        </w:rPr>
      </w:pPr>
      <w:r>
        <w:rPr>
          <w:rFonts w:ascii="Arial" w:cs="Arial" w:eastAsia="Arial" w:hAnsi="Arial"/>
          <w:sz w:val="18"/>
          <w:szCs w:val="18"/>
          <w:color w:val="auto"/>
        </w:rPr>
        <w:t>10,900,000 shares owned by The Sutardja Family Partners, a California family limited partnership (these shares are indirectly owned by Reporting Person);</w:t>
      </w:r>
    </w:p>
    <w:p>
      <w:pPr>
        <w:ind w:left="2720" w:hanging="439"/>
        <w:spacing w:after="0"/>
        <w:tabs>
          <w:tab w:leader="none" w:pos="2720" w:val="left"/>
        </w:tabs>
        <w:numPr>
          <w:ilvl w:val="2"/>
          <w:numId w:val="14"/>
        </w:numPr>
        <w:rPr>
          <w:rFonts w:ascii="Arial" w:cs="Arial" w:eastAsia="Arial" w:hAnsi="Arial"/>
          <w:sz w:val="18"/>
          <w:szCs w:val="18"/>
          <w:color w:val="auto"/>
        </w:rPr>
      </w:pPr>
      <w:r>
        <w:rPr>
          <w:rFonts w:ascii="Arial" w:cs="Arial" w:eastAsia="Arial" w:hAnsi="Arial"/>
          <w:sz w:val="18"/>
          <w:szCs w:val="18"/>
          <w:color w:val="auto"/>
        </w:rPr>
        <w:t>1,141,666 derivative securities directly owned by Reporting Person and exercisable on or at March 1, 2005;</w:t>
      </w:r>
    </w:p>
    <w:p>
      <w:pPr>
        <w:spacing w:after="0" w:line="9" w:lineRule="exact"/>
        <w:rPr>
          <w:rFonts w:ascii="Arial" w:cs="Arial" w:eastAsia="Arial" w:hAnsi="Arial"/>
          <w:sz w:val="18"/>
          <w:szCs w:val="18"/>
          <w:color w:val="auto"/>
        </w:rPr>
      </w:pPr>
    </w:p>
    <w:p>
      <w:pPr>
        <w:ind w:left="2720" w:right="320" w:hanging="439"/>
        <w:spacing w:after="0" w:line="250" w:lineRule="auto"/>
        <w:tabs>
          <w:tab w:leader="none" w:pos="2729" w:val="left"/>
        </w:tabs>
        <w:numPr>
          <w:ilvl w:val="2"/>
          <w:numId w:val="14"/>
        </w:numPr>
        <w:rPr>
          <w:rFonts w:ascii="Arial" w:cs="Arial" w:eastAsia="Arial" w:hAnsi="Arial"/>
          <w:sz w:val="18"/>
          <w:szCs w:val="18"/>
          <w:color w:val="auto"/>
        </w:rPr>
      </w:pPr>
      <w:r>
        <w:rPr>
          <w:rFonts w:ascii="Arial" w:cs="Arial" w:eastAsia="Arial" w:hAnsi="Arial"/>
          <w:sz w:val="18"/>
          <w:szCs w:val="18"/>
          <w:color w:val="auto"/>
        </w:rPr>
        <w:t>716,666 derivative securities directly owned by Reporting Person’s spouse, Ms. Weili Dai and exercisable on or at March 1, 2005 (these securities are indirectly owned by Reporting Person); and</w:t>
      </w:r>
    </w:p>
    <w:p>
      <w:pPr>
        <w:ind w:left="2720" w:hanging="439"/>
        <w:spacing w:after="0"/>
        <w:tabs>
          <w:tab w:leader="none" w:pos="2720" w:val="left"/>
        </w:tabs>
        <w:numPr>
          <w:ilvl w:val="2"/>
          <w:numId w:val="14"/>
        </w:numPr>
        <w:rPr>
          <w:rFonts w:ascii="Arial" w:cs="Arial" w:eastAsia="Arial" w:hAnsi="Arial"/>
          <w:sz w:val="18"/>
          <w:szCs w:val="18"/>
          <w:color w:val="auto"/>
        </w:rPr>
      </w:pPr>
      <w:r>
        <w:rPr>
          <w:rFonts w:ascii="Arial" w:cs="Arial" w:eastAsia="Arial" w:hAnsi="Arial"/>
          <w:sz w:val="18"/>
          <w:szCs w:val="18"/>
          <w:color w:val="auto"/>
        </w:rPr>
        <w:t>182,224 shares directly owned by Reporting Person and his spouse, Ms. 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207010</wp:posOffset>
            </wp:positionH>
            <wp:positionV relativeFrom="paragraph">
              <wp:posOffset>-1640205</wp:posOffset>
            </wp:positionV>
            <wp:extent cx="1758315"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758315" cy="8890"/>
                    </a:xfrm>
                    <a:prstGeom prst="rect">
                      <a:avLst/>
                    </a:prstGeom>
                    <a:noFill/>
                  </pic:spPr>
                </pic:pic>
              </a:graphicData>
            </a:graphic>
          </wp:anchor>
        </w:drawing>
        <w:drawing>
          <wp:anchor simplePos="0" relativeHeight="251657728" behindDoc="1" locked="0" layoutInCell="0" allowOverlap="1">
            <wp:simplePos x="0" y="0"/>
            <wp:positionH relativeFrom="column">
              <wp:posOffset>1373505</wp:posOffset>
            </wp:positionH>
            <wp:positionV relativeFrom="paragraph">
              <wp:posOffset>-1725930</wp:posOffset>
            </wp:positionV>
            <wp:extent cx="5840095"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5840095" cy="8890"/>
                    </a:xfrm>
                    <a:prstGeom prst="rect">
                      <a:avLst/>
                    </a:prstGeom>
                    <a:noFill/>
                  </pic:spPr>
                </pic:pic>
              </a:graphicData>
            </a:graphic>
          </wp:anchor>
        </w:drawing>
        <w:drawing>
          <wp:anchor simplePos="0" relativeHeight="251657728" behindDoc="1" locked="0" layoutInCell="0" allowOverlap="1">
            <wp:simplePos x="0" y="0"/>
            <wp:positionH relativeFrom="column">
              <wp:posOffset>1373505</wp:posOffset>
            </wp:positionH>
            <wp:positionV relativeFrom="paragraph">
              <wp:posOffset>-2180590</wp:posOffset>
            </wp:positionV>
            <wp:extent cx="5840095"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91" w:lineRule="exact"/>
        <w:rPr>
          <w:sz w:val="20"/>
          <w:szCs w:val="20"/>
          <w:color w:val="auto"/>
        </w:rPr>
      </w:pPr>
    </w:p>
    <w:p>
      <w:pPr>
        <w:ind w:left="2240"/>
        <w:spacing w:after="0"/>
        <w:rPr>
          <w:sz w:val="20"/>
          <w:szCs w:val="20"/>
          <w:color w:val="auto"/>
        </w:rPr>
      </w:pPr>
      <w:r>
        <w:rPr>
          <w:rFonts w:ascii="Arial" w:cs="Arial" w:eastAsia="Arial" w:hAnsi="Arial"/>
          <w:sz w:val="18"/>
          <w:szCs w:val="18"/>
          <w:color w:val="auto"/>
        </w:rPr>
        <w:t>(Share balances are from SEC Form 4 filed on October 5, 2004.)</w:t>
      </w:r>
    </w:p>
    <w:p>
      <w:pPr>
        <w:spacing w:after="0" w:line="200" w:lineRule="exact"/>
        <w:rPr>
          <w:sz w:val="20"/>
          <w:szCs w:val="20"/>
          <w:color w:val="auto"/>
        </w:rPr>
      </w:pPr>
    </w:p>
    <w:p>
      <w:pPr>
        <w:spacing w:after="0" w:line="237"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6"/>
          <w:szCs w:val="16"/>
          <w:b w:val="1"/>
          <w:bCs w:val="1"/>
          <w:color w:val="auto"/>
        </w:rPr>
        <w:t>Ownership of Five Percent or Less of a Class</w:t>
      </w:r>
    </w:p>
    <w:p>
      <w:pPr>
        <w:spacing w:after="0" w:line="121"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If this statement is being filed to report the fact that as of the date hereof the reporting person has ceased to be the beneficial owner of more than five percent of the class of securities, check the following o.</w:t>
      </w:r>
    </w:p>
    <w:p>
      <w:pPr>
        <w:spacing w:after="0" w:line="383"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6"/>
          <w:szCs w:val="16"/>
          <w:b w:val="1"/>
          <w:bCs w:val="1"/>
          <w:color w:val="auto"/>
        </w:rPr>
        <w:t>Ownership of More than Five Percent on Behalf of Another Person</w:t>
      </w:r>
    </w:p>
    <w:p>
      <w:pPr>
        <w:spacing w:after="0" w:line="121"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7" w:lineRule="exact"/>
        <w:rPr>
          <w:sz w:val="20"/>
          <w:szCs w:val="20"/>
          <w:color w:val="auto"/>
        </w:rPr>
      </w:pPr>
    </w:p>
    <w:p>
      <w:pPr>
        <w:ind w:left="1120" w:hanging="1120"/>
        <w:spacing w:after="0" w:line="282" w:lineRule="auto"/>
        <w:tabs>
          <w:tab w:leader="none" w:pos="110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8"/>
          <w:szCs w:val="18"/>
          <w:b w:val="1"/>
          <w:bCs w:val="1"/>
          <w:color w:val="auto"/>
        </w:rPr>
        <w:t>Identification and Classification of the Subsidiary Which Acquired the Security Being Reported on By the Parent Holding Company or Control Person</w:t>
      </w:r>
    </w:p>
    <w:p>
      <w:pPr>
        <w:spacing w:after="0" w:line="58"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Not applicable.</w:t>
      </w:r>
    </w:p>
    <w:p>
      <w:pPr>
        <w:sectPr>
          <w:pgSz w:w="11900" w:h="16838" w:orient="portrait"/>
          <w:cols w:equalWidth="0" w:num="1">
            <w:col w:w="11280"/>
          </w:cols>
          <w:pgMar w:left="300" w:top="274" w:right="319" w:bottom="0" w:gutter="0" w:footer="0" w:header="0"/>
        </w:sectPr>
      </w:pPr>
    </w:p>
    <w:bookmarkStart w:id="3" w:name="page4"/>
    <w:bookmarkEnd w:id="3"/>
    <w:p>
      <w:pPr>
        <w:ind w:left="60"/>
        <w:spacing w:after="0"/>
        <w:tabs>
          <w:tab w:leader="none" w:pos="116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6"/>
          <w:szCs w:val="16"/>
          <w:b w:val="1"/>
          <w:bCs w:val="1"/>
          <w:color w:val="auto"/>
        </w:rPr>
        <w:t>Identification and Classification of Members of the Group</w:t>
      </w:r>
    </w:p>
    <w:p>
      <w:pPr>
        <w:spacing w:after="0" w:line="121"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7"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6"/>
          <w:szCs w:val="16"/>
          <w:b w:val="1"/>
          <w:bCs w:val="1"/>
          <w:color w:val="auto"/>
        </w:rPr>
        <w:t>Notice of Dissolution of Group</w:t>
      </w:r>
    </w:p>
    <w:p>
      <w:pPr>
        <w:spacing w:after="0" w:line="121"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7"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6"/>
          <w:szCs w:val="16"/>
          <w:b w:val="1"/>
          <w:bCs w:val="1"/>
          <w:color w:val="auto"/>
        </w:rPr>
        <w:t>Certification</w:t>
      </w:r>
    </w:p>
    <w:p>
      <w:pPr>
        <w:spacing w:after="0" w:line="121"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Not applicable.</w:t>
      </w:r>
    </w:p>
    <w:p>
      <w:pPr>
        <w:spacing w:after="0" w:line="279"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64135</wp:posOffset>
            </wp:positionV>
            <wp:extent cx="7267575"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jc w:val="center"/>
        <w:ind w:right="-359"/>
        <w:spacing w:after="0"/>
        <w:rPr>
          <w:sz w:val="20"/>
          <w:szCs w:val="20"/>
          <w:color w:val="auto"/>
        </w:rPr>
      </w:pPr>
      <w:r>
        <w:rPr>
          <w:rFonts w:ascii="Arial" w:cs="Arial" w:eastAsia="Arial" w:hAnsi="Arial"/>
          <w:sz w:val="24"/>
          <w:szCs w:val="24"/>
          <w:b w:val="1"/>
          <w:bCs w:val="1"/>
          <w:color w:val="auto"/>
        </w:rPr>
        <w:t>Signature</w:t>
      </w:r>
    </w:p>
    <w:p>
      <w:pPr>
        <w:spacing w:after="0" w:line="265"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48"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February 11, 2005</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/s/ Dr. Sehat Sutardja</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Dr. Sehat Sutardja/Chief Executive Officer</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Name/Title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060"/>
      </w:cols>
      <w:pgMar w:left="240" w:top="445" w:right="5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9E2A9E3"/>
    <w:multiLevelType w:val="hybridMultilevel"/>
    <w:lvl w:ilvl="0">
      <w:lvlJc w:val="left"/>
      <w:lvlText w:val="G"/>
      <w:numFmt w:val="bullet"/>
      <w:start w:val="1"/>
    </w:lvl>
  </w:abstractNum>
  <w:abstractNum w:abstractNumId="1">
    <w:nsid w:val="7545E146"/>
    <w:multiLevelType w:val="hybridMultilevel"/>
    <w:lvl w:ilvl="0">
      <w:lvlJc w:val="left"/>
      <w:lvlText w:val="o"/>
      <w:numFmt w:val="bullet"/>
      <w:start w:val="1"/>
    </w:lvl>
  </w:abstractNum>
  <w:abstractNum w:abstractNumId="2">
    <w:nsid w:val="515F007C"/>
    <w:multiLevelType w:val="hybridMultilevel"/>
    <w:lvl w:ilvl="0">
      <w:lvlJc w:val="left"/>
      <w:lvlText w:val="☒"/>
      <w:numFmt w:val="bullet"/>
      <w:start w:val="1"/>
    </w:lvl>
  </w:abstractNum>
  <w:abstractNum w:abstractNumId="3">
    <w:nsid w:val="5BD062C2"/>
    <w:multiLevelType w:val="hybridMultilevel"/>
    <w:lvl w:ilvl="0">
      <w:lvlJc w:val="left"/>
      <w:lvlText w:val="%1."/>
      <w:numFmt w:val="decimal"/>
      <w:start w:val="1"/>
    </w:lvl>
    <w:lvl w:ilvl="1">
      <w:lvlJc w:val="left"/>
      <w:lvlText w:val="(%2)"/>
      <w:numFmt w:val="lowerLetter"/>
      <w:start w:val="1"/>
    </w:lvl>
  </w:abstractNum>
  <w:abstractNum w:abstractNumId="4">
    <w:nsid w:val="12200854"/>
    <w:multiLevelType w:val="hybridMultilevel"/>
    <w:lvl w:ilvl="0">
      <w:lvlJc w:val="left"/>
      <w:lvlText w:val="*"/>
      <w:numFmt w:val="bullet"/>
      <w:start w:val="1"/>
    </w:lvl>
    <w:lvl w:ilvl="1">
      <w:lvlJc w:val="left"/>
      <w:lvlText w:val="%2"/>
      <w:numFmt w:val="decimal"/>
      <w:start w:val="1"/>
    </w:lvl>
    <w:lvl w:ilvl="2">
      <w:lvlJc w:val="left"/>
      <w:lvlText w:val="%3"/>
      <w:numFmt w:val="decimal"/>
      <w:start w:val="1"/>
    </w:lvl>
    <w:lvl w:ilvl="3">
      <w:lvlJc w:val="left"/>
      <w:lvlText w:val="%4."/>
      <w:numFmt w:val="decimal"/>
      <w:start w:val="8"/>
    </w:lvl>
  </w:abstractNum>
  <w:abstractNum w:abstractNumId="5">
    <w:nsid w:val="4DB127F8"/>
    <w:multiLevelType w:val="hybridMultilevel"/>
    <w:lvl w:ilvl="0">
      <w:lvlJc w:val="left"/>
      <w:lvlText w:val="*"/>
      <w:numFmt w:val="bullet"/>
      <w:start w:val="1"/>
    </w:lvl>
    <w:lvl w:ilvl="1">
      <w:lvlJc w:val="left"/>
      <w:lvlText w:val="%2."/>
      <w:numFmt w:val="decimal"/>
      <w:start w:val="9"/>
    </w:lvl>
    <w:lvl w:ilvl="2">
      <w:lvlJc w:val="left"/>
      <w:lvlText w:val="%3."/>
      <w:numFmt w:val="decimal"/>
      <w:start w:val="1"/>
    </w:lvl>
    <w:lvl w:ilvl="3">
      <w:lvlJc w:val="left"/>
      <w:lvlText w:val="%4"/>
      <w:numFmt w:val="decimal"/>
      <w:start w:val="1"/>
    </w:lvl>
  </w:abstractNum>
  <w:abstractNum w:abstractNumId="6">
    <w:nsid w:val="216231B"/>
    <w:multiLevelType w:val="hybridMultilevel"/>
    <w:lvl w:ilvl="0">
      <w:lvlJc w:val="left"/>
      <w:lvlText w:val="(%1)"/>
      <w:numFmt w:val="lowerLetter"/>
      <w:start w:val="1"/>
    </w:lvl>
  </w:abstractNum>
  <w:abstractNum w:abstractNumId="7">
    <w:nsid w:val="1F16E9E8"/>
    <w:multiLevelType w:val="hybridMultilevel"/>
    <w:lvl w:ilvl="0">
      <w:lvlJc w:val="left"/>
      <w:lvlText w:val="(%1)"/>
      <w:numFmt w:val="lowerLetter"/>
      <w:start w:val="1"/>
    </w:lvl>
  </w:abstractNum>
  <w:abstractNum w:abstractNumId="8">
    <w:nsid w:val="1190CDE7"/>
    <w:multiLevelType w:val="hybridMultilevel"/>
    <w:lvl w:ilvl="0">
      <w:lvlJc w:val="left"/>
      <w:lvlText w:val="(%1)"/>
      <w:numFmt w:val="lowerLetter"/>
      <w:start w:val="1"/>
    </w:lvl>
  </w:abstractNum>
  <w:abstractNum w:abstractNumId="9">
    <w:nsid w:val="66EF438D"/>
    <w:multiLevelType w:val="hybridMultilevel"/>
    <w:lvl w:ilvl="0">
      <w:lvlJc w:val="left"/>
      <w:lvlText w:val="(%1)"/>
      <w:numFmt w:val="lowerLetter"/>
      <w:start w:val="5"/>
    </w:lvl>
  </w:abstractNum>
  <w:abstractNum w:abstractNumId="10">
    <w:nsid w:val="140E0F76"/>
    <w:multiLevelType w:val="hybridMultilevel"/>
    <w:lvl w:ilvl="0">
      <w:lvlJc w:val="left"/>
      <w:lvlText w:val="(%1)"/>
      <w:numFmt w:val="lowerLetter"/>
      <w:start w:val="1"/>
    </w:lvl>
  </w:abstractNum>
  <w:abstractNum w:abstractNumId="11">
    <w:nsid w:val="3352255A"/>
    <w:multiLevelType w:val="hybridMultilevel"/>
    <w:lvl w:ilvl="0">
      <w:lvlJc w:val="left"/>
      <w:lvlText w:val="(%1)"/>
      <w:numFmt w:val="lowerRoman"/>
      <w:start w:val="1"/>
    </w:lvl>
  </w:abstractNum>
  <w:abstractNum w:abstractNumId="12">
    <w:nsid w:val="109CF92E"/>
    <w:multiLevelType w:val="hybridMultilevel"/>
    <w:lvl w:ilvl="0">
      <w:lvlJc w:val="left"/>
      <w:lvlText w:val="(%1)"/>
      <w:numFmt w:val="lowerRoman"/>
      <w:start w:val="2"/>
    </w:lvl>
  </w:abstractNum>
  <w:abstractNum w:abstractNumId="13">
    <w:nsid w:val="DED7263"/>
    <w:multiLevelType w:val="hybridMultilevel"/>
    <w:lvl w:ilvl="0">
      <w:lvlJc w:val="left"/>
      <w:lvlText w:val="*"/>
      <w:numFmt w:val="bullet"/>
      <w:start w:val="1"/>
    </w:lvl>
    <w:lvl w:ilvl="1">
      <w:lvlJc w:val="left"/>
      <w:lvlText w:val="(%2)"/>
      <w:numFmt w:val="lowerRoman"/>
      <w:start w:val="3"/>
    </w:lvl>
    <w:lvl w:ilvl="2">
      <w:lvlJc w:val="left"/>
      <w:lvlText w:val="%3."/>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2019-12-14T19:24:15Z</dcterms:created>
  <dcterms:modified xsi:type="dcterms:W3CDTF">2019-12-14T19:24:15Z</dcterms:modified>
</cp:coreProperties>
</file>