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380"/>
        <w:spacing w:after="0" w:line="23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36195</wp:posOffset>
            </wp:positionH>
            <wp:positionV relativeFrom="paragraph">
              <wp:posOffset>-236855</wp:posOffset>
            </wp:positionV>
            <wp:extent cx="133350" cy="133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65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-636905</wp:posOffset>
            </wp:positionV>
            <wp:extent cx="58420" cy="650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4113530</wp:posOffset>
            </wp:positionH>
            <wp:positionV relativeFrom="paragraph">
              <wp:posOffset>-636905</wp:posOffset>
            </wp:positionV>
            <wp:extent cx="58420" cy="650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17780</wp:posOffset>
            </wp:positionV>
            <wp:extent cx="7275830" cy="93700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830" cy="937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420"/>
            <w:col w:w="8800"/>
          </w:cols>
          <w:pgMar w:left="240" w:top="223" w:right="13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1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18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"/>
        </w:trPr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700" w:type="dxa"/>
            <w:vAlign w:val="bottom"/>
            <w:shd w:val="clear" w:color="auto" w:fill="0000EE"/>
          </w:tcPr>
          <w:p>
            <w:pPr>
              <w:spacing w:after="0"/>
              <w:rPr>
                <w:rFonts w:ascii="Arial" w:cs="Arial" w:eastAsia="Arial" w:hAnsi="Arial"/>
                <w:sz w:val="1"/>
                <w:szCs w:val="1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1"/>
                  <w:szCs w:val="1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1"/>
                  <w:szCs w:val="1"/>
                  <w:color w:val="000000"/>
                </w:rPr>
                <w:t>]</w:t>
              </w:r>
            </w:hyperlink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04/01/2005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34" w:lineRule="exact"/>
        <w:rPr>
          <w:sz w:val="20"/>
          <w:szCs w:val="20"/>
          <w:color w:val="auto"/>
        </w:rPr>
      </w:pPr>
    </w:p>
    <w:tbl>
      <w:tblPr>
        <w:tblLayout w:type="fixed"/>
        <w:tblInd w:w="4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3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04/01/2005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12,212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38.6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right"/>
              <w:ind w:right="1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10,526,667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28,236,158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50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62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1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1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18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18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18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Weili Dai &amp; Sehat Sutardja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18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Sehat Sutardja &amp; Weili Dai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-5678170</wp:posOffset>
            </wp:positionV>
            <wp:extent cx="24130" cy="34258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342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700 FIRST AVENUE</w:t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1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142875</wp:posOffset>
            </wp:positionH>
            <wp:positionV relativeFrom="page">
              <wp:posOffset>88900</wp:posOffset>
            </wp:positionV>
            <wp:extent cx="2925445" cy="629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629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80"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80"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40"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5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Ms. Weili Dai &amp; Dr. Sehat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04/05/2005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580" w:type="dxa"/>
            <w:vAlign w:val="bottom"/>
            <w:vMerge w:val="restart"/>
          </w:tcPr>
          <w:p>
            <w:pPr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Sutardja</w:t>
            </w:r>
          </w:p>
        </w:tc>
        <w:tc>
          <w:tcPr>
            <w:tcW w:w="17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5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jc w:val="both"/>
        <w:ind w:right="3560" w:firstLine="4"/>
        <w:spacing w:after="0" w:line="314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140"/>
      </w:cols>
      <w:pgMar w:left="280" w:top="140" w:right="4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2019-12-17T03:18:19Z</dcterms:created>
  <dcterms:modified xsi:type="dcterms:W3CDTF">2019-12-17T03:18:19Z</dcterms:modified>
</cp:coreProperties>
</file>