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April 7, 2005</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85" w:right="259" w:bottom="10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4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80"/>
          </w:cols>
          <w:pgMar w:left="240" w:top="585" w:right="259" w:bottom="100"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00"/>
          </w:cols>
          <w:pgMar w:left="240" w:top="585" w:right="259" w:bottom="100" w:gutter="0" w:footer="0" w:header="0"/>
          <w:type w:val="continuous"/>
        </w:sectPr>
      </w:pPr>
    </w:p>
    <w:p>
      <w:pPr>
        <w:spacing w:after="0" w:line="234"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5.02.(b) Departure of Directors or Principal Officers; Election of Directors; Appointment of Principal Officers</w:t>
      </w:r>
    </w:p>
    <w:p>
      <w:pPr>
        <w:spacing w:after="0" w:line="229" w:lineRule="exact"/>
        <w:rPr>
          <w:sz w:val="24"/>
          <w:szCs w:val="24"/>
          <w:color w:val="auto"/>
        </w:rPr>
      </w:pPr>
    </w:p>
    <w:p>
      <w:pPr>
        <w:ind w:firstLine="8"/>
        <w:spacing w:after="0" w:line="257" w:lineRule="auto"/>
        <w:tabs>
          <w:tab w:leader="none" w:pos="655" w:val="left"/>
        </w:tabs>
        <w:numPr>
          <w:ilvl w:val="0"/>
          <w:numId w:val="1"/>
        </w:numPr>
        <w:rPr>
          <w:rFonts w:ascii="Arial" w:cs="Arial" w:eastAsia="Arial" w:hAnsi="Arial"/>
          <w:sz w:val="18"/>
          <w:szCs w:val="18"/>
          <w:color w:val="auto"/>
        </w:rPr>
      </w:pPr>
      <w:r>
        <w:rPr>
          <w:rFonts w:ascii="Arial" w:cs="Arial" w:eastAsia="Arial" w:hAnsi="Arial"/>
          <w:sz w:val="18"/>
          <w:szCs w:val="18"/>
          <w:color w:val="auto"/>
        </w:rPr>
        <w:t>On April 7, 2005, Ronald Verdoorn notified Marvell Technology Group Ltd. (“Marvell”) that he will not seek re-election to Marvell’s Board of Directors at the Annual General Meeting of Shareholders to be held on June 10, 2005 due to his desire to spend more time on other activities. Mr. Verdoorn has served as a director since January 1998 and is currently a member of the Audit Committee and the Governance Committee. Mr. Verdoorn will continue to serve as a director and as a member of the Audit Committee and the Governance Committee until the Annual General Meeting of Shareholders. Marvell thanks him for his time on our Board of Directors and wishes him well.</w:t>
      </w:r>
    </w:p>
    <w:p>
      <w:pPr>
        <w:spacing w:after="0" w:line="188"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6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6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April 12, 2005</w:t>
      </w:r>
    </w:p>
    <w:p>
      <w:pPr>
        <w:spacing w:after="0" w:line="225" w:lineRule="exact"/>
        <w:rPr>
          <w:sz w:val="24"/>
          <w:szCs w:val="24"/>
          <w:color w:val="auto"/>
        </w:rPr>
      </w:pPr>
    </w:p>
    <w:p>
      <w:pPr>
        <w:ind w:left="660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00"/>
          </w:cols>
          <w:pgMar w:left="240" w:top="585" w:right="259" w:bottom="100" w:gutter="0" w:footer="0" w:header="0"/>
          <w:type w:val="continuous"/>
        </w:sectPr>
      </w:pPr>
    </w:p>
    <w:bookmarkStart w:id="1" w:name="page2"/>
    <w:bookmarkEnd w:id="1"/>
    <w:p>
      <w:pPr>
        <w:ind w:left="5400"/>
        <w:spacing w:after="0"/>
        <w:tabs>
          <w:tab w:leader="none" w:pos="588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ind w:left="672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3685540</wp:posOffset>
            </wp:positionH>
            <wp:positionV relativeFrom="paragraph">
              <wp:posOffset>-130810</wp:posOffset>
            </wp:positionV>
            <wp:extent cx="22555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255520" cy="8890"/>
                    </a:xfrm>
                    <a:prstGeom prst="rect">
                      <a:avLst/>
                    </a:prstGeom>
                    <a:noFill/>
                  </pic:spPr>
                </pic:pic>
              </a:graphicData>
            </a:graphic>
          </wp:anchor>
        </w:drawing>
      </w:r>
    </w:p>
    <w:p>
      <w:pPr>
        <w:jc w:val="center"/>
        <w:ind w:left="5740"/>
        <w:spacing w:after="0"/>
        <w:rPr>
          <w:sz w:val="20"/>
          <w:szCs w:val="20"/>
          <w:color w:val="auto"/>
        </w:rPr>
      </w:pPr>
      <w:r>
        <w:rPr>
          <w:rFonts w:ascii="Arial" w:cs="Arial" w:eastAsia="Arial" w:hAnsi="Arial"/>
          <w:sz w:val="16"/>
          <w:szCs w:val="16"/>
          <w:color w:val="auto"/>
        </w:rPr>
        <w:t>Vice President of Finance and</w:t>
      </w:r>
    </w:p>
    <w:p>
      <w:pPr>
        <w:spacing w:after="0" w:line="32" w:lineRule="exact"/>
        <w:rPr>
          <w:sz w:val="20"/>
          <w:szCs w:val="20"/>
          <w:color w:val="auto"/>
        </w:rPr>
      </w:pPr>
    </w:p>
    <w:p>
      <w:pPr>
        <w:jc w:val="center"/>
        <w:ind w:left="574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71755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9019"/>
      </w:cols>
      <w:pgMar w:left="144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2019-12-12T01:57:04Z</dcterms:created>
  <dcterms:modified xsi:type="dcterms:W3CDTF">2019-12-12T01:57:04Z</dcterms:modified>
</cp:coreProperties>
</file>