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9"/>
          <w:szCs w:val="19"/>
          <w:color w:val="0000EE"/>
        </w:rPr>
      </w:pPr>
      <w:hyperlink w:anchor="page119">
        <w:r>
          <w:rPr>
            <w:rFonts w:ascii="Arial" w:cs="Arial" w:eastAsia="Arial" w:hAnsi="Arial"/>
            <w:sz w:val="19"/>
            <w:szCs w:val="19"/>
            <w:u w:val="single" w:color="auto"/>
            <w:color w:val="0000EE"/>
          </w:rPr>
          <w:t>QuickLinks</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9"/>
          <w:szCs w:val="19"/>
          <w:color w:val="000000"/>
        </w:rPr>
        <w:t>Click here to rapidly navigate through this 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6757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269240</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ectPr>
          <w:pgSz w:w="11900" w:h="16838" w:orient="portrait"/>
          <w:cols w:equalWidth="0" w:num="1">
            <w:col w:w="11400"/>
          </w:cols>
          <w:pgMar w:left="240" w:top="469" w:right="259" w:bottom="359"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25" w:lineRule="exact"/>
        <w:rPr>
          <w:sz w:val="24"/>
          <w:szCs w:val="24"/>
          <w:color w:val="auto"/>
        </w:rPr>
      </w:pPr>
    </w:p>
    <w:p>
      <w:pPr>
        <w:jc w:val="center"/>
        <w:ind w:right="-19"/>
        <w:spacing w:after="0"/>
        <w:rPr>
          <w:sz w:val="20"/>
          <w:szCs w:val="20"/>
          <w:color w:val="auto"/>
        </w:rPr>
      </w:pPr>
      <w:r>
        <w:rPr>
          <w:rFonts w:ascii="Arial" w:cs="Arial" w:eastAsia="Arial" w:hAnsi="Arial"/>
          <w:sz w:val="24"/>
          <w:szCs w:val="24"/>
          <w:b w:val="1"/>
          <w:bCs w:val="1"/>
          <w:color w:val="auto"/>
        </w:rPr>
        <w:t>UNITED STATES SECURITIES AND EXCHANGE COMMISSION</w:t>
      </w:r>
    </w:p>
    <w:p>
      <w:pPr>
        <w:spacing w:after="0" w:line="4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0"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10-K</w:t>
      </w:r>
    </w:p>
    <w:p>
      <w:pPr>
        <w:spacing w:after="0" w:line="240" w:lineRule="exact"/>
        <w:rPr>
          <w:sz w:val="24"/>
          <w:szCs w:val="24"/>
          <w:color w:val="auto"/>
        </w:rPr>
      </w:pPr>
    </w:p>
    <w:p>
      <w:pPr>
        <w:ind w:left="300"/>
        <w:spacing w:after="0"/>
        <w:rPr>
          <w:sz w:val="20"/>
          <w:szCs w:val="20"/>
          <w:color w:val="auto"/>
        </w:rPr>
      </w:pPr>
      <w:r>
        <w:rPr>
          <w:rFonts w:ascii="Arial" w:cs="Arial" w:eastAsia="Arial" w:hAnsi="Arial"/>
          <w:sz w:val="18"/>
          <w:szCs w:val="18"/>
          <w:b w:val="1"/>
          <w:bCs w:val="1"/>
          <w:color w:val="auto"/>
        </w:rPr>
        <w:t>(Mark One)</w:t>
      </w:r>
    </w:p>
    <w:p>
      <w:pPr>
        <w:spacing w:after="0" w:line="239" w:lineRule="exact"/>
        <w:rPr>
          <w:sz w:val="24"/>
          <w:szCs w:val="24"/>
          <w:color w:val="auto"/>
        </w:rPr>
      </w:pPr>
    </w:p>
    <w:p>
      <w:pPr>
        <w:ind w:left="1500" w:right="3360" w:hanging="844"/>
        <w:spacing w:after="0" w:line="256" w:lineRule="auto"/>
        <w:tabs>
          <w:tab w:leader="none" w:pos="150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ANNUAL REPORT PURSUANT TO SECTION 13 OR 15(d) OF THE SECURITIES EXCHANGE ACT OF 1934</w:t>
      </w:r>
    </w:p>
    <w:p>
      <w:pPr>
        <w:spacing w:after="0" w:line="203" w:lineRule="exact"/>
        <w:rPr>
          <w:sz w:val="24"/>
          <w:szCs w:val="24"/>
          <w:color w:val="auto"/>
        </w:rPr>
      </w:pPr>
    </w:p>
    <w:p>
      <w:pPr>
        <w:ind w:left="1500"/>
        <w:spacing w:after="0"/>
        <w:rPr>
          <w:sz w:val="20"/>
          <w:szCs w:val="20"/>
          <w:color w:val="auto"/>
        </w:rPr>
      </w:pPr>
      <w:r>
        <w:rPr>
          <w:rFonts w:ascii="Arial" w:cs="Arial" w:eastAsia="Arial" w:hAnsi="Arial"/>
          <w:sz w:val="18"/>
          <w:szCs w:val="18"/>
          <w:b w:val="1"/>
          <w:bCs w:val="1"/>
          <w:color w:val="auto"/>
        </w:rPr>
        <w:t>For the fiscal year ended January 29, 2005</w:t>
      </w:r>
    </w:p>
    <w:p>
      <w:pPr>
        <w:spacing w:after="0" w:line="25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239" w:lineRule="exact"/>
        <w:rPr>
          <w:sz w:val="24"/>
          <w:szCs w:val="24"/>
          <w:color w:val="auto"/>
        </w:rPr>
      </w:pPr>
    </w:p>
    <w:p>
      <w:pPr>
        <w:ind w:left="1500" w:right="2920" w:hanging="803"/>
        <w:spacing w:after="0" w:line="256" w:lineRule="auto"/>
        <w:tabs>
          <w:tab w:leader="none" w:pos="150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03" w:lineRule="exact"/>
        <w:rPr>
          <w:sz w:val="24"/>
          <w:szCs w:val="24"/>
          <w:color w:val="auto"/>
        </w:rPr>
      </w:pPr>
    </w:p>
    <w:p>
      <w:pPr>
        <w:ind w:left="1500"/>
        <w:spacing w:after="0"/>
        <w:rPr>
          <w:sz w:val="20"/>
          <w:szCs w:val="20"/>
          <w:color w:val="auto"/>
        </w:rPr>
      </w:pPr>
      <w:r>
        <w:rPr>
          <w:rFonts w:ascii="Arial" w:cs="Arial" w:eastAsia="Arial" w:hAnsi="Arial"/>
          <w:sz w:val="18"/>
          <w:szCs w:val="18"/>
          <w:b w:val="1"/>
          <w:bCs w:val="1"/>
          <w:color w:val="auto"/>
        </w:rPr>
        <w:t>For the transition period from N/A to</w:t>
      </w:r>
    </w:p>
    <w:p>
      <w:pPr>
        <w:spacing w:after="0" w:line="25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0-30877</w:t>
      </w:r>
    </w:p>
    <w:p>
      <w:pPr>
        <w:spacing w:after="0" w:line="196"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19"/>
        <w:spacing w:after="0"/>
        <w:rPr>
          <w:sz w:val="20"/>
          <w:szCs w:val="20"/>
          <w:color w:val="auto"/>
        </w:rPr>
      </w:pPr>
      <w:r>
        <w:rPr>
          <w:rFonts w:ascii="Arial" w:cs="Arial" w:eastAsia="Arial" w:hAnsi="Arial"/>
          <w:sz w:val="14"/>
          <w:szCs w:val="14"/>
          <w:i w:val="1"/>
          <w:iCs w:val="1"/>
          <w:color w:val="auto"/>
        </w:rPr>
        <w:t>(Exact name of registrant as specified in its charter)</w:t>
      </w:r>
    </w:p>
    <w:p>
      <w:pPr>
        <w:spacing w:after="0" w:line="189" w:lineRule="exact"/>
        <w:rPr>
          <w:sz w:val="24"/>
          <w:szCs w:val="24"/>
          <w:color w:val="auto"/>
        </w:rPr>
      </w:pPr>
    </w:p>
    <w:tbl>
      <w:tblPr>
        <w:tblLayout w:type="fixed"/>
        <w:tblInd w:w="1980" w:type="dxa"/>
        <w:tblCellMar>
          <w:top w:w="0" w:type="dxa"/>
          <w:left w:w="0" w:type="dxa"/>
          <w:bottom w:w="0" w:type="dxa"/>
          <w:right w:w="0" w:type="dxa"/>
        </w:tblCellMar>
      </w:tblPr>
      <w:tr>
        <w:trPr>
          <w:trHeight w:val="220"/>
        </w:trPr>
        <w:tc>
          <w:tcPr>
            <w:tcW w:w="3900" w:type="dxa"/>
            <w:vAlign w:val="bottom"/>
          </w:tcPr>
          <w:p>
            <w:pPr>
              <w:jc w:val="center"/>
              <w:ind w:right="216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66"/>
              <w:spacing w:after="0"/>
              <w:rPr>
                <w:sz w:val="20"/>
                <w:szCs w:val="20"/>
                <w:color w:val="auto"/>
              </w:rPr>
            </w:pPr>
            <w:r>
              <w:rPr>
                <w:rFonts w:ascii="Arial" w:cs="Arial" w:eastAsia="Arial" w:hAnsi="Arial"/>
                <w:sz w:val="18"/>
                <w:szCs w:val="18"/>
                <w:b w:val="1"/>
                <w:bCs w:val="1"/>
                <w:color w:val="auto"/>
                <w:w w:val="87"/>
              </w:rPr>
              <w:t>77-0481679</w:t>
            </w:r>
          </w:p>
        </w:tc>
      </w:tr>
      <w:tr>
        <w:trPr>
          <w:trHeight w:val="149"/>
        </w:trPr>
        <w:tc>
          <w:tcPr>
            <w:tcW w:w="3900" w:type="dxa"/>
            <w:vAlign w:val="bottom"/>
          </w:tcPr>
          <w:p>
            <w:pPr>
              <w:jc w:val="center"/>
              <w:ind w:right="2166"/>
              <w:spacing w:after="0" w:line="149" w:lineRule="exact"/>
              <w:rPr>
                <w:sz w:val="20"/>
                <w:szCs w:val="20"/>
                <w:color w:val="auto"/>
              </w:rPr>
            </w:pPr>
            <w:r>
              <w:rPr>
                <w:rFonts w:ascii="Arial" w:cs="Arial" w:eastAsia="Arial" w:hAnsi="Arial"/>
                <w:sz w:val="14"/>
                <w:szCs w:val="14"/>
                <w:i w:val="1"/>
                <w:iCs w:val="1"/>
                <w:color w:val="auto"/>
                <w:w w:val="90"/>
              </w:rPr>
              <w:t>(State or other jurisdiction of</w:t>
            </w:r>
          </w:p>
        </w:tc>
        <w:tc>
          <w:tcPr>
            <w:tcW w:w="3240" w:type="dxa"/>
            <w:vAlign w:val="bottom"/>
          </w:tcPr>
          <w:p>
            <w:pPr>
              <w:jc w:val="center"/>
              <w:ind w:left="2186"/>
              <w:spacing w:after="0" w:line="149" w:lineRule="exact"/>
              <w:rPr>
                <w:sz w:val="20"/>
                <w:szCs w:val="20"/>
                <w:color w:val="auto"/>
              </w:rPr>
            </w:pPr>
            <w:r>
              <w:rPr>
                <w:rFonts w:ascii="Arial" w:cs="Arial" w:eastAsia="Arial" w:hAnsi="Arial"/>
                <w:sz w:val="14"/>
                <w:szCs w:val="14"/>
                <w:i w:val="1"/>
                <w:iCs w:val="1"/>
                <w:color w:val="auto"/>
                <w:w w:val="87"/>
              </w:rPr>
              <w:t>(I.R.S. Employer</w:t>
            </w:r>
          </w:p>
        </w:tc>
      </w:tr>
      <w:tr>
        <w:trPr>
          <w:trHeight w:val="172"/>
        </w:trPr>
        <w:tc>
          <w:tcPr>
            <w:tcW w:w="3900" w:type="dxa"/>
            <w:vAlign w:val="bottom"/>
          </w:tcPr>
          <w:p>
            <w:pPr>
              <w:jc w:val="center"/>
              <w:ind w:right="2166"/>
              <w:spacing w:after="0"/>
              <w:rPr>
                <w:sz w:val="20"/>
                <w:szCs w:val="20"/>
                <w:color w:val="auto"/>
              </w:rPr>
            </w:pPr>
            <w:r>
              <w:rPr>
                <w:rFonts w:ascii="Arial" w:cs="Arial" w:eastAsia="Arial" w:hAnsi="Arial"/>
                <w:sz w:val="14"/>
                <w:szCs w:val="14"/>
                <w:i w:val="1"/>
                <w:iCs w:val="1"/>
                <w:color w:val="auto"/>
                <w:w w:val="91"/>
              </w:rPr>
              <w:t>incorporation or organization)</w:t>
            </w:r>
          </w:p>
        </w:tc>
        <w:tc>
          <w:tcPr>
            <w:tcW w:w="3240" w:type="dxa"/>
            <w:vAlign w:val="bottom"/>
          </w:tcPr>
          <w:p>
            <w:pPr>
              <w:jc w:val="center"/>
              <w:ind w:left="2166"/>
              <w:spacing w:after="0"/>
              <w:rPr>
                <w:sz w:val="20"/>
                <w:szCs w:val="20"/>
                <w:color w:val="auto"/>
              </w:rPr>
            </w:pPr>
            <w:r>
              <w:rPr>
                <w:rFonts w:ascii="Arial" w:cs="Arial" w:eastAsia="Arial" w:hAnsi="Arial"/>
                <w:sz w:val="14"/>
                <w:szCs w:val="14"/>
                <w:i w:val="1"/>
                <w:iCs w:val="1"/>
                <w:color w:val="auto"/>
                <w:w w:val="91"/>
              </w:rPr>
              <w:t>Identification No.)</w:t>
            </w:r>
          </w:p>
        </w:tc>
      </w:tr>
    </w:tbl>
    <w:p>
      <w:pPr>
        <w:spacing w:after="0" w:line="18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i w:val="1"/>
          <w:iCs w:val="1"/>
          <w:color w:val="auto"/>
        </w:rPr>
        <w:t>(Address of principal executive offices)</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i w:val="1"/>
          <w:i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3261995</wp:posOffset>
            </wp:positionH>
            <wp:positionV relativeFrom="paragraph">
              <wp:posOffset>128270</wp:posOffset>
            </wp:positionV>
            <wp:extent cx="74168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41680" cy="21590"/>
                    </a:xfrm>
                    <a:prstGeom prst="rect">
                      <a:avLst/>
                    </a:prstGeom>
                    <a:noFill/>
                  </pic:spPr>
                </pic:pic>
              </a:graphicData>
            </a:graphic>
          </wp:anchor>
        </w:drawing>
      </w:r>
    </w:p>
    <w:p>
      <w:pPr>
        <w:spacing w:after="0" w:line="200" w:lineRule="exact"/>
        <w:rPr>
          <w:sz w:val="24"/>
          <w:szCs w:val="24"/>
          <w:color w:val="auto"/>
        </w:rPr>
      </w:pPr>
    </w:p>
    <w:p>
      <w:pPr>
        <w:spacing w:after="0" w:line="21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None</w:t>
      </w:r>
    </w:p>
    <w:p>
      <w:pPr>
        <w:spacing w:after="0" w:line="213"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registered pursuant to Section 12(g) of the Act:</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stock, $0.002 par value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3261995</wp:posOffset>
            </wp:positionH>
            <wp:positionV relativeFrom="paragraph">
              <wp:posOffset>142240</wp:posOffset>
            </wp:positionV>
            <wp:extent cx="74168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41680" cy="21590"/>
                    </a:xfrm>
                    <a:prstGeom prst="rect">
                      <a:avLst/>
                    </a:prstGeom>
                    <a:noFill/>
                  </pic:spPr>
                </pic:pic>
              </a:graphicData>
            </a:graphic>
          </wp:anchor>
        </w:drawing>
      </w:r>
    </w:p>
    <w:p>
      <w:pPr>
        <w:spacing w:after="0" w:line="200" w:lineRule="exact"/>
        <w:rPr>
          <w:sz w:val="24"/>
          <w:szCs w:val="24"/>
          <w:color w:val="auto"/>
        </w:rPr>
      </w:pPr>
    </w:p>
    <w:p>
      <w:pPr>
        <w:spacing w:after="0" w:line="242" w:lineRule="exact"/>
        <w:rPr>
          <w:sz w:val="24"/>
          <w:szCs w:val="24"/>
          <w:color w:val="auto"/>
        </w:rPr>
      </w:pPr>
    </w:p>
    <w:p>
      <w:pPr>
        <w:ind w:right="320" w:firstLine="351"/>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o</w:t>
      </w:r>
    </w:p>
    <w:p>
      <w:pPr>
        <w:spacing w:after="0" w:line="192" w:lineRule="exact"/>
        <w:rPr>
          <w:sz w:val="24"/>
          <w:szCs w:val="24"/>
          <w:color w:val="auto"/>
        </w:rPr>
      </w:pPr>
    </w:p>
    <w:p>
      <w:pPr>
        <w:ind w:right="120" w:firstLine="351"/>
        <w:spacing w:after="0" w:line="259" w:lineRule="auto"/>
        <w:rPr>
          <w:sz w:val="20"/>
          <w:szCs w:val="20"/>
          <w:color w:val="auto"/>
        </w:rPr>
      </w:pPr>
      <w:r>
        <w:rPr>
          <w:rFonts w:ascii="Arial" w:cs="Arial" w:eastAsia="Arial" w:hAnsi="Arial"/>
          <w:sz w:val="18"/>
          <w:szCs w:val="18"/>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162" w:lineRule="exact"/>
        <w:rPr>
          <w:sz w:val="24"/>
          <w:szCs w:val="24"/>
          <w:color w:val="auto"/>
        </w:rPr>
      </w:pPr>
    </w:p>
    <w:p>
      <w:pPr>
        <w:ind w:left="360"/>
        <w:spacing w:after="0" w:line="184" w:lineRule="exact"/>
        <w:tabs>
          <w:tab w:leader="none" w:pos="8440" w:val="left"/>
        </w:tabs>
        <w:rPr>
          <w:sz w:val="20"/>
          <w:szCs w:val="20"/>
          <w:color w:val="auto"/>
        </w:rPr>
      </w:pPr>
      <w:r>
        <w:rPr>
          <w:rFonts w:ascii="Arial" w:cs="Arial" w:eastAsia="Arial" w:hAnsi="Arial"/>
          <w:sz w:val="16"/>
          <w:szCs w:val="16"/>
          <w:color w:val="auto"/>
        </w:rPr>
        <w:t xml:space="preserve">Indicate by check mark whether the registrant is an accelerated filer (as defined in Rule 12b-2 of the Act). Yes </w:t>
      </w:r>
      <w:r>
        <w:rPr>
          <w:rFonts w:ascii="MS PGothic" w:cs="MS PGothic" w:eastAsia="MS PGothic" w:hAnsi="MS PGothic"/>
          <w:sz w:val="16"/>
          <w:szCs w:val="16"/>
          <w:color w:val="auto"/>
        </w:rPr>
        <w:t>☒</w:t>
      </w:r>
      <w:r>
        <w:rPr>
          <w:rFonts w:ascii="Arial" w:cs="Arial" w:eastAsia="Arial" w:hAnsi="Arial"/>
          <w:sz w:val="16"/>
          <w:szCs w:val="16"/>
          <w:color w:val="auto"/>
        </w:rPr>
        <w:tab/>
        <w:t>No o</w:t>
      </w:r>
    </w:p>
    <w:p>
      <w:pPr>
        <w:spacing w:after="0" w:line="281" w:lineRule="exact"/>
        <w:rPr>
          <w:sz w:val="24"/>
          <w:szCs w:val="24"/>
          <w:color w:val="auto"/>
        </w:rPr>
      </w:pPr>
    </w:p>
    <w:p>
      <w:pPr>
        <w:ind w:right="200" w:firstLine="348"/>
        <w:spacing w:after="0" w:line="323" w:lineRule="auto"/>
        <w:rPr>
          <w:sz w:val="20"/>
          <w:szCs w:val="20"/>
          <w:color w:val="auto"/>
        </w:rPr>
      </w:pPr>
      <w:r>
        <w:rPr>
          <w:rFonts w:ascii="Arial" w:cs="Arial" w:eastAsia="Arial" w:hAnsi="Arial"/>
          <w:sz w:val="15"/>
          <w:szCs w:val="15"/>
          <w:color w:val="auto"/>
        </w:rPr>
        <w:t>The aggregate market value of the registrant's common stock held by non-affiliates of the registrant was approximately $3,830,300,333 based upon the closing price of $23.22 per share of such common stock on the Nasdaq National Market on July 30, 2004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152" w:lineRule="exact"/>
        <w:rPr>
          <w:sz w:val="24"/>
          <w:szCs w:val="24"/>
          <w:color w:val="auto"/>
        </w:rPr>
      </w:pPr>
    </w:p>
    <w:p>
      <w:pPr>
        <w:ind w:left="340"/>
        <w:spacing w:after="0"/>
        <w:rPr>
          <w:sz w:val="20"/>
          <w:szCs w:val="20"/>
          <w:color w:val="auto"/>
        </w:rPr>
      </w:pPr>
      <w:r>
        <w:rPr>
          <w:rFonts w:ascii="Arial" w:cs="Arial" w:eastAsia="Arial" w:hAnsi="Arial"/>
          <w:sz w:val="18"/>
          <w:szCs w:val="18"/>
          <w:color w:val="auto"/>
        </w:rPr>
        <w:t>As of March 31, 2005, there were 279,147,578 shares of common stock of the Company outstanding.</w:t>
      </w:r>
    </w:p>
    <w:p>
      <w:pPr>
        <w:spacing w:after="0" w:line="21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31" w:lineRule="exact"/>
        <w:rPr>
          <w:sz w:val="24"/>
          <w:szCs w:val="24"/>
          <w:color w:val="auto"/>
        </w:rPr>
      </w:pPr>
    </w:p>
    <w:p>
      <w:pPr>
        <w:ind w:firstLine="351"/>
        <w:spacing w:after="0" w:line="298" w:lineRule="auto"/>
        <w:rPr>
          <w:sz w:val="20"/>
          <w:szCs w:val="20"/>
          <w:color w:val="auto"/>
        </w:rPr>
      </w:pPr>
      <w:r>
        <w:rPr>
          <w:rFonts w:ascii="Arial" w:cs="Arial" w:eastAsia="Arial" w:hAnsi="Arial"/>
          <w:sz w:val="16"/>
          <w:szCs w:val="16"/>
          <w:color w:val="auto"/>
        </w:rPr>
        <w:t>Items 10 (as to directors, section 16(a) beneficial ownership reporting compliance, and audit committee and audit committee financial expert), 11, 12 (as to beneficial ownership), 13 and 14 incorporate by reference information from the Company's definitive proxy statement (the "Proxy Statement") to be filed with the Securities and Exchange Commission within 120 days of the fiscal year ended January 29, 2005 in connection with the Company's 2005 Annual General Meeting of Shareholders. Except as expressly incorporated by reference, the registrant's Proxy Statement shall not be deemed to be a part of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186055</wp:posOffset>
            </wp:positionV>
            <wp:extent cx="726757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357505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69" w:right="259" w:bottom="359"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28"/>
        </w:trPr>
        <w:tc>
          <w:tcPr>
            <w:tcW w:w="1180" w:type="dxa"/>
            <w:vAlign w:val="bottom"/>
          </w:tcPr>
          <w:p>
            <w:pPr>
              <w:spacing w:after="0"/>
              <w:rPr>
                <w:sz w:val="19"/>
                <w:szCs w:val="19"/>
                <w:color w:val="auto"/>
              </w:rPr>
            </w:pPr>
          </w:p>
        </w:tc>
        <w:tc>
          <w:tcPr>
            <w:tcW w:w="9780" w:type="dxa"/>
            <w:vAlign w:val="bottom"/>
          </w:tcPr>
          <w:p>
            <w:pPr>
              <w:ind w:left="3580"/>
              <w:spacing w:after="0"/>
              <w:rPr>
                <w:sz w:val="20"/>
                <w:szCs w:val="20"/>
                <w:color w:val="auto"/>
              </w:rPr>
            </w:pPr>
            <w:r>
              <w:rPr>
                <w:rFonts w:ascii="Arial" w:cs="Arial" w:eastAsia="Arial" w:hAnsi="Arial"/>
                <w:sz w:val="18"/>
                <w:szCs w:val="18"/>
                <w:b w:val="1"/>
                <w:bCs w:val="1"/>
                <w:color w:val="auto"/>
              </w:rPr>
              <w:t>TABLE OF CONTENTS</w:t>
            </w:r>
          </w:p>
        </w:tc>
        <w:tc>
          <w:tcPr>
            <w:tcW w:w="460" w:type="dxa"/>
            <w:vAlign w:val="bottom"/>
          </w:tcPr>
          <w:p>
            <w:pPr>
              <w:spacing w:after="0"/>
              <w:rPr>
                <w:sz w:val="19"/>
                <w:szCs w:val="19"/>
                <w:color w:val="auto"/>
              </w:rPr>
            </w:pPr>
          </w:p>
        </w:tc>
      </w:tr>
      <w:tr>
        <w:trPr>
          <w:trHeight w:val="380"/>
        </w:trPr>
        <w:tc>
          <w:tcPr>
            <w:tcW w:w="1180" w:type="dxa"/>
            <w:vAlign w:val="bottom"/>
          </w:tcPr>
          <w:p>
            <w:pPr>
              <w:spacing w:after="0"/>
              <w:rPr>
                <w:sz w:val="24"/>
                <w:szCs w:val="24"/>
                <w:color w:val="auto"/>
              </w:rPr>
            </w:pPr>
          </w:p>
        </w:tc>
        <w:tc>
          <w:tcPr>
            <w:tcW w:w="9780" w:type="dxa"/>
            <w:vAlign w:val="bottom"/>
          </w:tcPr>
          <w:p>
            <w:pPr>
              <w:spacing w:after="0"/>
              <w:rPr>
                <w:sz w:val="24"/>
                <w:szCs w:val="24"/>
                <w:color w:val="auto"/>
              </w:rPr>
            </w:pPr>
          </w:p>
        </w:tc>
        <w:tc>
          <w:tcPr>
            <w:tcW w:w="460" w:type="dxa"/>
            <w:vAlign w:val="bottom"/>
          </w:tcPr>
          <w:p>
            <w:pPr>
              <w:jc w:val="right"/>
              <w:ind w:right="13"/>
              <w:spacing w:after="0"/>
              <w:rPr>
                <w:sz w:val="20"/>
                <w:szCs w:val="20"/>
                <w:color w:val="auto"/>
              </w:rPr>
            </w:pPr>
            <w:r>
              <w:rPr>
                <w:rFonts w:ascii="Arial" w:cs="Arial" w:eastAsia="Arial" w:hAnsi="Arial"/>
                <w:sz w:val="14"/>
                <w:szCs w:val="14"/>
                <w:b w:val="1"/>
                <w:bCs w:val="1"/>
                <w:color w:val="auto"/>
              </w:rPr>
              <w:t>Page</w:t>
            </w:r>
          </w:p>
        </w:tc>
      </w:tr>
      <w:tr>
        <w:trPr>
          <w:trHeight w:val="105"/>
        </w:trPr>
        <w:tc>
          <w:tcPr>
            <w:tcW w:w="1180" w:type="dxa"/>
            <w:vAlign w:val="bottom"/>
          </w:tcPr>
          <w:p>
            <w:pPr>
              <w:spacing w:after="0"/>
              <w:rPr>
                <w:sz w:val="9"/>
                <w:szCs w:val="9"/>
                <w:color w:val="auto"/>
              </w:rPr>
            </w:pPr>
          </w:p>
        </w:tc>
        <w:tc>
          <w:tcPr>
            <w:tcW w:w="97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r>
      <w:tr>
        <w:trPr>
          <w:trHeight w:val="105"/>
        </w:trPr>
        <w:tc>
          <w:tcPr>
            <w:tcW w:w="1180" w:type="dxa"/>
            <w:vAlign w:val="bottom"/>
          </w:tcPr>
          <w:p>
            <w:pPr>
              <w:spacing w:after="0"/>
              <w:rPr>
                <w:sz w:val="9"/>
                <w:szCs w:val="9"/>
                <w:color w:val="auto"/>
              </w:rPr>
            </w:pPr>
          </w:p>
        </w:tc>
        <w:tc>
          <w:tcPr>
            <w:tcW w:w="9780" w:type="dxa"/>
            <w:vAlign w:val="bottom"/>
          </w:tcPr>
          <w:p>
            <w:pPr>
              <w:spacing w:after="0"/>
              <w:rPr>
                <w:sz w:val="9"/>
                <w:szCs w:val="9"/>
                <w:color w:val="auto"/>
              </w:rPr>
            </w:pPr>
          </w:p>
        </w:tc>
        <w:tc>
          <w:tcPr>
            <w:tcW w:w="460" w:type="dxa"/>
            <w:vAlign w:val="bottom"/>
          </w:tcPr>
          <w:p>
            <w:pPr>
              <w:spacing w:after="0"/>
              <w:rPr>
                <w:sz w:val="9"/>
                <w:szCs w:val="9"/>
                <w:color w:val="auto"/>
              </w:rPr>
            </w:pPr>
          </w:p>
        </w:tc>
      </w:tr>
      <w:tr>
        <w:trPr>
          <w:trHeight w:val="216"/>
        </w:trPr>
        <w:tc>
          <w:tcPr>
            <w:tcW w:w="1180" w:type="dxa"/>
            <w:vAlign w:val="bottom"/>
            <w:shd w:val="clear" w:color="auto" w:fill="CCEEFF"/>
          </w:tcPr>
          <w:p>
            <w:pPr>
              <w:spacing w:after="0"/>
              <w:rPr>
                <w:sz w:val="18"/>
                <w:szCs w:val="18"/>
                <w:color w:val="auto"/>
              </w:rPr>
            </w:pPr>
          </w:p>
        </w:tc>
        <w:tc>
          <w:tcPr>
            <w:tcW w:w="9780" w:type="dxa"/>
            <w:vAlign w:val="bottom"/>
            <w:shd w:val="clear" w:color="auto" w:fill="CCEEFF"/>
          </w:tcPr>
          <w:p>
            <w:pPr>
              <w:jc w:val="center"/>
              <w:ind w:right="632"/>
              <w:spacing w:after="0"/>
              <w:rPr>
                <w:sz w:val="20"/>
                <w:szCs w:val="20"/>
                <w:color w:val="auto"/>
              </w:rPr>
            </w:pPr>
            <w:r>
              <w:rPr>
                <w:rFonts w:ascii="Arial" w:cs="Arial" w:eastAsia="Arial" w:hAnsi="Arial"/>
                <w:sz w:val="18"/>
                <w:szCs w:val="18"/>
                <w:b w:val="1"/>
                <w:bCs w:val="1"/>
                <w:color w:val="auto"/>
                <w:w w:val="98"/>
              </w:rPr>
              <w:t>PART I</w:t>
            </w:r>
          </w:p>
        </w:tc>
        <w:tc>
          <w:tcPr>
            <w:tcW w:w="460" w:type="dxa"/>
            <w:vAlign w:val="bottom"/>
            <w:shd w:val="clear" w:color="auto" w:fill="CCEEFF"/>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1.</w:t>
            </w:r>
          </w:p>
        </w:tc>
        <w:tc>
          <w:tcPr>
            <w:tcW w:w="9780" w:type="dxa"/>
            <w:vAlign w:val="bottom"/>
          </w:tcPr>
          <w:p>
            <w:pPr>
              <w:ind w:left="440"/>
              <w:spacing w:after="0"/>
              <w:rPr>
                <w:sz w:val="20"/>
                <w:szCs w:val="20"/>
                <w:color w:val="auto"/>
              </w:rPr>
            </w:pPr>
            <w:r>
              <w:rPr>
                <w:rFonts w:ascii="Arial" w:cs="Arial" w:eastAsia="Arial" w:hAnsi="Arial"/>
                <w:sz w:val="18"/>
                <w:szCs w:val="18"/>
                <w:color w:val="auto"/>
              </w:rPr>
              <w:t>Business</w:t>
            </w:r>
          </w:p>
        </w:tc>
        <w:tc>
          <w:tcPr>
            <w:tcW w:w="46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2.</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Properties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3.</w:t>
            </w:r>
          </w:p>
        </w:tc>
        <w:tc>
          <w:tcPr>
            <w:tcW w:w="9780" w:type="dxa"/>
            <w:vAlign w:val="bottom"/>
          </w:tcPr>
          <w:p>
            <w:pPr>
              <w:ind w:left="440"/>
              <w:spacing w:after="0"/>
              <w:rPr>
                <w:sz w:val="20"/>
                <w:szCs w:val="20"/>
                <w:color w:val="auto"/>
              </w:rPr>
            </w:pPr>
            <w:r>
              <w:rPr>
                <w:rFonts w:ascii="Arial" w:cs="Arial" w:eastAsia="Arial" w:hAnsi="Arial"/>
                <w:sz w:val="18"/>
                <w:szCs w:val="18"/>
                <w:color w:val="auto"/>
              </w:rPr>
              <w:t>Legal Proceedings</w:t>
            </w:r>
          </w:p>
        </w:tc>
        <w:tc>
          <w:tcPr>
            <w:tcW w:w="46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4.</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Submission of Matters to a Vote of Security Holders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r>
      <w:tr>
        <w:trPr>
          <w:trHeight w:val="457"/>
        </w:trPr>
        <w:tc>
          <w:tcPr>
            <w:tcW w:w="1180" w:type="dxa"/>
            <w:vAlign w:val="bottom"/>
          </w:tcPr>
          <w:p>
            <w:pPr>
              <w:spacing w:after="0"/>
              <w:rPr>
                <w:sz w:val="24"/>
                <w:szCs w:val="24"/>
                <w:color w:val="auto"/>
              </w:rPr>
            </w:pPr>
          </w:p>
        </w:tc>
        <w:tc>
          <w:tcPr>
            <w:tcW w:w="9780" w:type="dxa"/>
            <w:vAlign w:val="bottom"/>
          </w:tcPr>
          <w:p>
            <w:pPr>
              <w:jc w:val="center"/>
              <w:ind w:right="612"/>
              <w:spacing w:after="0"/>
              <w:rPr>
                <w:sz w:val="20"/>
                <w:szCs w:val="20"/>
                <w:color w:val="auto"/>
              </w:rPr>
            </w:pPr>
            <w:r>
              <w:rPr>
                <w:rFonts w:ascii="Arial" w:cs="Arial" w:eastAsia="Arial" w:hAnsi="Arial"/>
                <w:sz w:val="18"/>
                <w:szCs w:val="18"/>
                <w:b w:val="1"/>
                <w:bCs w:val="1"/>
                <w:color w:val="auto"/>
                <w:w w:val="99"/>
              </w:rPr>
              <w:t>PART II</w:t>
            </w:r>
          </w:p>
        </w:tc>
        <w:tc>
          <w:tcPr>
            <w:tcW w:w="460" w:type="dxa"/>
            <w:vAlign w:val="bottom"/>
          </w:tcPr>
          <w:p>
            <w:pPr>
              <w:spacing w:after="0"/>
              <w:rPr>
                <w:sz w:val="24"/>
                <w:szCs w:val="24"/>
                <w:color w:val="auto"/>
              </w:rPr>
            </w:pPr>
          </w:p>
        </w:tc>
      </w:tr>
      <w:tr>
        <w:trPr>
          <w:trHeight w:val="218"/>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5.</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Market for Registrant's Common Equity, Related Stockholder Matters and Issuer Purchases of Equity Securities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6.</w:t>
            </w:r>
          </w:p>
        </w:tc>
        <w:tc>
          <w:tcPr>
            <w:tcW w:w="9780" w:type="dxa"/>
            <w:vAlign w:val="bottom"/>
          </w:tcPr>
          <w:p>
            <w:pPr>
              <w:ind w:left="440"/>
              <w:spacing w:after="0"/>
              <w:rPr>
                <w:sz w:val="20"/>
                <w:szCs w:val="20"/>
                <w:color w:val="auto"/>
              </w:rPr>
            </w:pPr>
            <w:r>
              <w:rPr>
                <w:rFonts w:ascii="Arial" w:cs="Arial" w:eastAsia="Arial" w:hAnsi="Arial"/>
                <w:sz w:val="18"/>
                <w:szCs w:val="18"/>
                <w:color w:val="auto"/>
              </w:rPr>
              <w:t>Selected Consolidated Financial Data</w:t>
            </w:r>
          </w:p>
        </w:tc>
        <w:tc>
          <w:tcPr>
            <w:tcW w:w="4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7.</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7A.</w:t>
            </w:r>
          </w:p>
        </w:tc>
        <w:tc>
          <w:tcPr>
            <w:tcW w:w="9780" w:type="dxa"/>
            <w:vAlign w:val="bottom"/>
          </w:tcPr>
          <w:p>
            <w:pPr>
              <w:ind w:left="440"/>
              <w:spacing w:after="0"/>
              <w:rPr>
                <w:sz w:val="20"/>
                <w:szCs w:val="20"/>
                <w:color w:val="auto"/>
              </w:rPr>
            </w:pPr>
            <w:r>
              <w:rPr>
                <w:rFonts w:ascii="Arial" w:cs="Arial" w:eastAsia="Arial" w:hAnsi="Arial"/>
                <w:sz w:val="18"/>
                <w:szCs w:val="18"/>
                <w:color w:val="auto"/>
              </w:rPr>
              <w:t>Quantitative and Qualitative Disclosures About Market Risk</w:t>
            </w:r>
          </w:p>
        </w:tc>
        <w:tc>
          <w:tcPr>
            <w:tcW w:w="46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8.</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Consolidated Financial Statements and Supplementary Data</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9.</w:t>
            </w:r>
          </w:p>
        </w:tc>
        <w:tc>
          <w:tcPr>
            <w:tcW w:w="9780" w:type="dxa"/>
            <w:vAlign w:val="bottom"/>
          </w:tcPr>
          <w:p>
            <w:pPr>
              <w:ind w:left="440"/>
              <w:spacing w:after="0"/>
              <w:rPr>
                <w:sz w:val="20"/>
                <w:szCs w:val="20"/>
                <w:color w:val="auto"/>
              </w:rPr>
            </w:pPr>
            <w:r>
              <w:rPr>
                <w:rFonts w:ascii="Arial" w:cs="Arial" w:eastAsia="Arial" w:hAnsi="Arial"/>
                <w:sz w:val="18"/>
                <w:szCs w:val="18"/>
                <w:color w:val="auto"/>
              </w:rPr>
              <w:t>Changes in and Disagreements with Accountants on Accounting and Financial Disclosure</w:t>
            </w:r>
          </w:p>
        </w:tc>
        <w:tc>
          <w:tcPr>
            <w:tcW w:w="460" w:type="dxa"/>
            <w:vAlign w:val="bottom"/>
          </w:tcPr>
          <w:p>
            <w:pPr>
              <w:jc w:val="right"/>
              <w:spacing w:after="0"/>
              <w:rPr>
                <w:sz w:val="20"/>
                <w:szCs w:val="20"/>
                <w:color w:val="auto"/>
              </w:rPr>
            </w:pPr>
            <w:r>
              <w:rPr>
                <w:rFonts w:ascii="Arial" w:cs="Arial" w:eastAsia="Arial" w:hAnsi="Arial"/>
                <w:sz w:val="18"/>
                <w:szCs w:val="18"/>
                <w:color w:val="auto"/>
              </w:rPr>
              <w:t>108</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9A.</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Controls and Procedures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9B.</w:t>
            </w:r>
          </w:p>
        </w:tc>
        <w:tc>
          <w:tcPr>
            <w:tcW w:w="9780" w:type="dxa"/>
            <w:vAlign w:val="bottom"/>
          </w:tcPr>
          <w:p>
            <w:pPr>
              <w:ind w:left="440"/>
              <w:spacing w:after="0"/>
              <w:rPr>
                <w:sz w:val="20"/>
                <w:szCs w:val="20"/>
                <w:color w:val="auto"/>
              </w:rPr>
            </w:pPr>
            <w:r>
              <w:rPr>
                <w:rFonts w:ascii="Arial" w:cs="Arial" w:eastAsia="Arial" w:hAnsi="Arial"/>
                <w:sz w:val="18"/>
                <w:szCs w:val="18"/>
                <w:color w:val="auto"/>
              </w:rPr>
              <w:t>Other Information</w:t>
            </w:r>
          </w:p>
        </w:tc>
        <w:tc>
          <w:tcPr>
            <w:tcW w:w="460" w:type="dxa"/>
            <w:vAlign w:val="bottom"/>
          </w:tcPr>
          <w:p>
            <w:pPr>
              <w:jc w:val="right"/>
              <w:spacing w:after="0"/>
              <w:rPr>
                <w:sz w:val="20"/>
                <w:szCs w:val="20"/>
                <w:color w:val="auto"/>
              </w:rPr>
            </w:pPr>
            <w:r>
              <w:rPr>
                <w:rFonts w:ascii="Arial" w:cs="Arial" w:eastAsia="Arial" w:hAnsi="Arial"/>
                <w:sz w:val="18"/>
                <w:szCs w:val="18"/>
                <w:color w:val="auto"/>
              </w:rPr>
              <w:t>108</w:t>
            </w:r>
          </w:p>
        </w:tc>
      </w:tr>
      <w:tr>
        <w:trPr>
          <w:trHeight w:val="459"/>
        </w:trPr>
        <w:tc>
          <w:tcPr>
            <w:tcW w:w="1180" w:type="dxa"/>
            <w:vAlign w:val="bottom"/>
            <w:shd w:val="clear" w:color="auto" w:fill="CCEEFF"/>
          </w:tcPr>
          <w:p>
            <w:pPr>
              <w:spacing w:after="0"/>
              <w:rPr>
                <w:sz w:val="24"/>
                <w:szCs w:val="24"/>
                <w:color w:val="auto"/>
              </w:rPr>
            </w:pPr>
          </w:p>
        </w:tc>
        <w:tc>
          <w:tcPr>
            <w:tcW w:w="9780" w:type="dxa"/>
            <w:vAlign w:val="bottom"/>
            <w:shd w:val="clear" w:color="auto" w:fill="CCEEFF"/>
          </w:tcPr>
          <w:p>
            <w:pPr>
              <w:jc w:val="center"/>
              <w:ind w:right="632"/>
              <w:spacing w:after="0"/>
              <w:rPr>
                <w:sz w:val="20"/>
                <w:szCs w:val="20"/>
                <w:color w:val="auto"/>
              </w:rPr>
            </w:pPr>
            <w:r>
              <w:rPr>
                <w:rFonts w:ascii="Arial" w:cs="Arial" w:eastAsia="Arial" w:hAnsi="Arial"/>
                <w:sz w:val="18"/>
                <w:szCs w:val="18"/>
                <w:b w:val="1"/>
                <w:bCs w:val="1"/>
                <w:color w:val="auto"/>
              </w:rPr>
              <w:t>PART III</w:t>
            </w:r>
          </w:p>
        </w:tc>
        <w:tc>
          <w:tcPr>
            <w:tcW w:w="460" w:type="dxa"/>
            <w:vAlign w:val="bottom"/>
            <w:shd w:val="clear" w:color="auto" w:fill="CCEEFF"/>
          </w:tcPr>
          <w:p>
            <w:pPr>
              <w:spacing w:after="0"/>
              <w:rPr>
                <w:sz w:val="24"/>
                <w:szCs w:val="24"/>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10.</w:t>
            </w:r>
          </w:p>
        </w:tc>
        <w:tc>
          <w:tcPr>
            <w:tcW w:w="9780" w:type="dxa"/>
            <w:vAlign w:val="bottom"/>
          </w:tcPr>
          <w:p>
            <w:pPr>
              <w:ind w:left="440"/>
              <w:spacing w:after="0"/>
              <w:rPr>
                <w:sz w:val="20"/>
                <w:szCs w:val="20"/>
                <w:color w:val="auto"/>
              </w:rPr>
            </w:pPr>
            <w:r>
              <w:rPr>
                <w:rFonts w:ascii="Arial" w:cs="Arial" w:eastAsia="Arial" w:hAnsi="Arial"/>
                <w:sz w:val="18"/>
                <w:szCs w:val="18"/>
                <w:color w:val="auto"/>
              </w:rPr>
              <w:t>Directors and Executive Officers of the Registrant</w:t>
            </w:r>
          </w:p>
        </w:tc>
        <w:tc>
          <w:tcPr>
            <w:tcW w:w="460" w:type="dxa"/>
            <w:vAlign w:val="bottom"/>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11.</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Executive Compensation</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12.</w:t>
            </w:r>
          </w:p>
        </w:tc>
        <w:tc>
          <w:tcPr>
            <w:tcW w:w="9780" w:type="dxa"/>
            <w:vAlign w:val="bottom"/>
          </w:tcPr>
          <w:p>
            <w:pPr>
              <w:ind w:left="440"/>
              <w:spacing w:after="0"/>
              <w:rPr>
                <w:sz w:val="20"/>
                <w:szCs w:val="20"/>
                <w:color w:val="auto"/>
              </w:rPr>
            </w:pPr>
            <w:r>
              <w:rPr>
                <w:rFonts w:ascii="Arial" w:cs="Arial" w:eastAsia="Arial" w:hAnsi="Arial"/>
                <w:sz w:val="18"/>
                <w:szCs w:val="18"/>
                <w:color w:val="auto"/>
              </w:rPr>
              <w:t>Security Ownership of Certain Beneficial Owners and Management and Related Stockholders Matters</w:t>
            </w:r>
          </w:p>
        </w:tc>
        <w:tc>
          <w:tcPr>
            <w:tcW w:w="460" w:type="dxa"/>
            <w:vAlign w:val="bottom"/>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Item 13.</w:t>
            </w:r>
          </w:p>
        </w:tc>
        <w:tc>
          <w:tcPr>
            <w:tcW w:w="9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Certain Relationships and Related Transactions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14.</w:t>
            </w:r>
          </w:p>
        </w:tc>
        <w:tc>
          <w:tcPr>
            <w:tcW w:w="9780" w:type="dxa"/>
            <w:vAlign w:val="bottom"/>
          </w:tcPr>
          <w:p>
            <w:pPr>
              <w:ind w:left="440"/>
              <w:spacing w:after="0"/>
              <w:rPr>
                <w:sz w:val="20"/>
                <w:szCs w:val="20"/>
                <w:color w:val="auto"/>
              </w:rPr>
            </w:pPr>
            <w:r>
              <w:rPr>
                <w:rFonts w:ascii="Arial" w:cs="Arial" w:eastAsia="Arial" w:hAnsi="Arial"/>
                <w:sz w:val="18"/>
                <w:szCs w:val="18"/>
                <w:color w:val="auto"/>
              </w:rPr>
              <w:t>Principal Accountant Fees and Services</w:t>
            </w:r>
          </w:p>
        </w:tc>
        <w:tc>
          <w:tcPr>
            <w:tcW w:w="460" w:type="dxa"/>
            <w:vAlign w:val="bottom"/>
          </w:tcPr>
          <w:p>
            <w:pPr>
              <w:jc w:val="right"/>
              <w:spacing w:after="0"/>
              <w:rPr>
                <w:sz w:val="20"/>
                <w:szCs w:val="20"/>
                <w:color w:val="auto"/>
              </w:rPr>
            </w:pPr>
            <w:r>
              <w:rPr>
                <w:rFonts w:ascii="Arial" w:cs="Arial" w:eastAsia="Arial" w:hAnsi="Arial"/>
                <w:sz w:val="18"/>
                <w:szCs w:val="18"/>
                <w:color w:val="auto"/>
              </w:rPr>
              <w:t>110</w:t>
            </w:r>
          </w:p>
        </w:tc>
      </w:tr>
      <w:tr>
        <w:trPr>
          <w:trHeight w:val="459"/>
        </w:trPr>
        <w:tc>
          <w:tcPr>
            <w:tcW w:w="1180" w:type="dxa"/>
            <w:vAlign w:val="bottom"/>
            <w:shd w:val="clear" w:color="auto" w:fill="CCEEFF"/>
          </w:tcPr>
          <w:p>
            <w:pPr>
              <w:spacing w:after="0"/>
              <w:rPr>
                <w:sz w:val="24"/>
                <w:szCs w:val="24"/>
                <w:color w:val="auto"/>
              </w:rPr>
            </w:pPr>
          </w:p>
        </w:tc>
        <w:tc>
          <w:tcPr>
            <w:tcW w:w="9780" w:type="dxa"/>
            <w:vAlign w:val="bottom"/>
            <w:shd w:val="clear" w:color="auto" w:fill="CCEEFF"/>
          </w:tcPr>
          <w:p>
            <w:pPr>
              <w:jc w:val="center"/>
              <w:ind w:right="632"/>
              <w:spacing w:after="0"/>
              <w:rPr>
                <w:sz w:val="20"/>
                <w:szCs w:val="20"/>
                <w:color w:val="auto"/>
              </w:rPr>
            </w:pPr>
            <w:r>
              <w:rPr>
                <w:rFonts w:ascii="Arial" w:cs="Arial" w:eastAsia="Arial" w:hAnsi="Arial"/>
                <w:sz w:val="18"/>
                <w:szCs w:val="18"/>
                <w:b w:val="1"/>
                <w:bCs w:val="1"/>
                <w:color w:val="auto"/>
                <w:w w:val="98"/>
              </w:rPr>
              <w:t>PART IV</w:t>
            </w:r>
          </w:p>
        </w:tc>
        <w:tc>
          <w:tcPr>
            <w:tcW w:w="460" w:type="dxa"/>
            <w:vAlign w:val="bottom"/>
            <w:shd w:val="clear" w:color="auto" w:fill="CCEEFF"/>
          </w:tcPr>
          <w:p>
            <w:pPr>
              <w:spacing w:after="0"/>
              <w:rPr>
                <w:sz w:val="24"/>
                <w:szCs w:val="24"/>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Item 15.</w:t>
            </w:r>
          </w:p>
        </w:tc>
        <w:tc>
          <w:tcPr>
            <w:tcW w:w="9780" w:type="dxa"/>
            <w:vAlign w:val="bottom"/>
          </w:tcPr>
          <w:p>
            <w:pPr>
              <w:ind w:left="440"/>
              <w:spacing w:after="0"/>
              <w:rPr>
                <w:sz w:val="20"/>
                <w:szCs w:val="20"/>
                <w:color w:val="auto"/>
              </w:rPr>
            </w:pPr>
            <w:r>
              <w:rPr>
                <w:rFonts w:ascii="Arial" w:cs="Arial" w:eastAsia="Arial" w:hAnsi="Arial"/>
                <w:sz w:val="18"/>
                <w:szCs w:val="18"/>
                <w:color w:val="auto"/>
              </w:rPr>
              <w:t>Exhibits and Financial Statement Schedules</w:t>
            </w:r>
          </w:p>
        </w:tc>
        <w:tc>
          <w:tcPr>
            <w:tcW w:w="460" w:type="dxa"/>
            <w:vAlign w:val="bottom"/>
          </w:tcPr>
          <w:p>
            <w:pPr>
              <w:jc w:val="right"/>
              <w:spacing w:after="0"/>
              <w:rPr>
                <w:sz w:val="20"/>
                <w:szCs w:val="20"/>
                <w:color w:val="auto"/>
              </w:rPr>
            </w:pPr>
            <w:r>
              <w:rPr>
                <w:rFonts w:ascii="Arial" w:cs="Arial" w:eastAsia="Arial" w:hAnsi="Arial"/>
                <w:sz w:val="18"/>
                <w:szCs w:val="18"/>
                <w:color w:val="auto"/>
              </w:rPr>
              <w:t>111</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color w:val="auto"/>
              </w:rPr>
              <w:t>Signatures</w:t>
            </w:r>
          </w:p>
        </w:tc>
        <w:tc>
          <w:tcPr>
            <w:tcW w:w="97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w:t>
            </w:r>
          </w:p>
        </w:tc>
      </w:tr>
      <w:tr>
        <w:trPr>
          <w:trHeight w:val="430"/>
        </w:trPr>
        <w:tc>
          <w:tcPr>
            <w:tcW w:w="1180" w:type="dxa"/>
            <w:vAlign w:val="bottom"/>
          </w:tcPr>
          <w:p>
            <w:pPr>
              <w:spacing w:after="0"/>
              <w:rPr>
                <w:sz w:val="24"/>
                <w:szCs w:val="24"/>
                <w:color w:val="auto"/>
              </w:rPr>
            </w:pPr>
          </w:p>
        </w:tc>
        <w:tc>
          <w:tcPr>
            <w:tcW w:w="9780" w:type="dxa"/>
            <w:vAlign w:val="bottom"/>
          </w:tcPr>
          <w:p>
            <w:pPr>
              <w:jc w:val="center"/>
              <w:ind w:right="612"/>
              <w:spacing w:after="0"/>
              <w:rPr>
                <w:sz w:val="20"/>
                <w:szCs w:val="20"/>
                <w:color w:val="auto"/>
              </w:rPr>
            </w:pPr>
            <w:r>
              <w:rPr>
                <w:rFonts w:ascii="Arial" w:cs="Arial" w:eastAsia="Arial" w:hAnsi="Arial"/>
                <w:sz w:val="18"/>
                <w:szCs w:val="18"/>
                <w:color w:val="auto"/>
                <w:w w:val="79"/>
              </w:rPr>
              <w:t>1</w:t>
            </w:r>
          </w:p>
        </w:tc>
        <w:tc>
          <w:tcPr>
            <w:tcW w:w="460" w:type="dxa"/>
            <w:vAlign w:val="bottom"/>
          </w:tcPr>
          <w:p>
            <w:pPr>
              <w:spacing w:after="0"/>
              <w:rPr>
                <w:sz w:val="24"/>
                <w:szCs w:val="24"/>
                <w:color w:val="auto"/>
              </w:rPr>
            </w:pPr>
          </w:p>
        </w:tc>
      </w:tr>
      <w:tr>
        <w:trPr>
          <w:trHeight w:val="228"/>
        </w:trPr>
        <w:tc>
          <w:tcPr>
            <w:tcW w:w="1180" w:type="dxa"/>
            <w:vAlign w:val="bottom"/>
            <w:tcBorders>
              <w:bottom w:val="single" w:sz="8" w:color="808080"/>
            </w:tcBorders>
          </w:tcPr>
          <w:p>
            <w:pPr>
              <w:spacing w:after="0"/>
              <w:rPr>
                <w:sz w:val="19"/>
                <w:szCs w:val="19"/>
                <w:color w:val="auto"/>
              </w:rPr>
            </w:pPr>
          </w:p>
        </w:tc>
        <w:tc>
          <w:tcPr>
            <w:tcW w:w="978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-4130675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6958330</wp:posOffset>
            </wp:positionH>
            <wp:positionV relativeFrom="paragraph">
              <wp:posOffset>-4130675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Forward-Looking Statements</w:t>
      </w:r>
    </w:p>
    <w:p>
      <w:pPr>
        <w:spacing w:after="0" w:line="231" w:lineRule="exact"/>
        <w:rPr>
          <w:sz w:val="20"/>
          <w:szCs w:val="20"/>
          <w:color w:val="auto"/>
        </w:rPr>
      </w:pPr>
    </w:p>
    <w:p>
      <w:pPr>
        <w:ind w:firstLine="351"/>
        <w:spacing w:after="0" w:line="283" w:lineRule="auto"/>
        <w:rPr>
          <w:sz w:val="20"/>
          <w:szCs w:val="20"/>
          <w:color w:val="auto"/>
        </w:rPr>
      </w:pPr>
      <w:r>
        <w:rPr>
          <w:rFonts w:ascii="Arial" w:cs="Arial" w:eastAsia="Arial" w:hAnsi="Arial"/>
          <w:sz w:val="16"/>
          <w:szCs w:val="16"/>
          <w:i w:val="1"/>
          <w:iCs w:val="1"/>
          <w:color w:val="auto"/>
        </w:rPr>
        <w:t>The statements contained in this Report on Form 10-K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forward-looking statements are subject to risks and uncertainties that could cause actual results to differ materially from those indicated in the forward-looking statements. These are statements that relate to future periods and include statements relating to industry trends, our expectation of additional growth in fiscal 2005 due to various reasons, including expected increases in shipments of storage SOCs and our WLAN products from new design wins, and our Gigabit Ethernet products for switching equipment,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intention to continue to use widely available CMOS processes to manufacture our products; our intention to expand our system-level approach to design in order to improve our time-to-market and production of our products; our expectations regarding competition; our intention to reduce product costs to offset decreases in average selling prices; our expectations regarding the amount of sales we conduct directly and through distributors; continued efforts relating to the protection of our intellectual property; our expectations regarding the amount of customer concentration in the future; the amount of our future sales in Asia; our intention to continue to invest significant resources for research and development, and expected results, cash flows, and expenses including those related to sales and marketing, research and development and general and administrative; our intention to make acquisitions, investments, strategic alliances and joint ventures; expected revenue and sources of revenue and make-up of revenue; expected impact, if any, of legal proceedings; the adequacy of liquidity and capital resources; growth in business and operations; and the effect of recent accounting pronouncements. Factors that could cause actual results to differ materially from those predicted, include but are not limited to, the impact of international conflict and continued economic downturns in either domestic or foreign markets; our dependence upon the hard disk drive industry and 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and the outcome of pending or future litigation. Additional factors, which could cause actual results to differ materially, include those set forth in the following discussion, as well as the risks discussed in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3" w:name="page4"/>
    <w:bookmarkEnd w:id="3"/>
    <w:p>
      <w:pPr>
        <w:jc w:val="center"/>
        <w:ind w:right="20"/>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20" w:firstLine="348"/>
        <w:spacing w:after="0" w:line="287"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We have also targeted our wireless technology for a variety of emerging consumer electronic devices to enable applications such as wireless connectivity, ad-hoc gaming, streaming audio or video and voice over Internet applications and commenced volume shipments for such wireless products to Sony Corporation. We also applied our technology by introducing integrated circuits and modules that provide power management broadly to electronic devices.</w:t>
      </w:r>
    </w:p>
    <w:p>
      <w:pPr>
        <w:spacing w:after="0" w:line="177"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 700 First Avenue, Sunnyvale, California 94089, and our telephone number there is (408) 222-2500. We also have offices in Israel, Singapore, Germany, China, Japan, Korea, Taiwan and the United Kingdom. Our fiscal year ends on the Saturday nearest January 31. For presentation purposes, we refer to January 31 as our fiscal year-end for all periods.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231" w:lineRule="exact"/>
        <w:rPr>
          <w:sz w:val="20"/>
          <w:szCs w:val="20"/>
          <w:color w:val="auto"/>
        </w:rPr>
      </w:pPr>
    </w:p>
    <w:p>
      <w:pPr>
        <w:ind w:right="100" w:firstLine="351"/>
        <w:spacing w:after="0" w:line="256"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Satisfying Bandwidth Demand</w:t>
      </w:r>
    </w:p>
    <w:p>
      <w:pPr>
        <w:spacing w:after="0" w:line="225" w:lineRule="exact"/>
        <w:rPr>
          <w:sz w:val="20"/>
          <w:szCs w:val="20"/>
          <w:color w:val="auto"/>
        </w:rPr>
      </w:pPr>
    </w:p>
    <w:p>
      <w:pPr>
        <w:ind w:right="140" w:firstLine="351"/>
        <w:spacing w:after="0" w:line="291" w:lineRule="auto"/>
        <w:rPr>
          <w:sz w:val="20"/>
          <w:szCs w:val="20"/>
          <w:color w:val="auto"/>
        </w:rPr>
      </w:pPr>
      <w:r>
        <w:rPr>
          <w:rFonts w:ascii="Arial" w:cs="Arial" w:eastAsia="Arial" w:hAnsi="Arial"/>
          <w:sz w:val="16"/>
          <w:szCs w:val="16"/>
          <w:color w:val="auto"/>
        </w:rPr>
        <w:t>Businesses and consumers today are creating rapidly growing demand for broadband access to large volumes of information in multiple forms, including voice, video and data. This demand is driven by the introduction of new data-intensive computing, communications and highly integrated consumer electronics applications, such as web-based commerce, streaming audio and video, and voice over Internet technology. In addition, information is increasingly available via networks through a variety of access devices, including personal computers, digital cable set-top boxes, handheld computing devices known as personal digital assistants, and wireless phones. These applications and devices require increasingly higher data transfer rates within computing systems and the data storage devices that support them and across the network communication infrastructures that serve them.</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800" w:right="259" w:bottom="1440" w:gutter="0" w:footer="0" w:header="0"/>
        </w:sectPr>
      </w:pPr>
    </w:p>
    <w:bookmarkStart w:id="4" w:name="page5"/>
    <w:bookmarkEnd w:id="4"/>
    <w:p>
      <w:pPr>
        <w:jc w:val="both"/>
        <w:ind w:right="180" w:firstLine="341"/>
        <w:spacing w:after="0" w:line="256" w:lineRule="auto"/>
        <w:rPr>
          <w:sz w:val="20"/>
          <w:szCs w:val="20"/>
          <w:color w:val="auto"/>
        </w:rPr>
      </w:pPr>
      <w:r>
        <w:rPr>
          <w:rFonts w:ascii="Arial" w:cs="Arial" w:eastAsia="Arial" w:hAnsi="Arial"/>
          <w:sz w:val="18"/>
          <w:szCs w:val="18"/>
          <w:color w:val="auto"/>
        </w:rPr>
        <w:t>Achieving high integrity data recovery and transmission becomes increasingly difficult at higher data transfer rates. Data transfer rates, often referred to as bandwidth, are measured in terms of bits per second transmitted over a given medium. In addition, computing and communications systems must transfer data reliably at very high speeds using a wide range of physical transmission media, including magnetic and optical storage disks, twisted pair copper wire, coaxial cable, fiber-optic cable and open air.</w:t>
      </w:r>
    </w:p>
    <w:p>
      <w:pPr>
        <w:spacing w:after="0" w:line="197" w:lineRule="exact"/>
        <w:rPr>
          <w:sz w:val="20"/>
          <w:szCs w:val="20"/>
          <w:color w:val="auto"/>
        </w:rPr>
      </w:pPr>
    </w:p>
    <w:p>
      <w:pPr>
        <w:ind w:firstLine="341"/>
        <w:spacing w:after="0" w:line="286" w:lineRule="auto"/>
        <w:rPr>
          <w:sz w:val="20"/>
          <w:szCs w:val="20"/>
          <w:color w:val="auto"/>
        </w:rPr>
      </w:pPr>
      <w:r>
        <w:rPr>
          <w:rFonts w:ascii="Arial" w:cs="Arial" w:eastAsia="Arial" w:hAnsi="Arial"/>
          <w:sz w:val="16"/>
          <w:szCs w:val="16"/>
          <w:color w:val="auto"/>
        </w:rPr>
        <w:t>A critical element of these systems is a physical layer device, which performs the important interface functions between the computing and communications systems and the storage or transmission media. In computing systems and in emerging consumer electronic devices, data is stored on a hard disk drive in analog form, but these analog signals must be converted to digital signals for use within these systems. Similarly, in communications systems, data is typically transferred over the transmission medium using analog signals; however, within the communications systems, data is processed digitally. The physical layer device provides the critical interface between the analog signals stored on magnetic disk drives and transmitted across physical media and the digital data that computers and communications systems can understand and manipulate. Physical layer devices often determine the overall performance of the system. In order to achieve high integrity in data transmission and recovery at high transfer rates, physical layer devices must overcome a number of factors that can impair signal quality and introduce errors, including substandard media, noise, signal level degradation over distance, adjacent line and multi-path interference and signal echo. In many computing systems and communication networks, bandwidth bottlenecks arise where the media and physical layer devices are incapable of supporting the required data transfer rates. As transmission speeds approach the fundamental limits of a particular transmission media, physical layer devices must increasingly employ sophisticated signal processing algorithms and techniques to accurately recover the transmitted data.</w:t>
      </w:r>
    </w:p>
    <w:p>
      <w:pPr>
        <w:spacing w:after="0" w:line="181" w:lineRule="exact"/>
        <w:rPr>
          <w:sz w:val="20"/>
          <w:szCs w:val="20"/>
          <w:color w:val="auto"/>
        </w:rPr>
      </w:pPr>
    </w:p>
    <w:p>
      <w:pPr>
        <w:ind w:right="80" w:firstLine="348"/>
        <w:spacing w:after="0" w:line="256" w:lineRule="auto"/>
        <w:rPr>
          <w:sz w:val="20"/>
          <w:szCs w:val="20"/>
          <w:color w:val="auto"/>
        </w:rPr>
      </w:pPr>
      <w:r>
        <w:rPr>
          <w:rFonts w:ascii="Arial" w:cs="Arial" w:eastAsia="Arial" w:hAnsi="Arial"/>
          <w:sz w:val="18"/>
          <w:szCs w:val="18"/>
          <w:color w:val="auto"/>
        </w:rPr>
        <w:t>When the data is transmitted wirelessly through the open air, an added level of complex signal processing algorithms and techniques are required to maximize interference immunity, performance range and to enable a high level of data security. Additionally, the wireless solutions need to employ sophisticated radio frequency, or RF, technologies utilizing radio communications. Because most wireless applications are utilized by mobile devices, low power consumption and small size are also critical requirements for such devices.</w:t>
      </w:r>
    </w:p>
    <w:p>
      <w:pPr>
        <w:spacing w:after="0" w:line="197" w:lineRule="exact"/>
        <w:rPr>
          <w:sz w:val="20"/>
          <w:szCs w:val="20"/>
          <w:color w:val="auto"/>
        </w:rPr>
      </w:pPr>
    </w:p>
    <w:p>
      <w:pPr>
        <w:ind w:right="100" w:firstLine="348"/>
        <w:spacing w:after="0" w:line="294" w:lineRule="auto"/>
        <w:rPr>
          <w:sz w:val="20"/>
          <w:szCs w:val="20"/>
          <w:color w:val="auto"/>
        </w:rPr>
      </w:pPr>
      <w:r>
        <w:rPr>
          <w:rFonts w:ascii="Arial" w:cs="Arial" w:eastAsia="Arial" w:hAnsi="Arial"/>
          <w:sz w:val="16"/>
          <w:szCs w:val="16"/>
          <w:color w:val="auto"/>
        </w:rPr>
        <w:t>To meet the demands of increasingly higher data transfer rates within computing systems and across communications networks, the data must be more reliably and intelligently transmitted across the systems. This has resulted in a transition from repeater to switch connections. Switches route data through the communications system with bandwidth dedicated to each end-user and have the potential to intelligently manage the data transmission. Additionally, there is an increased demand on today's switches as previously separate voice communications systems, video communications systems and data communications systems are converged into single systems that handle voice, video and data seamlessly.</w:t>
      </w:r>
    </w:p>
    <w:p>
      <w:pPr>
        <w:spacing w:after="0" w:line="170" w:lineRule="exact"/>
        <w:rPr>
          <w:sz w:val="20"/>
          <w:szCs w:val="20"/>
          <w:color w:val="auto"/>
        </w:rPr>
      </w:pPr>
    </w:p>
    <w:p>
      <w:pPr>
        <w:ind w:firstLine="341"/>
        <w:spacing w:after="0" w:line="298" w:lineRule="auto"/>
        <w:rPr>
          <w:sz w:val="20"/>
          <w:szCs w:val="20"/>
          <w:color w:val="auto"/>
        </w:rPr>
      </w:pPr>
      <w:r>
        <w:rPr>
          <w:rFonts w:ascii="Arial" w:cs="Arial" w:eastAsia="Arial" w:hAnsi="Arial"/>
          <w:sz w:val="16"/>
          <w:szCs w:val="16"/>
          <w:color w:val="auto"/>
        </w:rPr>
        <w:t>Also, as the rate and variety of data transmission increases, the communications systems that support such transmissions must handle more data and employ more sophisticated functions. This puts an increasing strain on the host central processing unit, or CPU, within the system and, as a result, makes the subsystems that support the CPU more critical. The system controller supports the CPU by managing the movement of data to the various data processing functions to free up the host CPU so that it can concentrate its resources on other more processor intensive functions while the data movement is taking place.</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Storage of Data</w:t>
      </w:r>
    </w:p>
    <w:p>
      <w:pPr>
        <w:spacing w:after="0" w:line="225" w:lineRule="exact"/>
        <w:rPr>
          <w:sz w:val="20"/>
          <w:szCs w:val="20"/>
          <w:color w:val="auto"/>
        </w:rPr>
      </w:pPr>
    </w:p>
    <w:p>
      <w:pPr>
        <w:jc w:val="both"/>
        <w:ind w:right="200" w:firstLine="341"/>
        <w:spacing w:after="0" w:line="259" w:lineRule="auto"/>
        <w:rPr>
          <w:sz w:val="20"/>
          <w:szCs w:val="20"/>
          <w:color w:val="auto"/>
        </w:rPr>
      </w:pPr>
      <w:r>
        <w:rPr>
          <w:rFonts w:ascii="Arial" w:cs="Arial" w:eastAsia="Arial" w:hAnsi="Arial"/>
          <w:sz w:val="18"/>
          <w:szCs w:val="18"/>
          <w:color w:val="auto"/>
        </w:rPr>
        <w:t>A substantial portion of all business and personal information is recorded on magnetic disk drives in data servers, workstations, personal computers and a variety of emerging consumer devices. As end-user data requirements increase, disk drive suppliers must consistently offer drives with faster data transfer rates and higher capacities. Disk capacity is measured by areal density, which is the amount of data stored</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5" w:name="page6"/>
    <w:bookmarkEnd w:id="5"/>
    <w:p>
      <w:pPr>
        <w:ind w:right="180"/>
        <w:spacing w:after="0" w:line="259" w:lineRule="auto"/>
        <w:rPr>
          <w:sz w:val="20"/>
          <w:szCs w:val="20"/>
          <w:color w:val="auto"/>
        </w:rPr>
      </w:pPr>
      <w:r>
        <w:rPr>
          <w:rFonts w:ascii="Arial" w:cs="Arial" w:eastAsia="Arial" w:hAnsi="Arial"/>
          <w:sz w:val="18"/>
          <w:szCs w:val="18"/>
          <w:color w:val="auto"/>
        </w:rPr>
        <w:t>on one square inch of disk space. Also, within computers the transmission of data from the disk drive to the motherboard is transitioning to Serial ATA technology from Parallel ATA technology. Serial ATA technology allows data to be transmitted at higher speeds but requires a change in the silicon components on both the disk drive and the motherboard.</w:t>
      </w:r>
    </w:p>
    <w:p>
      <w:pPr>
        <w:spacing w:after="0" w:line="194" w:lineRule="exact"/>
        <w:rPr>
          <w:sz w:val="20"/>
          <w:szCs w:val="20"/>
          <w:color w:val="auto"/>
        </w:rPr>
      </w:pPr>
    </w:p>
    <w:p>
      <w:pPr>
        <w:ind w:right="120" w:firstLine="341"/>
        <w:spacing w:after="0" w:line="294" w:lineRule="auto"/>
        <w:rPr>
          <w:sz w:val="20"/>
          <w:szCs w:val="20"/>
          <w:color w:val="auto"/>
        </w:rPr>
      </w:pPr>
      <w:r>
        <w:rPr>
          <w:rFonts w:ascii="Arial" w:cs="Arial" w:eastAsia="Arial" w:hAnsi="Arial"/>
          <w:sz w:val="16"/>
          <w:szCs w:val="16"/>
          <w:color w:val="auto"/>
        </w:rPr>
        <w:t>A critical component in every disk drive is the read channel. The read channel is a physical layer device that transmits and receives the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challenges require increasingly sophisticated read channel designs.</w:t>
      </w:r>
    </w:p>
    <w:p>
      <w:pPr>
        <w:spacing w:after="0" w:line="170" w:lineRule="exact"/>
        <w:rPr>
          <w:sz w:val="20"/>
          <w:szCs w:val="20"/>
          <w:color w:val="auto"/>
        </w:rPr>
      </w:pPr>
    </w:p>
    <w:p>
      <w:pPr>
        <w:ind w:right="120" w:firstLine="351"/>
        <w:spacing w:after="0" w:line="306" w:lineRule="auto"/>
        <w:rPr>
          <w:sz w:val="20"/>
          <w:szCs w:val="20"/>
          <w:color w:val="auto"/>
        </w:rPr>
      </w:pPr>
      <w:r>
        <w:rPr>
          <w:rFonts w:ascii="Arial" w:cs="Arial" w:eastAsia="Arial" w:hAnsi="Arial"/>
          <w:sz w:val="16"/>
          <w:szCs w:val="16"/>
          <w:color w:val="auto"/>
        </w:rPr>
        <w:t>In addition, as disk drive manufacturers seek to reduce costs, they now largely require that functions traditionally performed by stand-alone integrated circuits be combined with the read channel into a single integrated circuit referred to as a System-on-Chip, or SOC. Components which are now integrated into a single chip include the read channel, hard disk controller, embedded memory and one or more microprocessors.</w:t>
      </w:r>
    </w:p>
    <w:p>
      <w:pPr>
        <w:spacing w:after="0" w:line="161" w:lineRule="exact"/>
        <w:rPr>
          <w:sz w:val="20"/>
          <w:szCs w:val="20"/>
          <w:color w:val="auto"/>
        </w:rPr>
      </w:pPr>
    </w:p>
    <w:p>
      <w:pPr>
        <w:ind w:firstLine="348"/>
        <w:spacing w:after="0" w:line="294" w:lineRule="auto"/>
        <w:rPr>
          <w:sz w:val="20"/>
          <w:szCs w:val="20"/>
          <w:color w:val="auto"/>
        </w:rPr>
      </w:pPr>
      <w:r>
        <w:rPr>
          <w:rFonts w:ascii="Arial" w:cs="Arial" w:eastAsia="Arial" w:hAnsi="Arial"/>
          <w:sz w:val="16"/>
          <w:szCs w:val="16"/>
          <w:color w:val="auto"/>
        </w:rPr>
        <w:t>Traditionally, disk drives have been primarily utilized by data servers, workstations, and personal computers. However, over the past few years, there has been a growing trend for a variety of new consumer electronic devices to integrate disk drives to increase the devices' storage capacity. Consumer devices such as personal video recorders and gaming consoles have adopted standard disk drives used by personal computers. Additionally, there has been a growing adoption of small form factor drives used by emerging consumer electronic devices such as MP3 music players and PDAs. These small form factor drives are much smaller in size than drives used by personal computers and typically have lower power and utilize different interfaces to the host CPU.</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Transmission of Data</w:t>
      </w:r>
    </w:p>
    <w:p>
      <w:pPr>
        <w:spacing w:after="0" w:line="225" w:lineRule="exact"/>
        <w:rPr>
          <w:sz w:val="20"/>
          <w:szCs w:val="20"/>
          <w:color w:val="auto"/>
        </w:rPr>
      </w:pPr>
    </w:p>
    <w:p>
      <w:pPr>
        <w:ind w:firstLine="351"/>
        <w:spacing w:after="0" w:line="312" w:lineRule="auto"/>
        <w:rPr>
          <w:sz w:val="20"/>
          <w:szCs w:val="20"/>
          <w:color w:val="auto"/>
        </w:rPr>
      </w:pPr>
      <w:r>
        <w:rPr>
          <w:rFonts w:ascii="Arial" w:cs="Arial" w:eastAsia="Arial" w:hAnsi="Arial"/>
          <w:sz w:val="15"/>
          <w:szCs w:val="15"/>
          <w:color w:val="auto"/>
        </w:rPr>
        <w:t>In recent years there has been a rapid increase in the volume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or WANs, this increase in data transmission demand has driven the deployment of high capacity fiber-optic transmission systems and new broadband access technologies, such as cable modems and digital subscriber lines. In computer networks that span relatively small geographical areas, known as local area networks, or LANs, this increase in data transmission demand has resulted in a transition from the 10 Megabit per second Ethernet technology to the 100 Megabit per second Fast Ethernet technology and 1,000 Megabit per second Gigabit Ethernet technology. In addition, 10 Gigabit Ethernet, or 10G, which provides data transfer rates of 10,000 Megabits per second, is now being used in server and backbone connections.</w:t>
      </w:r>
    </w:p>
    <w:p>
      <w:pPr>
        <w:spacing w:after="0" w:line="159" w:lineRule="exact"/>
        <w:rPr>
          <w:sz w:val="20"/>
          <w:szCs w:val="20"/>
          <w:color w:val="auto"/>
        </w:rPr>
      </w:pPr>
    </w:p>
    <w:p>
      <w:pPr>
        <w:ind w:right="40" w:firstLine="351"/>
        <w:spacing w:after="0" w:line="253" w:lineRule="auto"/>
        <w:rPr>
          <w:sz w:val="20"/>
          <w:szCs w:val="20"/>
          <w:color w:val="auto"/>
        </w:rPr>
      </w:pPr>
      <w:r>
        <w:rPr>
          <w:rFonts w:ascii="Arial" w:cs="Arial" w:eastAsia="Arial" w:hAnsi="Arial"/>
          <w:sz w:val="18"/>
          <w:szCs w:val="18"/>
          <w:color w:val="auto"/>
        </w:rPr>
        <w:t>In the broadband communications market, physical layer devices, switches, system controllers and communications controllers are critical to the deployment of new, higher data rate transmission technologies. Gigabit data transmission rates present significant data recovery and management challenges. We believe that many businesses have made significant investments installing computer networks using copper twisted pair wires.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transfer rates. As a result, the deployment of Gigabit Ethernet requires either the costly and time-consuming task of upgrading this wiring or the deployment of new physical layer devices that enable Gigabit transmission rates on the existing infrastructure.</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6" w:name="page7"/>
    <w:bookmarkEnd w:id="6"/>
    <w:p>
      <w:pPr>
        <w:ind w:right="120" w:firstLine="341"/>
        <w:spacing w:after="0" w:line="255" w:lineRule="auto"/>
        <w:rPr>
          <w:sz w:val="20"/>
          <w:szCs w:val="20"/>
          <w:color w:val="auto"/>
        </w:rPr>
      </w:pPr>
      <w:r>
        <w:rPr>
          <w:rFonts w:ascii="Arial" w:cs="Arial" w:eastAsia="Arial" w:hAnsi="Arial"/>
          <w:sz w:val="18"/>
          <w:szCs w:val="18"/>
          <w:color w:val="auto"/>
        </w:rPr>
        <w:t>Additionally, with the adoption of Institute of the Electrical and Electronics Engineers' (IEEE) 802.11 industry standards for wireless transmission of data, many wireless applications have been developed. Many new emerging consumer applications such as cell phones, printers, digital cameras, MP3 devices, speakers, game consoles and PDAs are beginning to adopt 802.11 wireless technologies for a variety of different usages of the wireless functionality. We believe that 802.11 technologies will be broadly deployed in such electronic devices as reliable, low cost and low power 802.11 radios and processors begin to be provided.</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Management of Data</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Today's communication networks are being re-architected to efficiently support voice, video and data. Instead of equipping and managing disparate systems</w:t>
      </w:r>
    </w:p>
    <w:p>
      <w:pPr>
        <w:spacing w:after="0" w:line="38"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 one for voice, one for video, one for data — the convergence of these systems creates a single, more efficient system. In the rush to provide converged networking advantages to their customers, today's broadband communications companies face significant issues, including the fact that voice networks are inefficient for transferring data and data-optimized networks were not designed to carry voice or video. To efficiently support voice, video and data, each point in the network must be re-architected to allow these different types of data to move through a single converged network with reliability and quality. Data must be managed and routed intelligently through the system in such converged networks. Sophisticated data management techniques differentiate voice, video and data in order to seamlessly transmit voice and video transmissions without interruption. Additionally, the management of data allows for service providers to guarantee Quality of Service, to bill for services, to establish service level agreements, to provide redundancy for high reliability, and to effectively bridge Ethernet to other technologies like Packet-Over-Synchronous optical network (SONET), or PoS and asynchronous transfer mode, or ATM.</w:t>
      </w:r>
    </w:p>
    <w:p>
      <w:pPr>
        <w:spacing w:after="0" w:line="17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Management of Power</w:t>
      </w:r>
    </w:p>
    <w:p>
      <w:pPr>
        <w:spacing w:after="0" w:line="225" w:lineRule="exact"/>
        <w:rPr>
          <w:sz w:val="20"/>
          <w:szCs w:val="20"/>
          <w:color w:val="auto"/>
        </w:rPr>
      </w:pPr>
    </w:p>
    <w:p>
      <w:pPr>
        <w:jc w:val="both"/>
        <w:ind w:right="160" w:firstLine="348"/>
        <w:spacing w:after="0" w:line="303" w:lineRule="auto"/>
        <w:rPr>
          <w:sz w:val="20"/>
          <w:szCs w:val="20"/>
          <w:color w:val="auto"/>
        </w:rPr>
      </w:pPr>
      <w:r>
        <w:rPr>
          <w:rFonts w:ascii="Arial" w:cs="Arial" w:eastAsia="Arial" w:hAnsi="Arial"/>
          <w:sz w:val="15"/>
          <w:szCs w:val="15"/>
          <w:color w:val="auto"/>
        </w:rPr>
        <w:t>There are a number of trends related to the design and use of electronic equipment that are creating some critical issues in the management of power within such equipment. Semiconductor manufacturers continue to invest heavily in the development of integrated circuits that are manufactured in smaller and smaller geometries. Additionally, these smaller devices are being manufactured with higher levels of functional integration and designed to perform at record speeds.</w:t>
      </w:r>
    </w:p>
    <w:p>
      <w:pPr>
        <w:spacing w:after="0" w:line="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Electronic equipment that utilizes such integrated circuits are faced with an exponential increase in electrical current consumption. Traditional power management solutions are forced to utilize larger passive components to keep up with the increasing electrical current. The use of larger passive components to handle the increase in electrical current is inhibiting the further development of smaller form factor electronic products and also increasing the cost of power management solutions.</w:t>
      </w:r>
    </w:p>
    <w:p>
      <w:pPr>
        <w:spacing w:after="0" w:line="198" w:lineRule="exact"/>
        <w:rPr>
          <w:sz w:val="20"/>
          <w:szCs w:val="20"/>
          <w:color w:val="auto"/>
        </w:rPr>
      </w:pPr>
    </w:p>
    <w:p>
      <w:pPr>
        <w:ind w:right="120" w:firstLine="341"/>
        <w:spacing w:after="0" w:line="256" w:lineRule="auto"/>
        <w:rPr>
          <w:sz w:val="20"/>
          <w:szCs w:val="20"/>
          <w:color w:val="auto"/>
        </w:rPr>
      </w:pPr>
      <w:r>
        <w:rPr>
          <w:rFonts w:ascii="Arial" w:cs="Arial" w:eastAsia="Arial" w:hAnsi="Arial"/>
          <w:sz w:val="18"/>
          <w:szCs w:val="18"/>
          <w:color w:val="auto"/>
        </w:rPr>
        <w:t>Another challenge faced by portable products today is that battery technology has not scaled as rapidly as semiconductor technology due to limited advancements in chemical technology. This divergence is also placing greater demands on sophisticated power management solutions. Sophisticated power management solutions that are able to drive higher efficiency which can extend battery life and enhance the thermal profile of today's portable electronic devices are in great demand.</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The Opportunity for New Integrated Circuit Solutions</w:t>
      </w:r>
    </w:p>
    <w:p>
      <w:pPr>
        <w:spacing w:after="0" w:line="225" w:lineRule="exact"/>
        <w:rPr>
          <w:sz w:val="20"/>
          <w:szCs w:val="20"/>
          <w:color w:val="auto"/>
        </w:rPr>
      </w:pPr>
    </w:p>
    <w:p>
      <w:pPr>
        <w:ind w:right="60" w:firstLine="348"/>
        <w:spacing w:after="0" w:line="268" w:lineRule="auto"/>
        <w:rPr>
          <w:sz w:val="20"/>
          <w:szCs w:val="20"/>
          <w:color w:val="auto"/>
        </w:rPr>
      </w:pPr>
      <w:r>
        <w:rPr>
          <w:rFonts w:ascii="Arial" w:cs="Arial" w:eastAsia="Arial" w:hAnsi="Arial"/>
          <w:sz w:val="18"/>
          <w:szCs w:val="18"/>
          <w:color w:val="auto"/>
        </w:rPr>
        <w:t>We believe the rapidly growing demand for products that enable the storage, transmission and management of large volumes of voice, video and data at high speeds is creating the need for a new generation of integrated circuit solutions:</w:t>
      </w:r>
    </w:p>
    <w:p>
      <w:pPr>
        <w:spacing w:after="0" w:line="199" w:lineRule="exact"/>
        <w:rPr>
          <w:sz w:val="20"/>
          <w:szCs w:val="20"/>
          <w:color w:val="auto"/>
        </w:rPr>
      </w:pPr>
    </w:p>
    <w:p>
      <w:pPr>
        <w:ind w:left="1080" w:right="260" w:hanging="532"/>
        <w:spacing w:after="0" w:line="268"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Disk drive read channel chips and SOC devices that are capable of handling increasingly higher data transmission rates with sophisticated error correction features, low power consumption and incorporation of a variety of interfaces;</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7" w:name="page8"/>
    <w:bookmarkEnd w:id="7"/>
    <w:p>
      <w:pPr>
        <w:ind w:left="1080" w:hanging="532"/>
        <w:spacing w:after="0"/>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Physical layer devices that are capable of supporting increasingly higher data transmission rates over existing media infrastructures;</w:t>
      </w:r>
    </w:p>
    <w:p>
      <w:pPr>
        <w:spacing w:after="0" w:line="275" w:lineRule="exact"/>
        <w:rPr>
          <w:rFonts w:ascii="Arial" w:cs="Arial" w:eastAsia="Arial" w:hAnsi="Arial"/>
          <w:sz w:val="16"/>
          <w:szCs w:val="16"/>
          <w:color w:val="auto"/>
        </w:rPr>
      </w:pPr>
    </w:p>
    <w:p>
      <w:pPr>
        <w:ind w:left="1080" w:right="60" w:hanging="532"/>
        <w:spacing w:after="0" w:line="268"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Switches that have the intelligence to process and provide routing management functions and carry information in multiple forms including voice, video and data;</w:t>
      </w:r>
    </w:p>
    <w:p>
      <w:pPr>
        <w:spacing w:after="0" w:line="199" w:lineRule="exact"/>
        <w:rPr>
          <w:rFonts w:ascii="Arial" w:cs="Arial" w:eastAsia="Arial" w:hAnsi="Arial"/>
          <w:sz w:val="18"/>
          <w:szCs w:val="18"/>
          <w:color w:val="auto"/>
        </w:rPr>
      </w:pPr>
    </w:p>
    <w:p>
      <w:pPr>
        <w:ind w:left="1080" w:right="200" w:hanging="532"/>
        <w:spacing w:after="0" w:line="268"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Wireless LAN chipsets that enable reliable, high-speed data transmission for wireless connectivity, as well as, very low power, highly integrated Wireless LAN chipsets for emerging consumer electronic devices;</w:t>
      </w:r>
    </w:p>
    <w:p>
      <w:pPr>
        <w:spacing w:after="0" w:line="199" w:lineRule="exact"/>
        <w:rPr>
          <w:rFonts w:ascii="Arial" w:cs="Arial" w:eastAsia="Arial" w:hAnsi="Arial"/>
          <w:sz w:val="18"/>
          <w:szCs w:val="18"/>
          <w:color w:val="auto"/>
        </w:rPr>
      </w:pPr>
    </w:p>
    <w:p>
      <w:pPr>
        <w:ind w:left="1080" w:right="120" w:hanging="532"/>
        <w:spacing w:after="0" w:line="268"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Power management solutions that are able to efficiently scale with the increasing electrical current required in today's electronic equipment while also driving extended battery life and enhanced thermal profile;</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System controllers that improve CPU subsystem performance, enabling the quick and efficient movement of data;</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WAN communication controllers that bridge the LAN with the Internet infrastructure;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Serial connectivity chips that connect disk drives with motherboards at increased data transfer rates using Serial ATA technology.</w:t>
      </w:r>
    </w:p>
    <w:p>
      <w:pPr>
        <w:spacing w:after="0" w:line="225" w:lineRule="exact"/>
        <w:rPr>
          <w:sz w:val="20"/>
          <w:szCs w:val="20"/>
          <w:color w:val="auto"/>
        </w:rPr>
      </w:pPr>
    </w:p>
    <w:p>
      <w:pPr>
        <w:ind w:right="320" w:firstLine="341"/>
        <w:spacing w:after="0" w:line="332" w:lineRule="auto"/>
        <w:rPr>
          <w:sz w:val="20"/>
          <w:szCs w:val="20"/>
          <w:color w:val="auto"/>
        </w:rPr>
      </w:pPr>
      <w:r>
        <w:rPr>
          <w:rFonts w:ascii="Arial" w:cs="Arial" w:eastAsia="Arial" w:hAnsi="Arial"/>
          <w:sz w:val="16"/>
          <w:szCs w:val="16"/>
          <w:color w:val="auto"/>
        </w:rPr>
        <w:t>Additionally, we believe that our high-performance analog, mixed-signal, digital signal processing and embedded microprocessor technology can also be leveraged into many other large volume and diverse markets that will have the added benefit of increasing our customer and market diversification.</w:t>
      </w:r>
    </w:p>
    <w:p>
      <w:pPr>
        <w:spacing w:after="0" w:line="139" w:lineRule="exact"/>
        <w:rPr>
          <w:sz w:val="20"/>
          <w:szCs w:val="20"/>
          <w:color w:val="auto"/>
        </w:rPr>
      </w:pPr>
    </w:p>
    <w:p>
      <w:pPr>
        <w:ind w:right="160" w:firstLine="348"/>
        <w:spacing w:after="0" w:line="254" w:lineRule="auto"/>
        <w:rPr>
          <w:sz w:val="20"/>
          <w:szCs w:val="20"/>
          <w:color w:val="auto"/>
        </w:rPr>
      </w:pPr>
      <w:r>
        <w:rPr>
          <w:rFonts w:ascii="Arial" w:cs="Arial" w:eastAsia="Arial" w:hAnsi="Arial"/>
          <w:sz w:val="18"/>
          <w:szCs w:val="18"/>
          <w:color w:val="auto"/>
        </w:rPr>
        <w:t>To keep the power consumption of these new solutions at acceptable levels, more efficient yet powerful signal processing algorithms, implemented in silicon, are required. These next-generation devices must also satisfy market demands associated with large production volumes, competitive pricing, high reliability and decreased size. To meet these demands, we also expect the trend to continue towards integrating into one chip various functions that are generally implemented in discrete integrated circuits. Integration reduces the overall number of components in a system, reducing overall system cost and power consumption. We believe the integration of high performance embedded microprocessors will be an important technology to enable such high levels of integration.</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Solutions</w:t>
      </w:r>
    </w:p>
    <w:p>
      <w:pPr>
        <w:spacing w:after="0" w:line="231" w:lineRule="exact"/>
        <w:rPr>
          <w:sz w:val="20"/>
          <w:szCs w:val="20"/>
          <w:color w:val="auto"/>
        </w:rPr>
      </w:pPr>
    </w:p>
    <w:p>
      <w:pPr>
        <w:ind w:right="60" w:firstLine="351"/>
        <w:spacing w:after="0" w:line="256" w:lineRule="auto"/>
        <w:rPr>
          <w:sz w:val="20"/>
          <w:szCs w:val="20"/>
          <w:color w:val="auto"/>
        </w:rPr>
      </w:pPr>
      <w:r>
        <w:rPr>
          <w:rFonts w:ascii="Arial" w:cs="Arial" w:eastAsia="Arial" w:hAnsi="Arial"/>
          <w:sz w:val="18"/>
          <w:szCs w:val="18"/>
          <w:color w:val="auto"/>
        </w:rPr>
        <w:t>Our integrated circuits incorporate precise high-performance analog, mixed-signal, digital signal processing and embedded microprocessor integrated circuit technology. Our products are designed to allow our customers to store and move digital data reliably at high data transfer rates while using existing media infrastructures or wirelessly through the open air. Our products are also used for transmitting and recovering digitally converted analog signals to and from various types of broadband communications media.</w:t>
      </w:r>
    </w:p>
    <w:p>
      <w:pPr>
        <w:spacing w:after="0" w:line="197"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Our products target high volume markets where some of the most critical success factors are performance, features, power consumption, quality and cost. We initially applied our analog, mixed-signal, digital signal processing and embedded microprocessor integrated circuit technology to storage applications, where we now provide standalone read channel devices, integrated SOCs incorporating read channels, hard disk controller, embedded memory and one or more microprocessors, preamplifiers, motor controllers and power management to meet the high data transfer rate, high areal density, data integrity and power consumption requirements of our customers. A preamplifier amplifies the low level electrical signal transmitted to and from the recording heads in a disk drive device and motor controllers are responsible for controlling movement of the drive mechanical systems.</w:t>
      </w:r>
    </w:p>
    <w:p>
      <w:pPr>
        <w:spacing w:after="0" w:line="174" w:lineRule="exact"/>
        <w:rPr>
          <w:sz w:val="20"/>
          <w:szCs w:val="20"/>
          <w:color w:val="auto"/>
        </w:rPr>
      </w:pPr>
    </w:p>
    <w:p>
      <w:pPr>
        <w:ind w:right="180" w:firstLine="348"/>
        <w:spacing w:after="0" w:line="268" w:lineRule="auto"/>
        <w:rPr>
          <w:sz w:val="20"/>
          <w:szCs w:val="20"/>
          <w:color w:val="auto"/>
        </w:rPr>
      </w:pPr>
      <w:r>
        <w:rPr>
          <w:rFonts w:ascii="Arial" w:cs="Arial" w:eastAsia="Arial" w:hAnsi="Arial"/>
          <w:sz w:val="18"/>
          <w:szCs w:val="18"/>
          <w:color w:val="auto"/>
        </w:rPr>
        <w:t>We have also applied our core technology to developing high-performance physical layer devices for computers and communications systems that transmit data in analog form but process the data internally in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5" w:right="239" w:bottom="1440" w:gutter="0" w:footer="0" w:header="0"/>
        </w:sectPr>
      </w:pPr>
    </w:p>
    <w:bookmarkStart w:id="8" w:name="page9"/>
    <w:bookmarkEnd w:id="8"/>
    <w:p>
      <w:pPr>
        <w:ind w:right="40"/>
        <w:spacing w:after="0" w:line="294" w:lineRule="auto"/>
        <w:rPr>
          <w:sz w:val="20"/>
          <w:szCs w:val="20"/>
          <w:color w:val="auto"/>
        </w:rPr>
      </w:pPr>
      <w:r>
        <w:rPr>
          <w:rFonts w:ascii="Arial" w:cs="Arial" w:eastAsia="Arial" w:hAnsi="Arial"/>
          <w:sz w:val="16"/>
          <w:szCs w:val="16"/>
          <w:color w:val="auto"/>
        </w:rPr>
        <w:t>digital form. We have developed physical layer devices for 10 and 100 Megabit per second Ethernet and Fast Ethernet applications, and Gigabit Ethernet physical layer devices for use with existing copper twisted pair wiring infrastructures as well as over fiber-optic cabling. Our Fast Ethernet physical layer devices provide long distance signal transmission capability and low power consumption. Our Gigabit Ethernet physical layer devices address the reduced signal quality of Gigabit data rate signals on existing copper twisted pair wiring infrastructures. Additionally, we have also developed 10 Gigabit Ethernet physical layer devices that can be used in the backplane for interconnection between line cards, among other applications.</w:t>
      </w:r>
    </w:p>
    <w:p>
      <w:pPr>
        <w:spacing w:after="0" w:line="170"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To address the growing demand for wireless connectivity, we have also developed a family of wireless integrated circuit chipsets in accordance with standards set by the Institute of Electrical and Electronics Engineers' (IEEE) 802.11 standards. Our highly integrated Libertas™ solutions include an RF transceiver and a baseband/Media Access Controller, or MAC. The RF transceiver sends and receives data using advanced radio technology coupled with an integrated power amplifier to boost or reduce RF signals. The baseband/MAC employs sophisticated digital signal processing techniques and embedded microprocessor technology to process and manage the data as well as provide data security. These functions are used or being designed to wirelessly connect computers as well as many consumer devices such as cell phones, printers, digital cameras, MP3 devices, speakers, game consoles and PDAs. By integrating our Fast Ethernet physical layer technology, the chipset can also be used in access points that connect wireless devices to wired communications systems. Additionally, the chipset can be designed with our multi-port integrated switches to cost-effectively develop wireless gateway routers for the home or small office.</w:t>
      </w:r>
    </w:p>
    <w:p>
      <w:pPr>
        <w:spacing w:after="0" w:line="172" w:lineRule="exact"/>
        <w:rPr>
          <w:sz w:val="20"/>
          <w:szCs w:val="20"/>
          <w:color w:val="auto"/>
        </w:rPr>
      </w:pPr>
    </w:p>
    <w:p>
      <w:pPr>
        <w:ind w:right="60" w:firstLine="348"/>
        <w:spacing w:after="0" w:line="288" w:lineRule="auto"/>
        <w:rPr>
          <w:sz w:val="20"/>
          <w:szCs w:val="20"/>
          <w:color w:val="auto"/>
        </w:rPr>
      </w:pPr>
      <w:r>
        <w:rPr>
          <w:rFonts w:ascii="Arial" w:cs="Arial" w:eastAsia="Arial" w:hAnsi="Arial"/>
          <w:sz w:val="16"/>
          <w:szCs w:val="16"/>
          <w:color w:val="auto"/>
        </w:rPr>
        <w:t>We also design integrated circuits that perform critical functions in converged network systems, in which voice, video and data are handled seamlessly using Internet Protocol, or IP, techniques. We have developed several product families for broadband communication system vendors that address the important subsystems in communication systems — the CPU subsystem, the LAN subsystem and the WAN subsystem. As increased system bandwidth places higher demands on the CPU, our highly integrated Discovery™ system controllers greatly improve CPU subsystem performance. The strong technical foundation established for the creation of the system controller products has been used to create our Horizon™ WAN communication controllers. Our WAN communication controllers consist of products that integrate most of the system blocks needed to implement converged voice/data routers. We also offer switched Ethernet controllers and processors for the LAN subsystems. Our physical layer technology and expertise combined with our system-level technology and expertise is designed to provide our customers with complete solutions, which we believe enables them to introduce their products to the market more quickly than they can with other solutions.</w:t>
      </w:r>
    </w:p>
    <w:p>
      <w:pPr>
        <w:spacing w:after="0" w:line="174" w:lineRule="exact"/>
        <w:rPr>
          <w:sz w:val="20"/>
          <w:szCs w:val="20"/>
          <w:color w:val="auto"/>
        </w:rPr>
      </w:pPr>
    </w:p>
    <w:p>
      <w:pPr>
        <w:ind w:right="40" w:firstLine="348"/>
        <w:spacing w:after="0" w:line="323" w:lineRule="auto"/>
        <w:rPr>
          <w:sz w:val="20"/>
          <w:szCs w:val="20"/>
          <w:color w:val="auto"/>
        </w:rPr>
      </w:pPr>
      <w:r>
        <w:rPr>
          <w:rFonts w:ascii="Arial" w:cs="Arial" w:eastAsia="Arial" w:hAnsi="Arial"/>
          <w:sz w:val="15"/>
          <w:szCs w:val="15"/>
          <w:color w:val="auto"/>
        </w:rPr>
        <w:t>We have also introduced integrated circuits that perform the management of power within electronic devices. Our power management solutions utilize a digital signal processing based approach as compared to what has been traditionally performed with pure analog solutions. We believe that our approach to power management is capable of handling higher levels of electrical current with the use of smaller and fewer passive components. Our approach also results in higher efficiency that increases battery life and also decreases the system's heat dissipation, which minimizes the usage of fans or other means of cooling the equipment.</w:t>
      </w:r>
    </w:p>
    <w:p>
      <w:pPr>
        <w:spacing w:after="0" w:line="15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Key features of our technology solutions include:</w:t>
      </w:r>
    </w:p>
    <w:p>
      <w:pPr>
        <w:spacing w:after="0" w:line="239" w:lineRule="exact"/>
        <w:rPr>
          <w:sz w:val="20"/>
          <w:szCs w:val="20"/>
          <w:color w:val="auto"/>
        </w:rPr>
      </w:pPr>
    </w:p>
    <w:p>
      <w:pPr>
        <w:ind w:left="1080" w:right="40" w:hanging="532"/>
        <w:spacing w:after="0" w:line="294"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 xml:space="preserve">Mixed-Signal Broadband Analog Front-End Technology. </w:t>
      </w:r>
      <w:r>
        <w:rPr>
          <w:rFonts w:ascii="Arial" w:cs="Arial" w:eastAsia="Arial" w:hAnsi="Arial"/>
          <w:sz w:val="16"/>
          <w:szCs w:val="16"/>
          <w:color w:val="auto"/>
        </w:rPr>
        <w:t>One of the most critical components of many communications-related mixed-signal</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circuits is the analog front-end. The analog front-end is the analog-to-digital and digital-to-analog converter that serves as the interface between the digital signal processor and the physical transmission medium. We are able to design these broadband analog front-ends due to a number of innovations, including proprietary self-calibration techniques that compensate for the inherent variations of these processes. Our analog circuits are designed to be highly reusable across many of our products.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9" w:name="page10"/>
    <w:bookmarkEnd w:id="9"/>
    <w:p>
      <w:pPr>
        <w:ind w:left="720" w:right="20" w:hanging="532"/>
        <w:spacing w:after="0" w:line="306" w:lineRule="auto"/>
        <w:tabs>
          <w:tab w:leader="none" w:pos="720"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 xml:space="preserve">Custom Digital Signal Processors. </w:t>
      </w:r>
      <w:r>
        <w:rPr>
          <w:rFonts w:ascii="Arial" w:cs="Arial" w:eastAsia="Arial" w:hAnsi="Arial"/>
          <w:sz w:val="16"/>
          <w:szCs w:val="16"/>
          <w:color w:val="auto"/>
        </w:rPr>
        <w:t>We have designed high-performance, low power usage digital signal processors for a broad range of</w:t>
      </w:r>
      <w:r>
        <w:rPr>
          <w:rFonts w:ascii="Arial" w:cs="Arial" w:eastAsia="Arial" w:hAnsi="Arial"/>
          <w:sz w:val="16"/>
          <w:szCs w:val="16"/>
          <w:i w:val="1"/>
          <w:iCs w:val="1"/>
          <w:color w:val="auto"/>
        </w:rPr>
        <w:t xml:space="preserve"> </w:t>
      </w:r>
      <w:r>
        <w:rPr>
          <w:rFonts w:ascii="Arial" w:cs="Arial" w:eastAsia="Arial" w:hAnsi="Arial"/>
          <w:sz w:val="16"/>
          <w:szCs w:val="16"/>
          <w:color w:val="auto"/>
        </w:rPr>
        <w:t>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7" w:lineRule="exact"/>
        <w:rPr>
          <w:rFonts w:ascii="Arial" w:cs="Arial" w:eastAsia="Arial" w:hAnsi="Arial"/>
          <w:sz w:val="16"/>
          <w:szCs w:val="16"/>
          <w:color w:val="auto"/>
        </w:rPr>
      </w:pPr>
    </w:p>
    <w:p>
      <w:pPr>
        <w:ind w:left="720" w:hanging="532"/>
        <w:spacing w:after="0" w:line="298" w:lineRule="auto"/>
        <w:tabs>
          <w:tab w:leader="none" w:pos="720"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 xml:space="preserve">Proprietary Digital Signal Processing Algorithms. </w:t>
      </w:r>
      <w:r>
        <w:rPr>
          <w:rFonts w:ascii="Arial" w:cs="Arial" w:eastAsia="Arial" w:hAnsi="Arial"/>
          <w:sz w:val="16"/>
          <w:szCs w:val="16"/>
          <w:color w:val="auto"/>
        </w:rPr>
        <w:t>Our advanced digital signal processing algorithms enable data transmission at high speeds</w:t>
      </w:r>
      <w:r>
        <w:rPr>
          <w:rFonts w:ascii="Arial" w:cs="Arial" w:eastAsia="Arial" w:hAnsi="Arial"/>
          <w:sz w:val="16"/>
          <w:szCs w:val="16"/>
          <w:i w:val="1"/>
          <w:iCs w:val="1"/>
          <w:color w:val="auto"/>
        </w:rPr>
        <w:t xml:space="preserve"> </w:t>
      </w:r>
      <w:r>
        <w:rPr>
          <w:rFonts w:ascii="Arial" w:cs="Arial" w:eastAsia="Arial" w:hAnsi="Arial"/>
          <w:sz w:val="16"/>
          <w:szCs w:val="16"/>
          <w:color w:val="auto"/>
        </w:rPr>
        <w:t>across a wide range of physical media with low data error rates. These digital signal processing algorithms improve performance in the presence of media imperfections such as substandard media, noise, signal-level degradation over distance, adjacent line and multi-path interference and signal echo. We have developed a broad suite of communications algorithms that can be utilized across many of our products.</w:t>
      </w:r>
    </w:p>
    <w:p>
      <w:pPr>
        <w:spacing w:after="0" w:line="180" w:lineRule="exact"/>
        <w:rPr>
          <w:rFonts w:ascii="Arial" w:cs="Arial" w:eastAsia="Arial" w:hAnsi="Arial"/>
          <w:sz w:val="16"/>
          <w:szCs w:val="16"/>
          <w:color w:val="auto"/>
        </w:rPr>
      </w:pPr>
    </w:p>
    <w:p>
      <w:pPr>
        <w:ind w:left="720" w:right="40" w:hanging="532"/>
        <w:spacing w:after="0" w:line="298" w:lineRule="auto"/>
        <w:tabs>
          <w:tab w:leader="none" w:pos="720"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 xml:space="preserve">Embedded Microprocessor Technology. </w:t>
      </w:r>
      <w:r>
        <w:rPr>
          <w:rFonts w:ascii="Arial" w:cs="Arial" w:eastAsia="Arial" w:hAnsi="Arial"/>
          <w:sz w:val="16"/>
          <w:szCs w:val="16"/>
          <w:color w:val="auto"/>
        </w:rPr>
        <w:t>We have designed, developed and licensed high performance embedded microprocessor technology. Our</w:t>
      </w:r>
      <w:r>
        <w:rPr>
          <w:rFonts w:ascii="Arial" w:cs="Arial" w:eastAsia="Arial" w:hAnsi="Arial"/>
          <w:sz w:val="16"/>
          <w:szCs w:val="16"/>
          <w:i w:val="1"/>
          <w:iCs w:val="1"/>
          <w:color w:val="auto"/>
        </w:rPr>
        <w:t xml:space="preserve"> </w:t>
      </w:r>
      <w:r>
        <w:rPr>
          <w:rFonts w:ascii="Arial" w:cs="Arial" w:eastAsia="Arial" w:hAnsi="Arial"/>
          <w:sz w:val="16"/>
          <w:szCs w:val="16"/>
          <w:color w:val="auto"/>
        </w:rPr>
        <w:t>embedded microprocessors can be integrated across our portfolio of our low cost, low power CMOS products. Embedding these advanced high performance microprocessors will allow our customers to integrate increasing levels of system functionality and sophistication with less power consumption and lower cost than by utilizing separate stand alone microprocessors.</w:t>
      </w:r>
    </w:p>
    <w:p>
      <w:pPr>
        <w:spacing w:after="0" w:line="180" w:lineRule="exact"/>
        <w:rPr>
          <w:rFonts w:ascii="Arial" w:cs="Arial" w:eastAsia="Arial" w:hAnsi="Arial"/>
          <w:sz w:val="16"/>
          <w:szCs w:val="16"/>
          <w:color w:val="auto"/>
        </w:rPr>
      </w:pPr>
    </w:p>
    <w:p>
      <w:pPr>
        <w:jc w:val="both"/>
        <w:ind w:left="720" w:right="160" w:hanging="532"/>
        <w:spacing w:after="0" w:line="256" w:lineRule="auto"/>
        <w:tabs>
          <w:tab w:leader="none" w:pos="72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 xml:space="preserve">Reusable Building Blocks for Integrated System-On-Chip Design. </w:t>
      </w:r>
      <w:r>
        <w:rPr>
          <w:rFonts w:ascii="Arial" w:cs="Arial" w:eastAsia="Arial" w:hAnsi="Arial"/>
          <w:sz w:val="18"/>
          <w:szCs w:val="18"/>
          <w:color w:val="auto"/>
        </w:rPr>
        <w:t>We have developed a proprietary set of manufacturing process design rules</w:t>
      </w:r>
      <w:r>
        <w:rPr>
          <w:rFonts w:ascii="Arial" w:cs="Arial" w:eastAsia="Arial" w:hAnsi="Arial"/>
          <w:sz w:val="18"/>
          <w:szCs w:val="18"/>
          <w:i w:val="1"/>
          <w:iCs w:val="1"/>
          <w:color w:val="auto"/>
        </w:rPr>
        <w:t xml:space="preserve"> </w:t>
      </w:r>
      <w:r>
        <w:rPr>
          <w:rFonts w:ascii="Arial" w:cs="Arial" w:eastAsia="Arial" w:hAnsi="Arial"/>
          <w:sz w:val="18"/>
          <w:szCs w:val="18"/>
          <w:color w:val="auto"/>
        </w:rPr>
        <w:t>that we believe are scalable over several generations of manufacturing process geometries. We have also collected a significant library of circuit building blocks that can be reused with modification in successive generations of products. These design methodologies allow us to reduce time-to-market for new products.</w:t>
      </w:r>
    </w:p>
    <w:p>
      <w:pPr>
        <w:spacing w:after="0" w:line="224" w:lineRule="exact"/>
        <w:rPr>
          <w:rFonts w:ascii="Arial" w:cs="Arial" w:eastAsia="Arial" w:hAnsi="Arial"/>
          <w:sz w:val="18"/>
          <w:szCs w:val="18"/>
          <w:color w:val="auto"/>
        </w:rPr>
      </w:pPr>
    </w:p>
    <w:p>
      <w:pPr>
        <w:ind w:left="720" w:right="140" w:hanging="532"/>
        <w:spacing w:after="0" w:line="255" w:lineRule="auto"/>
        <w:tabs>
          <w:tab w:leader="none" w:pos="72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 xml:space="preserve">Internet Protocol Knowledge. </w:t>
      </w:r>
      <w:r>
        <w:rPr>
          <w:rFonts w:ascii="Arial" w:cs="Arial" w:eastAsia="Arial" w:hAnsi="Arial"/>
          <w:sz w:val="18"/>
          <w:szCs w:val="18"/>
          <w:color w:val="auto"/>
        </w:rPr>
        <w:t>Internet Protocol technologies have been widely selected as the core technologies for converged networks. We</w:t>
      </w:r>
      <w:r>
        <w:rPr>
          <w:rFonts w:ascii="Arial" w:cs="Arial" w:eastAsia="Arial" w:hAnsi="Arial"/>
          <w:sz w:val="18"/>
          <w:szCs w:val="18"/>
          <w:i w:val="1"/>
          <w:iCs w:val="1"/>
          <w:color w:val="auto"/>
        </w:rPr>
        <w:t xml:space="preserve"> </w:t>
      </w:r>
      <w:r>
        <w:rPr>
          <w:rFonts w:ascii="Arial" w:cs="Arial" w:eastAsia="Arial" w:hAnsi="Arial"/>
          <w:sz w:val="18"/>
          <w:szCs w:val="18"/>
          <w:color w:val="auto"/>
        </w:rPr>
        <w:t>have developed intimate knowledge in IP technologies. This has allowed us to develop integrated circuits that use IP technologies to deliver a comprehensive solution for networks where it is critical to effectively carry multiple types of media, to guarantee Quality of Service, to bill for services and establish service level agreements, to provide redundancy for high reliability and to effectively bridge to other technologies like PoS and ATM.</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Key benefits for our customers are:</w:t>
      </w:r>
    </w:p>
    <w:p>
      <w:pPr>
        <w:spacing w:after="0" w:line="239" w:lineRule="exact"/>
        <w:rPr>
          <w:sz w:val="20"/>
          <w:szCs w:val="20"/>
          <w:color w:val="auto"/>
        </w:rPr>
      </w:pPr>
    </w:p>
    <w:p>
      <w:pPr>
        <w:ind w:left="720" w:right="240" w:hanging="532"/>
        <w:spacing w:after="0" w:line="268" w:lineRule="auto"/>
        <w:tabs>
          <w:tab w:leader="none" w:pos="720" w:val="left"/>
        </w:tabs>
        <w:numPr>
          <w:ilvl w:val="0"/>
          <w:numId w:val="8"/>
        </w:numPr>
        <w:rPr>
          <w:rFonts w:ascii="Arial" w:cs="Arial" w:eastAsia="Arial" w:hAnsi="Arial"/>
          <w:sz w:val="18"/>
          <w:szCs w:val="18"/>
          <w:color w:val="auto"/>
        </w:rPr>
      </w:pPr>
      <w:r>
        <w:rPr>
          <w:rFonts w:ascii="Arial" w:cs="Arial" w:eastAsia="Arial" w:hAnsi="Arial"/>
          <w:sz w:val="18"/>
          <w:szCs w:val="18"/>
          <w:i w:val="1"/>
          <w:iCs w:val="1"/>
          <w:color w:val="auto"/>
        </w:rPr>
        <w:t xml:space="preserve">High Performance. </w:t>
      </w:r>
      <w:r>
        <w:rPr>
          <w:rFonts w:ascii="Arial" w:cs="Arial" w:eastAsia="Arial" w:hAnsi="Arial"/>
          <w:sz w:val="18"/>
          <w:szCs w:val="18"/>
          <w:color w:val="auto"/>
        </w:rPr>
        <w:t>Our products achieve high data transfer rates and low error rates when used with lower quality media and deliver superior</w:t>
      </w:r>
      <w:r>
        <w:rPr>
          <w:rFonts w:ascii="Arial" w:cs="Arial" w:eastAsia="Arial" w:hAnsi="Arial"/>
          <w:sz w:val="18"/>
          <w:szCs w:val="18"/>
          <w:i w:val="1"/>
          <w:iCs w:val="1"/>
          <w:color w:val="auto"/>
        </w:rPr>
        <w:t xml:space="preserve"> </w:t>
      </w:r>
      <w:r>
        <w:rPr>
          <w:rFonts w:ascii="Arial" w:cs="Arial" w:eastAsia="Arial" w:hAnsi="Arial"/>
          <w:sz w:val="18"/>
          <w:szCs w:val="18"/>
          <w:color w:val="auto"/>
        </w:rPr>
        <w:t>signal transmission distance when used with standard media.</w:t>
      </w:r>
    </w:p>
    <w:p>
      <w:pPr>
        <w:spacing w:after="0" w:line="199" w:lineRule="exact"/>
        <w:rPr>
          <w:rFonts w:ascii="Arial" w:cs="Arial" w:eastAsia="Arial" w:hAnsi="Arial"/>
          <w:sz w:val="18"/>
          <w:szCs w:val="18"/>
          <w:color w:val="auto"/>
        </w:rPr>
      </w:pPr>
    </w:p>
    <w:p>
      <w:pPr>
        <w:ind w:left="720" w:right="180" w:hanging="532"/>
        <w:spacing w:after="0" w:line="255" w:lineRule="auto"/>
        <w:tabs>
          <w:tab w:leader="none" w:pos="720" w:val="left"/>
        </w:tabs>
        <w:numPr>
          <w:ilvl w:val="0"/>
          <w:numId w:val="8"/>
        </w:numPr>
        <w:rPr>
          <w:rFonts w:ascii="Arial" w:cs="Arial" w:eastAsia="Arial" w:hAnsi="Arial"/>
          <w:sz w:val="18"/>
          <w:szCs w:val="18"/>
          <w:color w:val="auto"/>
        </w:rPr>
      </w:pPr>
      <w:r>
        <w:rPr>
          <w:rFonts w:ascii="Arial" w:cs="Arial" w:eastAsia="Arial" w:hAnsi="Arial"/>
          <w:sz w:val="18"/>
          <w:szCs w:val="18"/>
          <w:i w:val="1"/>
          <w:iCs w:val="1"/>
          <w:color w:val="auto"/>
        </w:rPr>
        <w:t xml:space="preserve">Low Power. </w:t>
      </w:r>
      <w:r>
        <w:rPr>
          <w:rFonts w:ascii="Arial" w:cs="Arial" w:eastAsia="Arial" w:hAnsi="Arial"/>
          <w:sz w:val="18"/>
          <w:szCs w:val="18"/>
          <w:color w:val="auto"/>
        </w:rPr>
        <w:t>Our custom digital signal processors can use fewer transistors to perform data transfer functions than the standard designs used by</w:t>
      </w:r>
      <w:r>
        <w:rPr>
          <w:rFonts w:ascii="Arial" w:cs="Arial" w:eastAsia="Arial" w:hAnsi="Arial"/>
          <w:sz w:val="18"/>
          <w:szCs w:val="18"/>
          <w:i w:val="1"/>
          <w:iCs w:val="1"/>
          <w:color w:val="auto"/>
        </w:rPr>
        <w:t xml:space="preserve"> </w:t>
      </w:r>
      <w:r>
        <w:rPr>
          <w:rFonts w:ascii="Arial" w:cs="Arial" w:eastAsia="Arial" w:hAnsi="Arial"/>
          <w:sz w:val="18"/>
          <w:szCs w:val="18"/>
          <w:color w:val="auto"/>
        </w:rPr>
        <w:t>some of our competitors, thereby reducing overall system power usage. We also implement our designs in advanced processes that can further reduce power requirements. These designs allow our customers to reduce costly heat reduction components in their products. Additionally, as many of our devices are targeted at consumer handheld devices, our low power consumption can greatly extend the battery life in such applications.</w:t>
      </w:r>
    </w:p>
    <w:p>
      <w:pPr>
        <w:spacing w:after="0" w:line="223" w:lineRule="exact"/>
        <w:rPr>
          <w:rFonts w:ascii="Arial" w:cs="Arial" w:eastAsia="Arial" w:hAnsi="Arial"/>
          <w:sz w:val="18"/>
          <w:szCs w:val="18"/>
          <w:color w:val="auto"/>
        </w:rPr>
      </w:pPr>
    </w:p>
    <w:p>
      <w:pPr>
        <w:ind w:left="720" w:right="180" w:hanging="532"/>
        <w:spacing w:after="0" w:line="294" w:lineRule="auto"/>
        <w:tabs>
          <w:tab w:leader="none" w:pos="720" w:val="left"/>
        </w:tabs>
        <w:numPr>
          <w:ilvl w:val="0"/>
          <w:numId w:val="8"/>
        </w:numPr>
        <w:rPr>
          <w:rFonts w:ascii="Arial" w:cs="Arial" w:eastAsia="Arial" w:hAnsi="Arial"/>
          <w:sz w:val="16"/>
          <w:szCs w:val="16"/>
          <w:color w:val="auto"/>
        </w:rPr>
      </w:pPr>
      <w:r>
        <w:rPr>
          <w:rFonts w:ascii="Arial" w:cs="Arial" w:eastAsia="Arial" w:hAnsi="Arial"/>
          <w:sz w:val="16"/>
          <w:szCs w:val="16"/>
          <w:i w:val="1"/>
          <w:iCs w:val="1"/>
          <w:color w:val="auto"/>
        </w:rPr>
        <w:t xml:space="preserve">Cost-Effective. </w:t>
      </w:r>
      <w:r>
        <w:rPr>
          <w:rFonts w:ascii="Arial" w:cs="Arial" w:eastAsia="Arial" w:hAnsi="Arial"/>
          <w:sz w:val="16"/>
          <w:szCs w:val="16"/>
          <w:color w:val="auto"/>
        </w:rPr>
        <w:t>We are able to lower our manufacturing costs by using advanced manufacturing processes and our custom digital signal</w:t>
      </w:r>
      <w:r>
        <w:rPr>
          <w:rFonts w:ascii="Arial" w:cs="Arial" w:eastAsia="Arial" w:hAnsi="Arial"/>
          <w:sz w:val="16"/>
          <w:szCs w:val="16"/>
          <w:i w:val="1"/>
          <w:iCs w:val="1"/>
          <w:color w:val="auto"/>
        </w:rPr>
        <w:t xml:space="preserve"> </w:t>
      </w:r>
      <w:r>
        <w:rPr>
          <w:rFonts w:ascii="Arial" w:cs="Arial" w:eastAsia="Arial" w:hAnsi="Arial"/>
          <w:sz w:val="16"/>
          <w:szCs w:val="16"/>
          <w:color w:val="auto"/>
        </w:rPr>
        <w:t>processing technology. These processes and technologies allow us to use a smaller silicon chip size, which results in more integrated circuits per wafer. In addition, our products generate less heat, which allow us to use less expensive packaging technologies and achieve lower cost system implementations than for products that generate more heat. These manufacturing advantages reduce the cost of next-generation communications equipment, enabling our customers to offer their products at competitive prices.</w:t>
      </w:r>
    </w:p>
    <w:p>
      <w:pPr>
        <w:spacing w:after="0" w:line="170"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-224790</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060"/>
          </w:cols>
          <w:pgMar w:left="600" w:top="145" w:right="239" w:bottom="1440" w:gutter="0" w:footer="0" w:header="0"/>
        </w:sectPr>
      </w:pPr>
    </w:p>
    <w:bookmarkStart w:id="10" w:name="page11"/>
    <w:bookmarkEnd w:id="10"/>
    <w:p>
      <w:pPr>
        <w:ind w:left="1080" w:right="40" w:hanging="532"/>
        <w:spacing w:after="0" w:line="256"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 xml:space="preserve">High Integration Capability. </w:t>
      </w:r>
      <w:r>
        <w:rPr>
          <w:rFonts w:ascii="Arial" w:cs="Arial" w:eastAsia="Arial" w:hAnsi="Arial"/>
          <w:sz w:val="18"/>
          <w:szCs w:val="18"/>
          <w:color w:val="auto"/>
        </w:rPr>
        <w:t>The combination of our manufacturing processes, small silicon chip size and low power requirements allows us to</w:t>
      </w:r>
      <w:r>
        <w:rPr>
          <w:rFonts w:ascii="Arial" w:cs="Arial" w:eastAsia="Arial" w:hAnsi="Arial"/>
          <w:sz w:val="18"/>
          <w:szCs w:val="18"/>
          <w:i w:val="1"/>
          <w:iCs w:val="1"/>
          <w:color w:val="auto"/>
        </w:rPr>
        <w:t xml:space="preserve"> </w:t>
      </w:r>
      <w:r>
        <w:rPr>
          <w:rFonts w:ascii="Arial" w:cs="Arial" w:eastAsia="Arial" w:hAnsi="Arial"/>
          <w:sz w:val="18"/>
          <w:szCs w:val="18"/>
          <w:color w:val="auto"/>
        </w:rPr>
        <w:t>increase the number of functions in a single integrated circuit. These capabilities position us to integrate elements of our customers' designs, currently implemented in discrete integrated circuits, into our products. Integration reduces the overall number of components in a system, thereby reducing overall system cost.</w:t>
      </w:r>
    </w:p>
    <w:p>
      <w:pPr>
        <w:spacing w:after="0" w:line="224" w:lineRule="exact"/>
        <w:rPr>
          <w:rFonts w:ascii="Arial" w:cs="Arial" w:eastAsia="Arial" w:hAnsi="Arial"/>
          <w:sz w:val="18"/>
          <w:szCs w:val="18"/>
          <w:color w:val="auto"/>
        </w:rPr>
      </w:pPr>
    </w:p>
    <w:p>
      <w:pPr>
        <w:ind w:left="1080" w:hanging="532"/>
        <w:spacing w:after="0" w:line="307" w:lineRule="auto"/>
        <w:tabs>
          <w:tab w:leader="none" w:pos="1080" w:val="left"/>
        </w:tabs>
        <w:numPr>
          <w:ilvl w:val="0"/>
          <w:numId w:val="9"/>
        </w:numPr>
        <w:rPr>
          <w:rFonts w:ascii="Arial" w:cs="Arial" w:eastAsia="Arial" w:hAnsi="Arial"/>
          <w:sz w:val="15"/>
          <w:szCs w:val="15"/>
          <w:color w:val="auto"/>
        </w:rPr>
      </w:pPr>
      <w:r>
        <w:rPr>
          <w:rFonts w:ascii="Arial" w:cs="Arial" w:eastAsia="Arial" w:hAnsi="Arial"/>
          <w:sz w:val="15"/>
          <w:szCs w:val="15"/>
          <w:i w:val="1"/>
          <w:iCs w:val="1"/>
          <w:color w:val="auto"/>
        </w:rPr>
        <w:t xml:space="preserve">Accelerated Time-to-Market. </w:t>
      </w:r>
      <w:r>
        <w:rPr>
          <w:rFonts w:ascii="Arial" w:cs="Arial" w:eastAsia="Arial" w:hAnsi="Arial"/>
          <w:sz w:val="15"/>
          <w:szCs w:val="15"/>
          <w:color w:val="auto"/>
        </w:rPr>
        <w:t>We help our customers rapidly introduce higher performance and lower cost products. Many features of our</w:t>
      </w:r>
      <w:r>
        <w:rPr>
          <w:rFonts w:ascii="Arial" w:cs="Arial" w:eastAsia="Arial" w:hAnsi="Arial"/>
          <w:sz w:val="15"/>
          <w:szCs w:val="15"/>
          <w:i w:val="1"/>
          <w:iCs w:val="1"/>
          <w:color w:val="auto"/>
        </w:rPr>
        <w:t xml:space="preserve"> </w:t>
      </w:r>
      <w:r>
        <w:rPr>
          <w:rFonts w:ascii="Arial" w:cs="Arial" w:eastAsia="Arial" w:hAnsi="Arial"/>
          <w:sz w:val="15"/>
          <w:szCs w:val="15"/>
          <w:color w:val="auto"/>
        </w:rPr>
        <w:t>integrated circuits are software-configurable, allowing our customers to customize circuit operation for their specific applications. In addition, although our customers have traditionally internally developed the key application-specific integrated circuits, or ASICs, for their network systems or have used programmable logic, such as field programmable gate-arrays, our customers have recently begun to outsource this product to us. We can develop these products more rapidly and at a lower cost while achieving higher performance than our customers could develop them internally because of the larger size of our potential market and the resources we dedicate to such functions. In product areas where reconfiguration or flexibility is important, we also offer software configurable control circuits and modules. Additionally, many of our new products are supported by evaluation boards and reference designs to accelerate our customer's development activities. Evaluation boards facilitate the adoption of our semiconductor devices by closely resembling actual end-products or subsystems within them. For our customers of switched Ethernet products we also offer complete production kits. Production kits are total system solutions that come complete with all hardware, software, manufacturing and documentation required for our customers to launch a new product into mass production with accelerated time to market.</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Strategy</w:t>
      </w:r>
    </w:p>
    <w:p>
      <w:pPr>
        <w:spacing w:after="0" w:line="231" w:lineRule="exact"/>
        <w:rPr>
          <w:sz w:val="20"/>
          <w:szCs w:val="20"/>
          <w:color w:val="auto"/>
        </w:rPr>
      </w:pPr>
    </w:p>
    <w:p>
      <w:pPr>
        <w:ind w:right="480" w:firstLine="351"/>
        <w:spacing w:after="0" w:line="268" w:lineRule="auto"/>
        <w:rPr>
          <w:sz w:val="20"/>
          <w:szCs w:val="20"/>
          <w:color w:val="auto"/>
        </w:rPr>
      </w:pPr>
      <w:r>
        <w:rPr>
          <w:rFonts w:ascii="Arial" w:cs="Arial" w:eastAsia="Arial" w:hAnsi="Arial"/>
          <w:sz w:val="18"/>
          <w:szCs w:val="18"/>
          <w:color w:val="auto"/>
        </w:rPr>
        <w:t>Our objective is to be a leading provider of high-performance analog, mixed-signal, digital signal processing and embedded microprocessor integrated circuits. Key elements of our strategy to achieve this objective include the following:</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Expand Market Position by Developing New Signal Processing Technologies</w:t>
      </w:r>
    </w:p>
    <w:p>
      <w:pPr>
        <w:spacing w:after="0" w:line="225" w:lineRule="exact"/>
        <w:rPr>
          <w:sz w:val="20"/>
          <w:szCs w:val="20"/>
          <w:color w:val="auto"/>
        </w:rPr>
      </w:pPr>
    </w:p>
    <w:p>
      <w:pPr>
        <w:ind w:right="60" w:firstLine="348"/>
        <w:spacing w:after="0" w:line="289" w:lineRule="auto"/>
        <w:rPr>
          <w:sz w:val="20"/>
          <w:szCs w:val="20"/>
          <w:color w:val="auto"/>
        </w:rPr>
      </w:pPr>
      <w:r>
        <w:rPr>
          <w:rFonts w:ascii="Arial" w:cs="Arial" w:eastAsia="Arial" w:hAnsi="Arial"/>
          <w:sz w:val="16"/>
          <w:szCs w:val="16"/>
          <w:color w:val="auto"/>
        </w:rPr>
        <w:t>We have built expertise in core areas of technology, including analog, mixed-signal circuit design methodologies, broadband signal processing algorithms, custom digital signal processors and system-level expertise. We intend to continue to invest considerable resources in developing new and enhanced algorithms and improved analog, mixed-signal, digital signal processing and embedded microprocessor technologies. We expect that our investment will allow us to develop products that can achieve data transmission speeds approaching the fundamental limits of particular physical media infrastructures. Our core signal processing technologies can be applied to a wide range of applications used in the business enterprise and consumer markets. Additionally, we intend to develop and introduce new products that utilize off-the-shelf general purpose mixed signal and analog solutions for a broad range of markets currently served by conventional pure analog solutions. These general purpose standard components will expand our reach into both vertical and horizontal markets and have the added benefit of customer and market diversification.</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Leverage Technology for Broadband Communications Applications</w:t>
      </w:r>
    </w:p>
    <w:p>
      <w:pPr>
        <w:spacing w:after="0" w:line="225" w:lineRule="exact"/>
        <w:rPr>
          <w:sz w:val="20"/>
          <w:szCs w:val="20"/>
          <w:color w:val="auto"/>
        </w:rPr>
      </w:pPr>
    </w:p>
    <w:p>
      <w:pPr>
        <w:ind w:right="200" w:firstLine="348"/>
        <w:spacing w:after="0" w:line="298" w:lineRule="auto"/>
        <w:rPr>
          <w:sz w:val="20"/>
          <w:szCs w:val="20"/>
          <w:color w:val="auto"/>
        </w:rPr>
      </w:pPr>
      <w:r>
        <w:rPr>
          <w:rFonts w:ascii="Arial" w:cs="Arial" w:eastAsia="Arial" w:hAnsi="Arial"/>
          <w:sz w:val="16"/>
          <w:szCs w:val="16"/>
          <w:color w:val="auto"/>
        </w:rPr>
        <w:t>We initially expanded our mixed-signal and digital signal processing technology expertise beyond storage applications for computers and communications equipment through the introduction of physical layer devices using the Fast Ethernet networking protocol. These physical layer devices provide long distance signal transmission capability and low power consumption. We then applied our technology to developing Gigabit Ethernet and 10 Gigabit Ethernet physical layer devices. Additionally, we have integrated our physical layer devices with functions previously provided by other integrated circuits, such as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5" w:right="239" w:bottom="1440" w:gutter="0" w:footer="0" w:header="0"/>
        </w:sectPr>
      </w:pPr>
    </w:p>
    <w:bookmarkStart w:id="11" w:name="page12"/>
    <w:bookmarkEnd w:id="11"/>
    <w:p>
      <w:pPr>
        <w:ind w:right="260"/>
        <w:spacing w:after="0" w:line="268" w:lineRule="auto"/>
        <w:rPr>
          <w:sz w:val="20"/>
          <w:szCs w:val="20"/>
          <w:color w:val="auto"/>
        </w:rPr>
      </w:pPr>
      <w:r>
        <w:rPr>
          <w:rFonts w:ascii="Arial" w:cs="Arial" w:eastAsia="Arial" w:hAnsi="Arial"/>
          <w:sz w:val="18"/>
          <w:szCs w:val="18"/>
          <w:color w:val="auto"/>
        </w:rPr>
        <w:t>the MAC. The MAC is the component that controls access by different devices to the physical media to ensure that signals sent from different devices over the same channel do not collide.</w:t>
      </w:r>
    </w:p>
    <w:p>
      <w:pPr>
        <w:spacing w:after="0" w:line="186" w:lineRule="exact"/>
        <w:rPr>
          <w:sz w:val="20"/>
          <w:szCs w:val="20"/>
          <w:color w:val="auto"/>
        </w:rPr>
      </w:pPr>
    </w:p>
    <w:p>
      <w:pPr>
        <w:ind w:firstLine="348"/>
        <w:spacing w:after="0" w:line="306" w:lineRule="auto"/>
        <w:rPr>
          <w:sz w:val="20"/>
          <w:szCs w:val="20"/>
          <w:color w:val="auto"/>
        </w:rPr>
      </w:pPr>
      <w:r>
        <w:rPr>
          <w:rFonts w:ascii="Arial" w:cs="Arial" w:eastAsia="Arial" w:hAnsi="Arial"/>
          <w:sz w:val="16"/>
          <w:szCs w:val="16"/>
          <w:color w:val="auto"/>
        </w:rPr>
        <w:t>We have combined our physical layer transmission solutions with our high-performance switching and internetworking products. By utilizing our system architecture expertise we have integrated multiple product functions to address the demands of today's communications equipment. Our complete product offering is targeted at the business enterprise market where networks are being converged to handle voice, video and data across LANs and WANs.</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Extend Leadership Position for Storage Market Applications</w:t>
      </w:r>
    </w:p>
    <w:p>
      <w:pPr>
        <w:spacing w:after="0" w:line="225" w:lineRule="exact"/>
        <w:rPr>
          <w:sz w:val="20"/>
          <w:szCs w:val="20"/>
          <w:color w:val="auto"/>
        </w:rPr>
      </w:pPr>
    </w:p>
    <w:p>
      <w:pPr>
        <w:ind w:right="20" w:firstLine="351"/>
        <w:spacing w:after="0" w:line="335" w:lineRule="auto"/>
        <w:rPr>
          <w:sz w:val="20"/>
          <w:szCs w:val="20"/>
          <w:color w:val="auto"/>
        </w:rPr>
      </w:pPr>
      <w:r>
        <w:rPr>
          <w:rFonts w:ascii="Arial" w:cs="Arial" w:eastAsia="Arial" w:hAnsi="Arial"/>
          <w:sz w:val="15"/>
          <w:szCs w:val="15"/>
          <w:color w:val="auto"/>
        </w:rPr>
        <w:t>Storage applications present a large volume opportunity for our analog, mixed-signal, digital signal processing and embedded microprocessor technologies. We believe our technology effectively addresses the increasing data access rates and higher data integrity and reliability requirements of storage systems. We have achieved significant market share in enterprise and mobile computing disk drives. These disk drives demand the highest performance read channel products.</w:t>
      </w:r>
    </w:p>
    <w:p>
      <w:pPr>
        <w:spacing w:after="0" w:line="142" w:lineRule="exact"/>
        <w:rPr>
          <w:sz w:val="20"/>
          <w:szCs w:val="20"/>
          <w:color w:val="auto"/>
        </w:rPr>
      </w:pPr>
    </w:p>
    <w:p>
      <w:pPr>
        <w:ind w:right="300" w:firstLine="348"/>
        <w:spacing w:after="0" w:line="259" w:lineRule="auto"/>
        <w:rPr>
          <w:sz w:val="20"/>
          <w:szCs w:val="20"/>
          <w:color w:val="auto"/>
        </w:rPr>
      </w:pPr>
      <w:r>
        <w:rPr>
          <w:rFonts w:ascii="Arial" w:cs="Arial" w:eastAsia="Arial" w:hAnsi="Arial"/>
          <w:sz w:val="18"/>
          <w:szCs w:val="18"/>
          <w:color w:val="auto"/>
        </w:rPr>
        <w:t>We intend to extend our leadership position in enterprise and mobile disk drives by continuing to develop and introduce products enabling higher data transfer rates and areal densities. In addition, we intend to extend our market position in disk drives for the desktop personal computer segment as well as disk drives used in emerging consumer electronics.</w:t>
      </w:r>
    </w:p>
    <w:p>
      <w:pPr>
        <w:spacing w:after="0" w:line="194" w:lineRule="exact"/>
        <w:rPr>
          <w:sz w:val="20"/>
          <w:szCs w:val="20"/>
          <w:color w:val="auto"/>
        </w:rPr>
      </w:pPr>
    </w:p>
    <w:p>
      <w:pPr>
        <w:ind w:right="80" w:firstLine="348"/>
        <w:spacing w:after="0" w:line="291" w:lineRule="auto"/>
        <w:rPr>
          <w:sz w:val="20"/>
          <w:szCs w:val="20"/>
          <w:color w:val="auto"/>
        </w:rPr>
      </w:pPr>
      <w:r>
        <w:rPr>
          <w:rFonts w:ascii="Arial" w:cs="Arial" w:eastAsia="Arial" w:hAnsi="Arial"/>
          <w:sz w:val="16"/>
          <w:szCs w:val="16"/>
          <w:color w:val="auto"/>
        </w:rPr>
        <w:t>We believe that, for us, storage applications are one of the technology and logistics drivers for the rapid and cost-effective development of many of our products and, therefore, it is important that we continue to develop new high-performance products and product enhancements for storage applications. Applying our analog, mixed-signal, digital signal processing and embedded microprocessor technology to develop products for high-performance disk drives, and testing and improving the products for these applications adds to our library of proprietary technology and allows us to apply this technology more rapidly to develop products for other applications and markets. In addition, the demanding logistics of product delivery to the storage market has required us to establish systems that enable efficient and timely delivery systems to support other targeted markets.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Strengthen and Expand Our Relationships with Current and Potential Customers</w:t>
      </w:r>
    </w:p>
    <w:p>
      <w:pPr>
        <w:spacing w:after="0" w:line="225" w:lineRule="exact"/>
        <w:rPr>
          <w:sz w:val="20"/>
          <w:szCs w:val="20"/>
          <w:color w:val="auto"/>
        </w:rPr>
      </w:pPr>
    </w:p>
    <w:p>
      <w:pPr>
        <w:ind w:right="140" w:firstLine="348"/>
        <w:spacing w:after="0" w:line="294" w:lineRule="auto"/>
        <w:rPr>
          <w:sz w:val="20"/>
          <w:szCs w:val="20"/>
          <w:color w:val="auto"/>
        </w:rPr>
      </w:pPr>
      <w:r>
        <w:rPr>
          <w:rFonts w:ascii="Arial" w:cs="Arial" w:eastAsia="Arial" w:hAnsi="Arial"/>
          <w:sz w:val="16"/>
          <w:szCs w:val="16"/>
          <w:color w:val="auto"/>
        </w:rPr>
        <w:t>We intend to continue to strengthen and expand our relationships with customers by identifying our customers' evolving needs and by designing new products and product functions to meet these needs. For example,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designs. We intend to jointly develop highly integrated products with our customers to meet their cost and performance requirements and to strengthen relationships with them.</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Capitalize on Widely Available Manufacturing Processes and Fabless Operating Model</w:t>
      </w:r>
    </w:p>
    <w:p>
      <w:pPr>
        <w:spacing w:after="0" w:line="225" w:lineRule="exact"/>
        <w:rPr>
          <w:sz w:val="20"/>
          <w:szCs w:val="20"/>
          <w:color w:val="auto"/>
        </w:rPr>
      </w:pPr>
    </w:p>
    <w:p>
      <w:pPr>
        <w:ind w:right="180" w:firstLine="348"/>
        <w:spacing w:after="0" w:line="254" w:lineRule="auto"/>
        <w:rPr>
          <w:sz w:val="20"/>
          <w:szCs w:val="20"/>
          <w:color w:val="auto"/>
        </w:rPr>
      </w:pPr>
      <w:r>
        <w:rPr>
          <w:rFonts w:ascii="Arial" w:cs="Arial" w:eastAsia="Arial" w:hAnsi="Arial"/>
          <w:sz w:val="18"/>
          <w:szCs w:val="18"/>
          <w:color w:val="auto"/>
        </w:rPr>
        <w:t>We intend to continue to use widely available processes to manufacture our advanced analog, mixed-signal, digital signal processing and embedded microprocessor products. We believe this will better enable us to reliably manufacture our products in volume, thereby decreasing our time-to-market and costs, while also facilitating the development of highly integrated products. We have developed our own embedded memory technology for complex System-on-Chip designs. We are also in the process of developing products that integrate our core mixed-signal, digital signal processors and embedded microprocessors with other internal solutions. We are further developing and are in production with various products integrating our customers' silicon components and on-chip memory with our own technology.</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2" w:name="page13"/>
    <w:bookmarkEnd w:id="12"/>
    <w:p>
      <w:pPr>
        <w:jc w:val="both"/>
        <w:ind w:right="80" w:firstLine="348"/>
        <w:spacing w:after="0" w:line="259" w:lineRule="auto"/>
        <w:rPr>
          <w:sz w:val="20"/>
          <w:szCs w:val="20"/>
          <w:color w:val="auto"/>
        </w:rPr>
      </w:pPr>
      <w:r>
        <w:rPr>
          <w:rFonts w:ascii="Arial" w:cs="Arial" w:eastAsia="Arial" w:hAnsi="Arial"/>
          <w:sz w:val="18"/>
          <w:szCs w:val="18"/>
          <w:color w:val="auto"/>
        </w:rPr>
        <w:t>We are a fabless integrated circuit manufacturer in the sense that we rely on third parties to manufacture, assemble and test our products. Our fabless model allows us to focus our resources on the development of proprietary and innovative mixed-signal and digital signal processing designs, while reducing capital and operating infrastructure requirements.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Expand Our System-Level Approach to Design</w:t>
      </w:r>
    </w:p>
    <w:p>
      <w:pPr>
        <w:spacing w:after="0" w:line="225"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We intend to expand our use of a system-level approach to develop products to improve the time-to-market and production of our products, and in turn to assist our customers to introduce their products more rapidly to the market. Our system-level approach considers the various components in a system to anticipate and effectively evaluate the various systems issues and tradeoffs that our customers will face when designing our products into their equipment. Our architects, designers, technical marketing engineers and applications engineers have broad knowledge of communications system architectures and advanced microprocessors, allowing us to take a system-level approach in the design of our products. This helps us to partition our devices properly and to attain appropriate levels of integration. A system-level approach also results in modular offerings: a device may operate on a stand-alone basis as a complete basic system or various devices may be interconnected to form a more complex system.</w:t>
      </w:r>
    </w:p>
    <w:p>
      <w:pPr>
        <w:spacing w:after="0" w:line="172" w:lineRule="exact"/>
        <w:rPr>
          <w:sz w:val="20"/>
          <w:szCs w:val="20"/>
          <w:color w:val="auto"/>
        </w:rPr>
      </w:pPr>
    </w:p>
    <w:p>
      <w:pPr>
        <w:ind w:right="220" w:firstLine="351"/>
        <w:spacing w:after="0" w:line="294" w:lineRule="auto"/>
        <w:rPr>
          <w:sz w:val="20"/>
          <w:szCs w:val="20"/>
          <w:color w:val="auto"/>
        </w:rPr>
      </w:pPr>
      <w:r>
        <w:rPr>
          <w:rFonts w:ascii="Arial" w:cs="Arial" w:eastAsia="Arial" w:hAnsi="Arial"/>
          <w:sz w:val="16"/>
          <w:szCs w:val="16"/>
          <w:color w:val="auto"/>
        </w:rPr>
        <w:t>In designing a product, we also conduct system-level simulations in which the software model of a new device interacts with models of the devices with which it will interface in a typical system in order to test system-level operability. These simulations are often conducted with key customers that provide extensive feedback to our design team. As a result, we have successfully designed products that are highly functional on first silicon. Additionally, with our acquisition of RADLAN Computer Communications Ltd., a leading provider of embedded networking software, we are now able to combine our system-level designs with RADLAN's embedded networking software to provide our customers with production-ready designs and kits.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Markets</w:t>
      </w:r>
    </w:p>
    <w:p>
      <w:pPr>
        <w:spacing w:after="0" w:line="231" w:lineRule="exact"/>
        <w:rPr>
          <w:sz w:val="20"/>
          <w:szCs w:val="20"/>
          <w:color w:val="auto"/>
        </w:rPr>
      </w:pPr>
    </w:p>
    <w:p>
      <w:pPr>
        <w:ind w:right="440" w:firstLine="348"/>
        <w:spacing w:after="0" w:line="256" w:lineRule="auto"/>
        <w:rPr>
          <w:sz w:val="20"/>
          <w:szCs w:val="20"/>
          <w:color w:val="auto"/>
        </w:rPr>
      </w:pPr>
      <w:r>
        <w:rPr>
          <w:rFonts w:ascii="Arial" w:cs="Arial" w:eastAsia="Arial" w:hAnsi="Arial"/>
          <w:sz w:val="18"/>
          <w:szCs w:val="18"/>
          <w:color w:val="auto"/>
        </w:rPr>
        <w:t>We target computers, communications-related equipment and consumer applications that require integrated circuit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main markets: business enterprise, consumer and emerging markets.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Business Enterprise Market</w:t>
      </w:r>
    </w:p>
    <w:p>
      <w:pPr>
        <w:spacing w:after="0" w:line="225" w:lineRule="exact"/>
        <w:rPr>
          <w:sz w:val="20"/>
          <w:szCs w:val="20"/>
          <w:color w:val="auto"/>
        </w:rPr>
      </w:pPr>
    </w:p>
    <w:p>
      <w:pPr>
        <w:ind w:right="600" w:firstLine="348"/>
        <w:spacing w:after="0" w:line="268" w:lineRule="auto"/>
        <w:rPr>
          <w:sz w:val="20"/>
          <w:szCs w:val="20"/>
          <w:color w:val="auto"/>
        </w:rPr>
      </w:pPr>
      <w:r>
        <w:rPr>
          <w:rFonts w:ascii="Arial" w:cs="Arial" w:eastAsia="Arial" w:hAnsi="Arial"/>
          <w:sz w:val="18"/>
          <w:szCs w:val="18"/>
          <w:color w:val="auto"/>
        </w:rPr>
        <w:t>We provide solutions tailored to specific needs of the enterprise networking, business enterprise computer, business storage and carrier access, small office/home office and residential networking segments of the business enterprise market.</w:t>
      </w:r>
    </w:p>
    <w:p>
      <w:pPr>
        <w:spacing w:after="0" w:line="186" w:lineRule="exact"/>
        <w:rPr>
          <w:sz w:val="20"/>
          <w:szCs w:val="20"/>
          <w:color w:val="auto"/>
        </w:rPr>
      </w:pPr>
    </w:p>
    <w:p>
      <w:pPr>
        <w:ind w:right="80" w:firstLine="351"/>
        <w:spacing w:after="0" w:line="253" w:lineRule="auto"/>
        <w:rPr>
          <w:sz w:val="20"/>
          <w:szCs w:val="20"/>
          <w:color w:val="auto"/>
        </w:rPr>
      </w:pPr>
      <w:r>
        <w:rPr>
          <w:rFonts w:ascii="Arial" w:cs="Arial" w:eastAsia="Arial" w:hAnsi="Arial"/>
          <w:sz w:val="18"/>
          <w:szCs w:val="18"/>
          <w:i w:val="1"/>
          <w:iCs w:val="1"/>
          <w:color w:val="auto"/>
        </w:rPr>
        <w:t xml:space="preserve">Enterprise Networking. </w:t>
      </w:r>
      <w:r>
        <w:rPr>
          <w:rFonts w:ascii="Arial" w:cs="Arial" w:eastAsia="Arial" w:hAnsi="Arial"/>
          <w:sz w:val="18"/>
          <w:szCs w:val="18"/>
          <w:color w:val="auto"/>
        </w:rPr>
        <w:t>LANs are comprised of different types of equipment interconnected by copper, fiber and/or coaxial cables over a computer</w:t>
      </w:r>
      <w:r>
        <w:rPr>
          <w:rFonts w:ascii="Arial" w:cs="Arial" w:eastAsia="Arial" w:hAnsi="Arial"/>
          <w:sz w:val="18"/>
          <w:szCs w:val="18"/>
          <w:i w:val="1"/>
          <w:iCs w:val="1"/>
          <w:color w:val="auto"/>
        </w:rPr>
        <w:t xml:space="preserve"> </w:t>
      </w:r>
      <w:r>
        <w:rPr>
          <w:rFonts w:ascii="Arial" w:cs="Arial" w:eastAsia="Arial" w:hAnsi="Arial"/>
          <w:sz w:val="18"/>
          <w:szCs w:val="18"/>
          <w:color w:val="auto"/>
        </w:rPr>
        <w:t>networking protocol called Ethernet. As the volume of data transmitted over these networks continues to increase, communication bottlenecks are appearing and new technologies such as Gigabit Ethernet are being employed to replace the older 10 Megabit and 100 Megabit per second technologies. Many desktop connections have recently migrated to Gigabit Ethernet technology, and we believe that the 1,000 Megabit per second Gigabit Ethernet standard has become the predominant technology for servers and backbone infrastructures that support LANs. We further believe that as desktop connections continue to migrate to the Gigabit Ethernet standard, server and backbone connections will eventually migrate to the new 10,000 Megabit per second standard, known as 10 Gigabit Ethernet.</w:t>
      </w: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13" w:name="page14"/>
    <w:bookmarkEnd w:id="13"/>
    <w:p>
      <w:pPr>
        <w:jc w:val="both"/>
        <w:ind w:right="40" w:firstLine="341"/>
        <w:spacing w:after="0" w:line="303" w:lineRule="auto"/>
        <w:rPr>
          <w:sz w:val="20"/>
          <w:szCs w:val="20"/>
          <w:color w:val="auto"/>
        </w:rPr>
      </w:pPr>
      <w:r>
        <w:rPr>
          <w:rFonts w:ascii="Arial" w:cs="Arial" w:eastAsia="Arial" w:hAnsi="Arial"/>
          <w:sz w:val="15"/>
          <w:szCs w:val="15"/>
          <w:color w:val="auto"/>
        </w:rPr>
        <w:t>Additionally, as businesses seek faster access to increasing amounts of information through LANs, Metropolitan Area Networks, or MANs, and WANs, such as the Internet, these networks are constrained in their ability to process and transmit information quickly. As a result, business enterprise equipment and systems are undergoing a transformation to allow for increased data transmission speed and the sophistication to intelligently route and process voice, video and data.</w:t>
      </w:r>
    </w:p>
    <w:p>
      <w:pPr>
        <w:spacing w:after="0" w:line="1" w:lineRule="exact"/>
        <w:rPr>
          <w:sz w:val="20"/>
          <w:szCs w:val="20"/>
          <w:color w:val="auto"/>
        </w:rPr>
      </w:pPr>
    </w:p>
    <w:p>
      <w:pPr>
        <w:ind w:right="280"/>
        <w:spacing w:after="0" w:line="295" w:lineRule="auto"/>
        <w:rPr>
          <w:sz w:val="20"/>
          <w:szCs w:val="20"/>
          <w:color w:val="auto"/>
        </w:rPr>
      </w:pPr>
      <w:r>
        <w:rPr>
          <w:rFonts w:ascii="Arial" w:cs="Arial" w:eastAsia="Arial" w:hAnsi="Arial"/>
          <w:sz w:val="16"/>
          <w:szCs w:val="16"/>
          <w:color w:val="auto"/>
        </w:rPr>
        <w:t>Previously processed by disparate systems — one for voice, one for video, one for data — these systems are being converged to create a single, more efficient system. Additionally, vendors of business enterprise equipment are increasingly faced with time-to-market pressures and resource constraints, which have augmented the vendors' transition from internally developed solutions to third-party semiconductor devices. In addition to the vendors' transition to third party semiconductor devices, many vendors are also looking for third party support for their software needs.</w:t>
      </w:r>
    </w:p>
    <w:p>
      <w:pPr>
        <w:spacing w:after="0" w:line="169"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Enterprise switching equipment is also decreasing in physical size while increasing the number of switched connections, or ports. The smaller, high port count equipment helps lower the overall system cost on a per port basis while requiring less space. Such systems demand highly integrated, low power consumption physical transceiver and switched Ethernet controller integrated circuits. We offer a variety of transceivers, Ethernet switches and system controllers for the specific requirements of the enterprise networking market. We also offer embedded networking software for such equipment.</w:t>
      </w:r>
    </w:p>
    <w:p>
      <w:pPr>
        <w:spacing w:after="0" w:line="167" w:lineRule="exact"/>
        <w:rPr>
          <w:sz w:val="20"/>
          <w:szCs w:val="20"/>
          <w:color w:val="auto"/>
        </w:rPr>
      </w:pPr>
    </w:p>
    <w:p>
      <w:pPr>
        <w:ind w:right="160" w:firstLine="351"/>
        <w:spacing w:after="0" w:line="298" w:lineRule="auto"/>
        <w:rPr>
          <w:sz w:val="20"/>
          <w:szCs w:val="20"/>
          <w:color w:val="auto"/>
        </w:rPr>
      </w:pPr>
      <w:r>
        <w:rPr>
          <w:rFonts w:ascii="Arial" w:cs="Arial" w:eastAsia="Arial" w:hAnsi="Arial"/>
          <w:sz w:val="16"/>
          <w:szCs w:val="16"/>
          <w:i w:val="1"/>
          <w:iCs w:val="1"/>
          <w:color w:val="auto"/>
        </w:rPr>
        <w:t xml:space="preserve">Business Enterprise Computer. </w:t>
      </w:r>
      <w:r>
        <w:rPr>
          <w:rFonts w:ascii="Arial" w:cs="Arial" w:eastAsia="Arial" w:hAnsi="Arial"/>
          <w:sz w:val="16"/>
          <w:szCs w:val="16"/>
          <w:color w:val="auto"/>
        </w:rPr>
        <w:t>Business enterprises purchase desktop, laptop and server computers to improve their productivity. We believe there is a</w:t>
      </w:r>
      <w:r>
        <w:rPr>
          <w:rFonts w:ascii="Arial" w:cs="Arial" w:eastAsia="Arial" w:hAnsi="Arial"/>
          <w:sz w:val="16"/>
          <w:szCs w:val="16"/>
          <w:i w:val="1"/>
          <w:iCs w:val="1"/>
          <w:color w:val="auto"/>
        </w:rPr>
        <w:t xml:space="preserve"> </w:t>
      </w:r>
      <w:r>
        <w:rPr>
          <w:rFonts w:ascii="Arial" w:cs="Arial" w:eastAsia="Arial" w:hAnsi="Arial"/>
          <w:sz w:val="16"/>
          <w:szCs w:val="16"/>
          <w:color w:val="auto"/>
        </w:rPr>
        <w:t>transition underway in the way these computers connect to communications networks. Wired connections to the communications networks are transitioning to Gigabit Ethernet connections and mobile computers are quickly adopting WLAN connectivity. We provide Gigabit Ethernet and WLAN connectivity integrated circuits tailored specifically for all three business PC market segments — enterprise, mobile and desktop.</w:t>
      </w:r>
    </w:p>
    <w:p>
      <w:pPr>
        <w:spacing w:after="0" w:line="167" w:lineRule="exact"/>
        <w:rPr>
          <w:sz w:val="20"/>
          <w:szCs w:val="20"/>
          <w:color w:val="auto"/>
        </w:rPr>
      </w:pPr>
    </w:p>
    <w:p>
      <w:pPr>
        <w:ind w:right="20" w:firstLine="351"/>
        <w:spacing w:after="0" w:line="255" w:lineRule="auto"/>
        <w:rPr>
          <w:sz w:val="20"/>
          <w:szCs w:val="20"/>
          <w:color w:val="auto"/>
        </w:rPr>
      </w:pPr>
      <w:r>
        <w:rPr>
          <w:rFonts w:ascii="Arial" w:cs="Arial" w:eastAsia="Arial" w:hAnsi="Arial"/>
          <w:sz w:val="18"/>
          <w:szCs w:val="18"/>
          <w:color w:val="auto"/>
        </w:rPr>
        <w:t>Purchases of desktop computers are becoming increasingly price sensitive. As a result, disk drive manufacturers focused on this segment require integrated circuit components that facilitate design for high volume, low cost manufacturing. Our complimentary metal oxide semiconductor or CMOS-based design is well-suited for high volume, low cost manufacturing, scalable performance and integration. Due to our ability to deliver high data transfer rates while meeting the cost requirements of the desktop computer segment, we offer cost-conscious manufacturers of desktop computer storage products with a migration path for building the high-performance drives of the future.</w:t>
      </w:r>
    </w:p>
    <w:p>
      <w:pPr>
        <w:spacing w:after="0" w:line="197"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We believe manufacturers of storage devices for the mobile computer segment are primarily concerned with power consumption, heat dissipation, cost and areal density. Our product family targeted at this market segment incorporates advanced digital signal processing technologies. To attempt to meet the requirements of this segment, we provide very low power consumption integrated circuits that can accommodate relatively high data transfer rates, which enables high areal density disk drives.</w:t>
      </w:r>
    </w:p>
    <w:p>
      <w:pPr>
        <w:spacing w:after="0" w:line="197" w:lineRule="exact"/>
        <w:rPr>
          <w:sz w:val="20"/>
          <w:szCs w:val="20"/>
          <w:color w:val="auto"/>
        </w:rPr>
      </w:pPr>
    </w:p>
    <w:p>
      <w:pPr>
        <w:ind w:firstLine="351"/>
        <w:spacing w:after="0" w:line="253" w:lineRule="auto"/>
        <w:rPr>
          <w:sz w:val="20"/>
          <w:szCs w:val="20"/>
          <w:color w:val="auto"/>
        </w:rPr>
      </w:pPr>
      <w:r>
        <w:rPr>
          <w:rFonts w:ascii="Arial" w:cs="Arial" w:eastAsia="Arial" w:hAnsi="Arial"/>
          <w:sz w:val="18"/>
          <w:szCs w:val="18"/>
          <w:color w:val="auto"/>
        </w:rPr>
        <w:t>Integrated circuits used in PCs are increasingly manufactured in smaller advanced geometries. Additionally, these smaller devices are being manufactured with higher levels of functional integration and designed to perform at record speeds, resulting in increased electrical current consumption. Conventional analog solutions require the use of larger passive components to operate effectively in this environment, thus increasing the cost of the solution. Due to the use of advanced digital signal processing, our power management solution is able to perform equivalent functions with the use of fewer and smaller passive components, thus lowering the total system cost and form factor of the PC. Additionally, we believe our power management solutions offer very high efficiency, which allows for improved battery life in laptops and decreased system heat dissipation, thus eliminating or significantly reducing the need for cooling mechanisms such as fans.</w:t>
      </w: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14" w:name="page15"/>
    <w:bookmarkEnd w:id="14"/>
    <w:p>
      <w:pPr>
        <w:ind w:right="60" w:firstLine="351"/>
        <w:spacing w:after="0" w:line="298" w:lineRule="auto"/>
        <w:rPr>
          <w:sz w:val="20"/>
          <w:szCs w:val="20"/>
          <w:color w:val="auto"/>
        </w:rPr>
      </w:pPr>
      <w:r>
        <w:rPr>
          <w:rFonts w:ascii="Arial" w:cs="Arial" w:eastAsia="Arial" w:hAnsi="Arial"/>
          <w:sz w:val="16"/>
          <w:szCs w:val="16"/>
          <w:i w:val="1"/>
          <w:iCs w:val="1"/>
          <w:color w:val="auto"/>
        </w:rPr>
        <w:t xml:space="preserve">Business Storage. </w:t>
      </w:r>
      <w:r>
        <w:rPr>
          <w:rFonts w:ascii="Arial" w:cs="Arial" w:eastAsia="Arial" w:hAnsi="Arial"/>
          <w:sz w:val="16"/>
          <w:szCs w:val="16"/>
          <w:color w:val="auto"/>
        </w:rPr>
        <w:t>Demand for storage in the PC market is increasing rapidly due to the introduction of new data-intensive computing and communications</w:t>
      </w:r>
      <w:r>
        <w:rPr>
          <w:rFonts w:ascii="Arial" w:cs="Arial" w:eastAsia="Arial" w:hAnsi="Arial"/>
          <w:sz w:val="16"/>
          <w:szCs w:val="16"/>
          <w:i w:val="1"/>
          <w:iCs w:val="1"/>
          <w:color w:val="auto"/>
        </w:rPr>
        <w:t xml:space="preserve"> </w:t>
      </w:r>
      <w:r>
        <w:rPr>
          <w:rFonts w:ascii="Arial" w:cs="Arial" w:eastAsia="Arial" w:hAnsi="Arial"/>
          <w:sz w:val="16"/>
          <w:szCs w:val="16"/>
          <w:color w:val="auto"/>
        </w:rPr>
        <w:t>applications, such as web-based commerce, streaming audio and video, enterprise-wide information systems and telecommuting. Also, the connection between the computer's disk drive to the motherboard is transitioning from a slower parallel connection (Parallel ATA) to a faster, more cost-effective serial connection (Serial ATA). We provide solutions tailored to the specific storage requirements of the enterprise, desktop and mobile computer segments.</w:t>
      </w:r>
    </w:p>
    <w:p>
      <w:pPr>
        <w:spacing w:after="0" w:line="167" w:lineRule="exact"/>
        <w:rPr>
          <w:sz w:val="20"/>
          <w:szCs w:val="20"/>
          <w:color w:val="auto"/>
        </w:rPr>
      </w:pPr>
    </w:p>
    <w:p>
      <w:pPr>
        <w:ind w:right="140" w:firstLine="348"/>
        <w:spacing w:after="0" w:line="318" w:lineRule="auto"/>
        <w:rPr>
          <w:sz w:val="20"/>
          <w:szCs w:val="20"/>
          <w:color w:val="auto"/>
        </w:rPr>
      </w:pPr>
      <w:r>
        <w:rPr>
          <w:rFonts w:ascii="Arial" w:cs="Arial" w:eastAsia="Arial" w:hAnsi="Arial"/>
          <w:sz w:val="15"/>
          <w:szCs w:val="15"/>
          <w:color w:val="auto"/>
        </w:rPr>
        <w:t>The proliferation of new technologies such as Redundant Array of Independent Disks (RAID) systems and network-based storage systems is resulting in increased usage of high-performance storage devices. Enterprise computing applications require systems that are capable of storing and retrieving large amounts of data at high rates. As a result, manufacturers of storage devices for the enterprise computer segment place primary importance on disk drive performance, reliability and capacity and are less concerned with size, power consumption and absolute cost. To accommodate these requirements, we provide integrated circuits that produce reliable storage devices with high data transfer rates and high capacity for complex, large-scale processing environments.</w:t>
      </w:r>
    </w:p>
    <w:p>
      <w:pPr>
        <w:spacing w:after="0" w:line="154" w:lineRule="exact"/>
        <w:rPr>
          <w:sz w:val="20"/>
          <w:szCs w:val="20"/>
          <w:color w:val="auto"/>
        </w:rPr>
      </w:pPr>
    </w:p>
    <w:p>
      <w:pPr>
        <w:ind w:right="200" w:firstLine="341"/>
        <w:spacing w:after="0" w:line="256" w:lineRule="auto"/>
        <w:rPr>
          <w:sz w:val="20"/>
          <w:szCs w:val="20"/>
          <w:color w:val="auto"/>
        </w:rPr>
      </w:pPr>
      <w:r>
        <w:rPr>
          <w:rFonts w:ascii="Arial" w:cs="Arial" w:eastAsia="Arial" w:hAnsi="Arial"/>
          <w:sz w:val="18"/>
          <w:szCs w:val="18"/>
          <w:color w:val="auto"/>
        </w:rPr>
        <w:t>Additionally, enterprise computers frequently use multiple disk drives such as RAID configurations. The market is increasingly adopting Serial ATA as a new connection technology between the disk drive and the motherboard. We provide Serial ATA integrated circuits for both disk drive electronics as well as for the connection on the motherboard. Our Serial ATA integrated circuits for the motherboard allow Serial ATA connection of multiple disk drives to the motherboard.</w:t>
      </w:r>
    </w:p>
    <w:p>
      <w:pPr>
        <w:spacing w:after="0" w:line="197" w:lineRule="exact"/>
        <w:rPr>
          <w:sz w:val="20"/>
          <w:szCs w:val="20"/>
          <w:color w:val="auto"/>
        </w:rPr>
      </w:pPr>
    </w:p>
    <w:p>
      <w:pPr>
        <w:ind w:firstLine="341"/>
        <w:spacing w:after="0" w:line="256" w:lineRule="auto"/>
        <w:rPr>
          <w:sz w:val="20"/>
          <w:szCs w:val="20"/>
          <w:color w:val="auto"/>
        </w:rPr>
      </w:pPr>
      <w:r>
        <w:rPr>
          <w:rFonts w:ascii="Arial" w:cs="Arial" w:eastAsia="Arial" w:hAnsi="Arial"/>
          <w:sz w:val="18"/>
          <w:szCs w:val="18"/>
          <w:color w:val="auto"/>
        </w:rPr>
        <w:t>As companies rely more heavily on data-intensive applications, the amount of information that needs to be managed and stored by organizations is increasing rapidly. Servers and peripheral storage devices such as tape libraries, RAID disks and optical storage systems are adequate for storing data, but server capacity is limited and access to peripheral devices can be slow. As a result, companies have moved toward the use of Storage Area Networks, or SANs, and Network Attached Storage, or NAS, systems.</w:t>
      </w:r>
    </w:p>
    <w:p>
      <w:pPr>
        <w:spacing w:after="0" w:line="197" w:lineRule="exact"/>
        <w:rPr>
          <w:sz w:val="20"/>
          <w:szCs w:val="20"/>
          <w:color w:val="auto"/>
        </w:rPr>
      </w:pPr>
    </w:p>
    <w:p>
      <w:pPr>
        <w:ind w:right="60" w:firstLine="341"/>
        <w:spacing w:after="0" w:line="254" w:lineRule="auto"/>
        <w:rPr>
          <w:sz w:val="20"/>
          <w:szCs w:val="20"/>
          <w:color w:val="auto"/>
        </w:rPr>
      </w:pPr>
      <w:r>
        <w:rPr>
          <w:rFonts w:ascii="Arial" w:cs="Arial" w:eastAsia="Arial" w:hAnsi="Arial"/>
          <w:sz w:val="18"/>
          <w:szCs w:val="18"/>
          <w:color w:val="auto"/>
        </w:rPr>
        <w:t>A SAN connects multiple servers to a centralized pool of disk storage. In a SAN, disk maintenance and routine backups are easier to schedule and control because all of the company's storage is treated as a single resource. In some SANs, the disks themselves can copy data to other disks for backup without any processing overhead at the host computers. The NAS system is a related storage device. The NAS is a specialized file server that attaches to the LAN like any other server or workstation; however, rather than containing a complete operating system, it generally uses a slimmed-down operating system and file system specialized for handling file-only reads and writes. SAN and NAS systems require high-performance circuitry. We provide physical layer transceivers and system controllers to the storage networking market.</w:t>
      </w:r>
    </w:p>
    <w:p>
      <w:pPr>
        <w:spacing w:after="0" w:line="198" w:lineRule="exact"/>
        <w:rPr>
          <w:sz w:val="20"/>
          <w:szCs w:val="20"/>
          <w:color w:val="auto"/>
        </w:rPr>
      </w:pPr>
    </w:p>
    <w:p>
      <w:pPr>
        <w:ind w:right="140" w:firstLine="351"/>
        <w:spacing w:after="0" w:line="287" w:lineRule="auto"/>
        <w:rPr>
          <w:sz w:val="20"/>
          <w:szCs w:val="20"/>
          <w:color w:val="auto"/>
        </w:rPr>
      </w:pPr>
      <w:r>
        <w:rPr>
          <w:rFonts w:ascii="Arial" w:cs="Arial" w:eastAsia="Arial" w:hAnsi="Arial"/>
          <w:sz w:val="16"/>
          <w:szCs w:val="16"/>
          <w:i w:val="1"/>
          <w:iCs w:val="1"/>
          <w:color w:val="auto"/>
        </w:rPr>
        <w:t xml:space="preserve">Carrier Access. </w:t>
      </w:r>
      <w:r>
        <w:rPr>
          <w:rFonts w:ascii="Arial" w:cs="Arial" w:eastAsia="Arial" w:hAnsi="Arial"/>
          <w:sz w:val="16"/>
          <w:szCs w:val="16"/>
          <w:color w:val="auto"/>
        </w:rPr>
        <w:t>The convergence of circuit switched and IP packet based technologies is requiring systems to reliably and intelligently route and process</w:t>
      </w:r>
      <w:r>
        <w:rPr>
          <w:rFonts w:ascii="Arial" w:cs="Arial" w:eastAsia="Arial" w:hAnsi="Arial"/>
          <w:sz w:val="16"/>
          <w:szCs w:val="16"/>
          <w:i w:val="1"/>
          <w:iCs w:val="1"/>
          <w:color w:val="auto"/>
        </w:rPr>
        <w:t xml:space="preserve"> </w:t>
      </w:r>
      <w:r>
        <w:rPr>
          <w:rFonts w:ascii="Arial" w:cs="Arial" w:eastAsia="Arial" w:hAnsi="Arial"/>
          <w:sz w:val="16"/>
          <w:szCs w:val="16"/>
          <w:color w:val="auto"/>
        </w:rPr>
        <w:t>voice, video and data. Carrier access equipment is transitioning from legacy telephony equipment that simply bridges traffic to equipment that performs many higher level functions, including Voice over IP, or VoIP, Virtual Private Networks, or VPNs, IP Multicast, Multi-Protocol Label Switching, or MPLS, and Network Address Translation, or NAT. Additionally, service providers are constantly exploring new opportunities to generate revenues across their networks. Integrated circuits within carrier access equipment are being required to support a wide variety of mechanisms to transact service level agreements, provisioning and advanced billing, all while guaranteeing reliability, security and redundancy. Also, the increased sophistication and speed of carrier access equipment is placing greater demands on system and communication controllers to drive CPU subsystem performance. Our internetworking, switching and high-speed transceiver products have been specifically developed to meet the requirements of these new systems. Additionally, as such equipment becomes more and more complex, many networking vendors require software support to drive such higher-level functions. Our RADLAN software has been optimized to drive the performance of our semiconductor devices in delivering such higher-level functions.</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5" w:name="page16"/>
    <w:bookmarkEnd w:id="15"/>
    <w:p>
      <w:pPr>
        <w:ind w:firstLine="351"/>
        <w:spacing w:after="0" w:line="291" w:lineRule="auto"/>
        <w:rPr>
          <w:sz w:val="20"/>
          <w:szCs w:val="20"/>
          <w:color w:val="auto"/>
        </w:rPr>
      </w:pPr>
      <w:r>
        <w:rPr>
          <w:rFonts w:ascii="Arial" w:cs="Arial" w:eastAsia="Arial" w:hAnsi="Arial"/>
          <w:sz w:val="16"/>
          <w:szCs w:val="16"/>
          <w:i w:val="1"/>
          <w:iCs w:val="1"/>
          <w:color w:val="auto"/>
        </w:rPr>
        <w:t xml:space="preserve">SOHO/Residential Networking. </w:t>
      </w:r>
      <w:r>
        <w:rPr>
          <w:rFonts w:ascii="Arial" w:cs="Arial" w:eastAsia="Arial" w:hAnsi="Arial"/>
          <w:sz w:val="16"/>
          <w:szCs w:val="16"/>
          <w:color w:val="auto"/>
        </w:rPr>
        <w:t>The increase in the number of multi-PC households and the use of Internet appliances has driven the demand for home</w:t>
      </w:r>
      <w:r>
        <w:rPr>
          <w:rFonts w:ascii="Arial" w:cs="Arial" w:eastAsia="Arial" w:hAnsi="Arial"/>
          <w:sz w:val="16"/>
          <w:szCs w:val="16"/>
          <w:i w:val="1"/>
          <w:iCs w:val="1"/>
          <w:color w:val="auto"/>
        </w:rPr>
        <w:t xml:space="preserve"> </w:t>
      </w:r>
      <w:r>
        <w:rPr>
          <w:rFonts w:ascii="Arial" w:cs="Arial" w:eastAsia="Arial" w:hAnsi="Arial"/>
          <w:sz w:val="16"/>
          <w:szCs w:val="16"/>
          <w:color w:val="auto"/>
        </w:rPr>
        <w:t>networking solutions, including the desire for shared broadband Internet access. This shared access requires advanced switching products. Manufacturers of Small Office/Home Office, or SOHO, switches are primarily concerned with reduced design complexity to minimize time-to-market concerns. Additionally, these manufacturers demand integrated circuits that are low cost, highly reliable and that allow for the development of systems that are flexible and easy to use. We provide a product family of multi-port Ethernet LAN switches for this market. We also offer a combination of our SOHO switches with our WLAN integrated circuits for our customers to produce wireless SOHO routers and switches.</w:t>
      </w:r>
    </w:p>
    <w:p>
      <w:pPr>
        <w:spacing w:after="0" w:line="174" w:lineRule="exact"/>
        <w:rPr>
          <w:sz w:val="20"/>
          <w:szCs w:val="20"/>
          <w:color w:val="auto"/>
        </w:rPr>
      </w:pPr>
    </w:p>
    <w:p>
      <w:pPr>
        <w:ind w:right="80" w:firstLine="348"/>
        <w:spacing w:after="0" w:line="298" w:lineRule="auto"/>
        <w:rPr>
          <w:sz w:val="20"/>
          <w:szCs w:val="20"/>
          <w:color w:val="auto"/>
        </w:rPr>
      </w:pPr>
      <w:r>
        <w:rPr>
          <w:rFonts w:ascii="Arial" w:cs="Arial" w:eastAsia="Arial" w:hAnsi="Arial"/>
          <w:sz w:val="16"/>
          <w:szCs w:val="16"/>
          <w:color w:val="auto"/>
        </w:rPr>
        <w:t>The use of wireless networking technologies within the SOHO/residential networking market is growing rapidly due to strong demand for increased convenience in mobile PC applications. Our WLAN solutions based upon the IEEE 802.11 standard allow consumers and businesses to have high-speed wireless access to their LANs in homes and offices. Applications that will benefit from the advancement of 802.11 technologies include mobile and desktop personal computers, PDAs, Internet appliances, wireless IP phones and handheld devices with roaming Internet access.</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Consumer Electronics Market</w:t>
      </w:r>
    </w:p>
    <w:p>
      <w:pPr>
        <w:spacing w:after="0" w:line="225" w:lineRule="exact"/>
        <w:rPr>
          <w:sz w:val="20"/>
          <w:szCs w:val="20"/>
          <w:color w:val="auto"/>
        </w:rPr>
      </w:pPr>
    </w:p>
    <w:p>
      <w:pPr>
        <w:ind w:right="20" w:firstLine="348"/>
        <w:spacing w:after="0" w:line="253" w:lineRule="auto"/>
        <w:rPr>
          <w:sz w:val="20"/>
          <w:szCs w:val="20"/>
          <w:color w:val="auto"/>
        </w:rPr>
      </w:pPr>
      <w:r>
        <w:rPr>
          <w:rFonts w:ascii="Arial" w:cs="Arial" w:eastAsia="Arial" w:hAnsi="Arial"/>
          <w:sz w:val="18"/>
          <w:szCs w:val="18"/>
          <w:color w:val="auto"/>
        </w:rPr>
        <w:t>There is an expanding proliferation of consumer electronic devices such as PDAs, cell phones, digital cameras, digital video recorders, digital audio entertainment centers and gaming consoles. There is a strong trend for these devices to integrate increasing levels of sophistication and features. Additionally, many of these devices are integrating the ability to connect to other devices and the Internet through wired and wireless connections. This increase in system sophistication and connectivity is placing greater demands on the system's processing power and performance. Also, the need to integrate high capacity storage into such devices is also growing given the expansion of the device's functionality and increased connectivity. Additionally, because many consumer electronic products are powered by a battery and are manufactured in small, lightweight form factors, our power management solutions are also targeted specifically at these applications.</w:t>
      </w:r>
    </w:p>
    <w:p>
      <w:pPr>
        <w:spacing w:after="0" w:line="201" w:lineRule="exact"/>
        <w:rPr>
          <w:sz w:val="20"/>
          <w:szCs w:val="20"/>
          <w:color w:val="auto"/>
        </w:rPr>
      </w:pPr>
    </w:p>
    <w:p>
      <w:pPr>
        <w:ind w:right="160" w:firstLine="351"/>
        <w:spacing w:after="0" w:line="290" w:lineRule="auto"/>
        <w:rPr>
          <w:sz w:val="20"/>
          <w:szCs w:val="20"/>
          <w:color w:val="auto"/>
        </w:rPr>
      </w:pPr>
      <w:r>
        <w:rPr>
          <w:rFonts w:ascii="Arial" w:cs="Arial" w:eastAsia="Arial" w:hAnsi="Arial"/>
          <w:sz w:val="16"/>
          <w:szCs w:val="16"/>
          <w:i w:val="1"/>
          <w:iCs w:val="1"/>
          <w:color w:val="auto"/>
        </w:rPr>
        <w:t xml:space="preserve">Consumer Storage Electronics. </w:t>
      </w:r>
      <w:r>
        <w:rPr>
          <w:rFonts w:ascii="Arial" w:cs="Arial" w:eastAsia="Arial" w:hAnsi="Arial"/>
          <w:sz w:val="16"/>
          <w:szCs w:val="16"/>
          <w:color w:val="auto"/>
        </w:rPr>
        <w:t>Many consumer electronic devices are now requiring large storage capacities. The demand for larger storage is being</w:t>
      </w:r>
      <w:r>
        <w:rPr>
          <w:rFonts w:ascii="Arial" w:cs="Arial" w:eastAsia="Arial" w:hAnsi="Arial"/>
          <w:sz w:val="16"/>
          <w:szCs w:val="16"/>
          <w:i w:val="1"/>
          <w:iCs w:val="1"/>
          <w:color w:val="auto"/>
        </w:rPr>
        <w:t xml:space="preserve"> </w:t>
      </w:r>
      <w:r>
        <w:rPr>
          <w:rFonts w:ascii="Arial" w:cs="Arial" w:eastAsia="Arial" w:hAnsi="Arial"/>
          <w:sz w:val="16"/>
          <w:szCs w:val="16"/>
          <w:color w:val="auto"/>
        </w:rPr>
        <w:t>driven by increased functionality and sophistication of consumer electronics as well as improved connectivity to outside communication networks and other devices. Many new, small form factor disk drives have been developed for the consumer electronics market. Such drives are typically in small form factors such as 1.8 inches and below and offer storage of up to 80 gigabytes of data. These small form factor drives are being widely adopted into MP3 players and are also targeted for such devices as cell phones and digital cameras. Additionally, digital video recorders and gaming consoles have also shown increased adoption of high capacity storage utilizing 3.5 inch desktop drives. We offer read channels, SoCs, pre-amplifiers, motor controllers and power management solutions that have been specifically designed for the demands of such small form factor and other consumer hard disk drives.</w:t>
      </w:r>
    </w:p>
    <w:p>
      <w:pPr>
        <w:spacing w:after="0" w:line="172" w:lineRule="exact"/>
        <w:rPr>
          <w:sz w:val="20"/>
          <w:szCs w:val="20"/>
          <w:color w:val="auto"/>
        </w:rPr>
      </w:pPr>
    </w:p>
    <w:p>
      <w:pPr>
        <w:ind w:right="80" w:firstLine="351"/>
        <w:spacing w:after="0" w:line="291" w:lineRule="auto"/>
        <w:rPr>
          <w:sz w:val="20"/>
          <w:szCs w:val="20"/>
          <w:color w:val="auto"/>
        </w:rPr>
      </w:pPr>
      <w:r>
        <w:rPr>
          <w:rFonts w:ascii="Arial" w:cs="Arial" w:eastAsia="Arial" w:hAnsi="Arial"/>
          <w:sz w:val="16"/>
          <w:szCs w:val="16"/>
          <w:i w:val="1"/>
          <w:iCs w:val="1"/>
          <w:color w:val="auto"/>
        </w:rPr>
        <w:t xml:space="preserve">WLAN Connectivity. </w:t>
      </w:r>
      <w:r>
        <w:rPr>
          <w:rFonts w:ascii="Arial" w:cs="Arial" w:eastAsia="Arial" w:hAnsi="Arial"/>
          <w:sz w:val="16"/>
          <w:szCs w:val="16"/>
          <w:color w:val="auto"/>
        </w:rPr>
        <w:t>Many consumer devices such as cell phones, printers, digital cameras, MP3 devices, speakers, game consoles and PDAs are also</w:t>
      </w:r>
      <w:r>
        <w:rPr>
          <w:rFonts w:ascii="Arial" w:cs="Arial" w:eastAsia="Arial" w:hAnsi="Arial"/>
          <w:sz w:val="16"/>
          <w:szCs w:val="16"/>
          <w:i w:val="1"/>
          <w:iCs w:val="1"/>
          <w:color w:val="auto"/>
        </w:rPr>
        <w:t xml:space="preserve"> </w:t>
      </w:r>
      <w:r>
        <w:rPr>
          <w:rFonts w:ascii="Arial" w:cs="Arial" w:eastAsia="Arial" w:hAnsi="Arial"/>
          <w:sz w:val="16"/>
          <w:szCs w:val="16"/>
          <w:color w:val="auto"/>
        </w:rPr>
        <w:t>beginning to integrate WLAN technology. WLAN technology is being utilized in many different ways beyond simple network or Internet connectivity. Such new applications of WLAN include ad-hoc gaming, VoIP and simple cable replacement technology. For example, gaming devices utilizing WLAN can connect directly to other gaming devices to allow multiple users to connect wirelessly and play games together on separate devices. Also, WLAN incorporated into portable phones can now utilize VoIP applications. In addition, devices such as digital cameras and speakers can connect to printers or stereo receivers wirelessly by utilizing WLAN connections. Many other new applications for WLAN for consumer devices are being developed.</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16" w:name="page17"/>
    <w:bookmarkEnd w:id="16"/>
    <w:p>
      <w:pPr>
        <w:ind w:right="120" w:firstLine="351"/>
        <w:spacing w:after="0" w:line="294" w:lineRule="auto"/>
        <w:rPr>
          <w:sz w:val="20"/>
          <w:szCs w:val="20"/>
          <w:color w:val="auto"/>
        </w:rPr>
      </w:pPr>
      <w:r>
        <w:rPr>
          <w:rFonts w:ascii="Arial" w:cs="Arial" w:eastAsia="Arial" w:hAnsi="Arial"/>
          <w:sz w:val="16"/>
          <w:szCs w:val="16"/>
          <w:color w:val="auto"/>
        </w:rPr>
        <w:t>Consumer electronic devices have specialized requirements in order to effectively adopt WLAN. Many existing consumer electronic devices lack the processing capabilities and sophistication to adopt WLAN without redesigning the system's electronics. Our WLAN devices are designed to greatly simplify the integration of WLAN into existing device electronics. Because of our high performance embedded microprocessor technology and other sophisticated features such as advanced networking capabilities, we enable our customers to integrate WLAN into existing system electronics with minimal architectural changes. Additionally, our WLAN solutions consume very low power and are very small.</w:t>
      </w:r>
    </w:p>
    <w:p>
      <w:pPr>
        <w:spacing w:after="0" w:line="170" w:lineRule="exact"/>
        <w:rPr>
          <w:sz w:val="20"/>
          <w:szCs w:val="20"/>
          <w:color w:val="auto"/>
        </w:rPr>
      </w:pPr>
    </w:p>
    <w:p>
      <w:pPr>
        <w:ind w:right="320" w:firstLine="351"/>
        <w:spacing w:after="0" w:line="323" w:lineRule="auto"/>
        <w:rPr>
          <w:sz w:val="20"/>
          <w:szCs w:val="20"/>
          <w:color w:val="auto"/>
        </w:rPr>
      </w:pPr>
      <w:r>
        <w:rPr>
          <w:rFonts w:ascii="Arial" w:cs="Arial" w:eastAsia="Arial" w:hAnsi="Arial"/>
          <w:sz w:val="15"/>
          <w:szCs w:val="15"/>
          <w:i w:val="1"/>
          <w:iCs w:val="1"/>
          <w:color w:val="auto"/>
        </w:rPr>
        <w:t xml:space="preserve">Power Management Solutions. </w:t>
      </w:r>
      <w:r>
        <w:rPr>
          <w:rFonts w:ascii="Arial" w:cs="Arial" w:eastAsia="Arial" w:hAnsi="Arial"/>
          <w:sz w:val="15"/>
          <w:szCs w:val="15"/>
          <w:color w:val="auto"/>
        </w:rPr>
        <w:t>Our power management solutions address a number of key design issues faced by consumer electronics manufacturers.</w:t>
      </w:r>
      <w:r>
        <w:rPr>
          <w:rFonts w:ascii="Arial" w:cs="Arial" w:eastAsia="Arial" w:hAnsi="Arial"/>
          <w:sz w:val="15"/>
          <w:szCs w:val="15"/>
          <w:i w:val="1"/>
          <w:iCs w:val="1"/>
          <w:color w:val="auto"/>
        </w:rPr>
        <w:t xml:space="preserve"> </w:t>
      </w:r>
      <w:r>
        <w:rPr>
          <w:rFonts w:ascii="Arial" w:cs="Arial" w:eastAsia="Arial" w:hAnsi="Arial"/>
          <w:sz w:val="15"/>
          <w:szCs w:val="15"/>
          <w:color w:val="auto"/>
        </w:rPr>
        <w:t>Many consumer electronic devices are battery powered. Our power management solutions have very high efficiency which allows the consumer electronic devices to consume less power and prolong battery life. Also, because most consumer electronic devices are portable and handheld, our power management solutions require the use of smaller and fewer external components, thus helping to decrease the size of consumer electronic devices.</w:t>
      </w:r>
    </w:p>
    <w:p>
      <w:pPr>
        <w:spacing w:after="0" w:line="15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Emerging Markets</w:t>
      </w:r>
    </w:p>
    <w:p>
      <w:pPr>
        <w:spacing w:after="0" w:line="225" w:lineRule="exact"/>
        <w:rPr>
          <w:sz w:val="20"/>
          <w:szCs w:val="20"/>
          <w:color w:val="auto"/>
        </w:rPr>
      </w:pPr>
    </w:p>
    <w:p>
      <w:pPr>
        <w:jc w:val="both"/>
        <w:ind w:right="120" w:firstLine="348"/>
        <w:spacing w:after="0" w:line="256" w:lineRule="auto"/>
        <w:rPr>
          <w:sz w:val="20"/>
          <w:szCs w:val="20"/>
          <w:color w:val="auto"/>
        </w:rPr>
      </w:pPr>
      <w:r>
        <w:rPr>
          <w:rFonts w:ascii="Arial" w:cs="Arial" w:eastAsia="Arial" w:hAnsi="Arial"/>
          <w:sz w:val="18"/>
          <w:szCs w:val="18"/>
          <w:color w:val="auto"/>
        </w:rPr>
        <w:t>We are focused on continuing to develop new products that leverage our high-performance analog, mixed-signal, digital signal processing and embedded microprocessor technologies. We intend to introduce such new products that utilize off-the-shelf general purpose mixed signal and analog solutions for a broad range of new markets. Although some of these markets will be new for us, they may be well established, existing markets such as the industrial, automotive and consumer electronics markets.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Products</w:t>
      </w:r>
    </w:p>
    <w:p>
      <w:pPr>
        <w:spacing w:after="0" w:line="231"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We offer our customers a wide range of integrated circuit solutions using proprietary Communications Mixed-Signal Processing, or CMSP, and digital signal processing technologies. We are applying our analog, mixed-signal, digital signal processing, embedded microprocessor, and complex digital design technologies in a variety of applications. Our broad product portfolio consists of storage, switching, transceivers, wireless, PC connectivity, gateways, communications controllers and power management products.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offer a broad range of storage products for hard disk drive electronics and storage interconnect technology.</w:t>
      </w:r>
    </w:p>
    <w:p>
      <w:pPr>
        <w:spacing w:after="0" w:line="225" w:lineRule="exact"/>
        <w:rPr>
          <w:sz w:val="20"/>
          <w:szCs w:val="20"/>
          <w:color w:val="auto"/>
        </w:rPr>
      </w:pPr>
    </w:p>
    <w:p>
      <w:pPr>
        <w:jc w:val="both"/>
        <w:ind w:right="100" w:firstLine="351"/>
        <w:spacing w:after="0" w:line="303" w:lineRule="auto"/>
        <w:rPr>
          <w:sz w:val="20"/>
          <w:szCs w:val="20"/>
          <w:color w:val="auto"/>
        </w:rPr>
      </w:pPr>
      <w:r>
        <w:rPr>
          <w:rFonts w:ascii="Arial" w:cs="Arial" w:eastAsia="Arial" w:hAnsi="Arial"/>
          <w:sz w:val="15"/>
          <w:szCs w:val="15"/>
          <w:i w:val="1"/>
          <w:iCs w:val="1"/>
          <w:color w:val="auto"/>
        </w:rPr>
        <w:t xml:space="preserve">Read Channel. </w:t>
      </w:r>
      <w:r>
        <w:rPr>
          <w:rFonts w:ascii="Arial" w:cs="Arial" w:eastAsia="Arial" w:hAnsi="Arial"/>
          <w:sz w:val="15"/>
          <w:szCs w:val="15"/>
          <w:color w:val="auto"/>
        </w:rPr>
        <w:t>A read channel is an integrated circuit that provides the interface between the analog signals stored on magnetic disk drives and the digital</w:t>
      </w:r>
      <w:r>
        <w:rPr>
          <w:rFonts w:ascii="Arial" w:cs="Arial" w:eastAsia="Arial" w:hAnsi="Arial"/>
          <w:sz w:val="15"/>
          <w:szCs w:val="15"/>
          <w:i w:val="1"/>
          <w:iCs w:val="1"/>
          <w:color w:val="auto"/>
        </w:rPr>
        <w:t xml:space="preserve"> </w:t>
      </w:r>
      <w:r>
        <w:rPr>
          <w:rFonts w:ascii="Arial" w:cs="Arial" w:eastAsia="Arial" w:hAnsi="Arial"/>
          <w:sz w:val="15"/>
          <w:szCs w:val="15"/>
          <w:color w:val="auto"/>
        </w:rPr>
        <w:t>signals that computers can understand and manipulate. The performance of the read channel normally drives the performance of the overall storage system. We utilize advanced mixed-signal and digital signal processing technologies in our array of partial response maximum likelihood, or PRML read channel products.</w:t>
      </w:r>
    </w:p>
    <w:p>
      <w:pPr>
        <w:spacing w:after="0" w:line="1"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198"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color w:val="auto"/>
        </w:rPr>
        <w:t>Our read channel integrated circuits target specific feature and performance requirements of the enterprise, desktop and mobile computing markets. We have implemented a strategy to consolidate the signal processing algorithms required by each of our different market segments into a single integrated circuit design. This strategy can result in cost savings and reduced product line complexity.</w:t>
      </w:r>
    </w:p>
    <w:p>
      <w:pPr>
        <w:spacing w:after="0" w:line="194" w:lineRule="exact"/>
        <w:rPr>
          <w:sz w:val="20"/>
          <w:szCs w:val="20"/>
          <w:color w:val="auto"/>
        </w:rPr>
      </w:pPr>
    </w:p>
    <w:p>
      <w:pPr>
        <w:ind w:right="240" w:firstLine="351"/>
        <w:spacing w:after="0" w:line="332" w:lineRule="auto"/>
        <w:rPr>
          <w:sz w:val="20"/>
          <w:szCs w:val="20"/>
          <w:color w:val="auto"/>
        </w:rPr>
      </w:pPr>
      <w:r>
        <w:rPr>
          <w:rFonts w:ascii="Arial" w:cs="Arial" w:eastAsia="Arial" w:hAnsi="Arial"/>
          <w:sz w:val="16"/>
          <w:szCs w:val="16"/>
          <w:i w:val="1"/>
          <w:iCs w:val="1"/>
          <w:color w:val="auto"/>
        </w:rPr>
        <w:t xml:space="preserve">System-On-Chip. </w:t>
      </w:r>
      <w:r>
        <w:rPr>
          <w:rFonts w:ascii="Arial" w:cs="Arial" w:eastAsia="Arial" w:hAnsi="Arial"/>
          <w:sz w:val="16"/>
          <w:szCs w:val="16"/>
          <w:color w:val="auto"/>
        </w:rPr>
        <w:t>Our integrated drive electronics platform is a flexible SOC solution that provides increased performance, reduced power consumption</w:t>
      </w:r>
      <w:r>
        <w:rPr>
          <w:rFonts w:ascii="Arial" w:cs="Arial" w:eastAsia="Arial" w:hAnsi="Arial"/>
          <w:sz w:val="16"/>
          <w:szCs w:val="16"/>
          <w:i w:val="1"/>
          <w:iCs w:val="1"/>
          <w:color w:val="auto"/>
        </w:rPr>
        <w:t xml:space="preserve"> </w:t>
      </w:r>
      <w:r>
        <w:rPr>
          <w:rFonts w:ascii="Arial" w:cs="Arial" w:eastAsia="Arial" w:hAnsi="Arial"/>
          <w:sz w:val="16"/>
          <w:szCs w:val="16"/>
          <w:color w:val="auto"/>
        </w:rPr>
        <w:t>and cost savings essential for next-generation hard disk drives. Utilizing our leading-edge read channel physical layer devices as the core for integration, we</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17" w:name="page18"/>
    <w:bookmarkEnd w:id="17"/>
    <w:p>
      <w:pPr>
        <w:ind w:right="120"/>
        <w:spacing w:after="0" w:line="323" w:lineRule="auto"/>
        <w:rPr>
          <w:sz w:val="20"/>
          <w:szCs w:val="20"/>
          <w:color w:val="auto"/>
        </w:rPr>
      </w:pPr>
      <w:r>
        <w:rPr>
          <w:rFonts w:ascii="Arial" w:cs="Arial" w:eastAsia="Arial" w:hAnsi="Arial"/>
          <w:sz w:val="15"/>
          <w:szCs w:val="15"/>
          <w:color w:val="auto"/>
        </w:rPr>
        <w:t>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These advantages make our integrated SOC platform an ideal solution for enterprise, desktop and mobile systems. Our current SOC products incorporate the read channel, hard disk controller, embedded memory and one or more microprocessors into a single integrated circuit.</w:t>
      </w:r>
    </w:p>
    <w:p>
      <w:pPr>
        <w:spacing w:after="0" w:line="152" w:lineRule="exact"/>
        <w:rPr>
          <w:sz w:val="20"/>
          <w:szCs w:val="20"/>
          <w:color w:val="auto"/>
        </w:rPr>
      </w:pPr>
    </w:p>
    <w:p>
      <w:pPr>
        <w:jc w:val="both"/>
        <w:ind w:right="40" w:firstLine="351"/>
        <w:spacing w:after="0" w:line="306" w:lineRule="auto"/>
        <w:rPr>
          <w:sz w:val="20"/>
          <w:szCs w:val="20"/>
          <w:color w:val="auto"/>
        </w:rPr>
      </w:pPr>
      <w:r>
        <w:rPr>
          <w:rFonts w:ascii="Arial" w:cs="Arial" w:eastAsia="Arial" w:hAnsi="Arial"/>
          <w:sz w:val="16"/>
          <w:szCs w:val="16"/>
          <w:i w:val="1"/>
          <w:iCs w:val="1"/>
          <w:color w:val="auto"/>
        </w:rPr>
        <w:t xml:space="preserve">Preamplifier. </w:t>
      </w:r>
      <w:r>
        <w:rPr>
          <w:rFonts w:ascii="Arial" w:cs="Arial" w:eastAsia="Arial" w:hAnsi="Arial"/>
          <w:sz w:val="16"/>
          <w:szCs w:val="16"/>
          <w:color w:val="auto"/>
        </w:rPr>
        <w:t>A preamplifier is an integrated circuit that amplifies the low-level electrical signal transmitted to and from the recording heads in a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device. Preamplifiers operate in 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161"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magnetoresistance, or MR, giant magnetoresistance, or GMR, and tunneling magnetoresistance, or TMR, read/write heads.</w:t>
      </w:r>
    </w:p>
    <w:p>
      <w:pPr>
        <w:spacing w:after="0" w:line="194"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i w:val="1"/>
          <w:iCs w:val="1"/>
          <w:color w:val="auto"/>
        </w:rPr>
        <w:t xml:space="preserve">Motor Controller. </w:t>
      </w:r>
      <w:r>
        <w:rPr>
          <w:rFonts w:ascii="Arial" w:cs="Arial" w:eastAsia="Arial" w:hAnsi="Arial"/>
          <w:sz w:val="16"/>
          <w:szCs w:val="16"/>
          <w:color w:val="auto"/>
        </w:rPr>
        <w:t>The motor controller integrated circuit is a driver that controls the amount of electrical current to the motors within the disk drive used to</w:t>
      </w:r>
      <w:r>
        <w:rPr>
          <w:rFonts w:ascii="Arial" w:cs="Arial" w:eastAsia="Arial" w:hAnsi="Arial"/>
          <w:sz w:val="16"/>
          <w:szCs w:val="16"/>
          <w:i w:val="1"/>
          <w:iCs w:val="1"/>
          <w:color w:val="auto"/>
        </w:rPr>
        <w:t xml:space="preserve"> </w:t>
      </w:r>
      <w:r>
        <w:rPr>
          <w:rFonts w:ascii="Arial" w:cs="Arial" w:eastAsia="Arial" w:hAnsi="Arial"/>
          <w:sz w:val="16"/>
          <w:szCs w:val="16"/>
          <w:color w:val="auto"/>
        </w:rPr>
        <w:t>move the head stack and control drive speed. Our devices are extremely power efficient and consume low power in both active and power save modes. The devices are extremely flexible in being able to handle current control for battery-operated devices as well as for demanding, high-performance disk drives.</w:t>
      </w:r>
    </w:p>
    <w:p>
      <w:pPr>
        <w:spacing w:after="0" w:line="161" w:lineRule="exact"/>
        <w:rPr>
          <w:sz w:val="20"/>
          <w:szCs w:val="20"/>
          <w:color w:val="auto"/>
        </w:rPr>
      </w:pPr>
    </w:p>
    <w:p>
      <w:pPr>
        <w:ind w:right="20" w:firstLine="351"/>
        <w:spacing w:after="0" w:line="254" w:lineRule="auto"/>
        <w:rPr>
          <w:sz w:val="20"/>
          <w:szCs w:val="20"/>
          <w:color w:val="auto"/>
        </w:rPr>
      </w:pPr>
      <w:r>
        <w:rPr>
          <w:rFonts w:ascii="Arial" w:cs="Arial" w:eastAsia="Arial" w:hAnsi="Arial"/>
          <w:sz w:val="18"/>
          <w:szCs w:val="18"/>
          <w:i w:val="1"/>
          <w:iCs w:val="1"/>
          <w:color w:val="auto"/>
        </w:rPr>
        <w:t xml:space="preserve">Serial ATA. </w:t>
      </w:r>
      <w:r>
        <w:rPr>
          <w:rFonts w:ascii="Arial" w:cs="Arial" w:eastAsia="Arial" w:hAnsi="Arial"/>
          <w:sz w:val="18"/>
          <w:szCs w:val="18"/>
          <w:color w:val="auto"/>
        </w:rPr>
        <w:t>Serial ATA, or SATA, is the next generation internal storage interconnect designed to replace the existing ATA interface. SATA is the evolution</w:t>
      </w:r>
      <w:r>
        <w:rPr>
          <w:rFonts w:ascii="Arial" w:cs="Arial" w:eastAsia="Arial" w:hAnsi="Arial"/>
          <w:sz w:val="18"/>
          <w:szCs w:val="18"/>
          <w:i w:val="1"/>
          <w:iCs w:val="1"/>
          <w:color w:val="auto"/>
        </w:rPr>
        <w:t xml:space="preserve"> </w:t>
      </w:r>
      <w:r>
        <w:rPr>
          <w:rFonts w:ascii="Arial" w:cs="Arial" w:eastAsia="Arial" w:hAnsi="Arial"/>
          <w:sz w:val="18"/>
          <w:szCs w:val="18"/>
          <w:color w:val="auto"/>
        </w:rPr>
        <w:t>of the ATA interface from a parallel bus to a serial bus architecture. The SATA interface is optimized for internal primary storage and provides the capability for future enhancements. SATA technology can offer extensive performance gains and manufacturing efficiencies to the mainstream PC storage user. With a transfer rate of 1.5 Gigabits per second (Gbps) and scalable to 3.0 Gbps and 6.0 Gbps, SATA technology also enables the application of a cost-effective, storage interface to enterprise storage applications which, until now, have required more expensive interface technologies such as Fibre Channel and Small Computer System Interface.</w:t>
      </w:r>
    </w:p>
    <w:p>
      <w:pPr>
        <w:spacing w:after="0" w:line="198" w:lineRule="exact"/>
        <w:rPr>
          <w:sz w:val="20"/>
          <w:szCs w:val="20"/>
          <w:color w:val="auto"/>
        </w:rPr>
      </w:pPr>
    </w:p>
    <w:p>
      <w:pPr>
        <w:ind w:right="120" w:firstLine="351"/>
        <w:spacing w:after="0" w:line="332" w:lineRule="auto"/>
        <w:rPr>
          <w:sz w:val="20"/>
          <w:szCs w:val="20"/>
          <w:color w:val="auto"/>
        </w:rPr>
      </w:pPr>
      <w:r>
        <w:rPr>
          <w:rFonts w:ascii="Arial" w:cs="Arial" w:eastAsia="Arial" w:hAnsi="Arial"/>
          <w:sz w:val="16"/>
          <w:szCs w:val="16"/>
          <w:color w:val="auto"/>
        </w:rPr>
        <w:t>Our SATA solutions leverage our physical layer transceiver (PHY) technology with our extensive storage expertise. Our family of SATA offerings provides storage OEMs with a platform for developing mainstream PC storage as well as high-performance enterprise subsystems and arrays.</w:t>
      </w:r>
    </w:p>
    <w:p>
      <w:pPr>
        <w:spacing w:after="0" w:line="139"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225" w:lineRule="exact"/>
        <w:rPr>
          <w:sz w:val="20"/>
          <w:szCs w:val="20"/>
          <w:color w:val="auto"/>
        </w:rPr>
      </w:pPr>
    </w:p>
    <w:p>
      <w:pPr>
        <w:jc w:val="both"/>
        <w:ind w:right="360" w:firstLine="348"/>
        <w:spacing w:after="0" w:line="306"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SOHO/residential networking markets. Our switching products enable voice, video, and data traffic to be seamlessly carried through the network with full fidelity. Additionally, we are enabling the emergence of packet-based Internet communications of real-time traffic such as telephony and video-on-demand.</w:t>
      </w:r>
    </w:p>
    <w:p>
      <w:pPr>
        <w:spacing w:after="0" w:line="161" w:lineRule="exact"/>
        <w:rPr>
          <w:sz w:val="20"/>
          <w:szCs w:val="20"/>
          <w:color w:val="auto"/>
        </w:rPr>
      </w:pPr>
    </w:p>
    <w:p>
      <w:pPr>
        <w:ind w:right="40" w:firstLine="351"/>
        <w:spacing w:after="0" w:line="283" w:lineRule="auto"/>
        <w:rPr>
          <w:sz w:val="20"/>
          <w:szCs w:val="20"/>
          <w:color w:val="auto"/>
        </w:rPr>
      </w:pPr>
      <w:r>
        <w:rPr>
          <w:rFonts w:ascii="Arial" w:cs="Arial" w:eastAsia="Arial" w:hAnsi="Arial"/>
          <w:sz w:val="16"/>
          <w:szCs w:val="16"/>
          <w:i w:val="1"/>
          <w:iCs w:val="1"/>
          <w:color w:val="auto"/>
        </w:rPr>
        <w:t xml:space="preserve">Prestera™ Switching Architecture. </w:t>
      </w:r>
      <w:r>
        <w:rPr>
          <w:rFonts w:ascii="Arial" w:cs="Arial" w:eastAsia="Arial" w:hAnsi="Arial"/>
          <w:sz w:val="16"/>
          <w:szCs w:val="16"/>
          <w:color w:val="auto"/>
        </w:rPr>
        <w:t>The Prestera™ architecture, our sixth generation of switching solutions, is designed to enable system manufacturers to</w:t>
      </w:r>
      <w:r>
        <w:rPr>
          <w:rFonts w:ascii="Arial" w:cs="Arial" w:eastAsia="Arial" w:hAnsi="Arial"/>
          <w:sz w:val="16"/>
          <w:szCs w:val="16"/>
          <w:i w:val="1"/>
          <w:iCs w:val="1"/>
          <w:color w:val="auto"/>
        </w:rPr>
        <w:t xml:space="preserve"> </w:t>
      </w:r>
      <w:r>
        <w:rPr>
          <w:rFonts w:ascii="Arial" w:cs="Arial" w:eastAsia="Arial" w:hAnsi="Arial"/>
          <w:sz w:val="16"/>
          <w:szCs w:val="16"/>
          <w:color w:val="auto"/>
        </w:rPr>
        <w:t>build families of products that address high-density Gigabit solutions for the enterprise and Small and Medium Size Businesses (SMB) as well as terabit densities for MANs. Using this switching architecture, manufacturers can introduce high-performance, feature-rich and cost-effective products that not only meet today's market needs but also provide a scalable platform for future requirements. The Prestera-MX multi-layer switching family of products are fully integrated</w:t>
      </w:r>
    </w:p>
    <w:p>
      <w:pPr>
        <w:spacing w:after="0" w:line="3" w:lineRule="exact"/>
        <w:rPr>
          <w:sz w:val="20"/>
          <w:szCs w:val="20"/>
          <w:color w:val="auto"/>
        </w:rPr>
      </w:pPr>
    </w:p>
    <w:p>
      <w:pPr>
        <w:ind w:right="520"/>
        <w:spacing w:after="0" w:line="323" w:lineRule="auto"/>
        <w:rPr>
          <w:sz w:val="20"/>
          <w:szCs w:val="20"/>
          <w:color w:val="auto"/>
        </w:rPr>
      </w:pPr>
      <w:r>
        <w:rPr>
          <w:rFonts w:ascii="Arial" w:cs="Arial" w:eastAsia="Arial" w:hAnsi="Arial"/>
          <w:sz w:val="16"/>
          <w:szCs w:val="16"/>
          <w:color w:val="auto"/>
        </w:rPr>
        <w:t>10 Gigabit, One Gigabit and 100 megabit per second wire-speed configurable devices targeted at metropolitan edge and access systems in service provider networks. The Prestera-MX devices target MAN switching applications, including Layer 2/3 switching, Layer 2 to Layer 5 traffic</w:t>
      </w:r>
    </w:p>
    <w:p>
      <w:pPr>
        <w:spacing w:after="0" w:line="14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18" w:name="page19"/>
    <w:bookmarkEnd w:id="18"/>
    <w:p>
      <w:pPr>
        <w:ind w:right="40"/>
        <w:spacing w:after="0" w:line="309" w:lineRule="auto"/>
        <w:rPr>
          <w:sz w:val="20"/>
          <w:szCs w:val="20"/>
          <w:color w:val="auto"/>
        </w:rPr>
      </w:pPr>
      <w:r>
        <w:rPr>
          <w:rFonts w:ascii="Arial" w:cs="Arial" w:eastAsia="Arial" w:hAnsi="Arial"/>
          <w:sz w:val="15"/>
          <w:szCs w:val="15"/>
          <w:color w:val="auto"/>
        </w:rPr>
        <w:t>classification for millions of flows, wire-speed ACLs, traffic policing and shaping, longest prefix match, NAT and MPLS functions. The Prestera-EX family of packet processors is designed to deliver multi-layer enterprise switching to drive Gigabit to the desktop with exceptional price and performance ratios and what we believe are industry-leading features. The Prestera-EX family is designed to provide a complete line of Fast Ethernet, Gigabit Ethernet and 10G switching solutions with 100% software compatibility. The Prestera-DX family of packet processors offers new levels of integration and performance targeted at desktop Gigabit Ethernet switches in small-to-midsize business, or SMB networks. Addressing the cost-sensitive unmanaged and lightly managed desktop switching market, the processors enable system vendors to design affordable, plug-and-play, high-density, standalone switches. Also, the Prestera-FX family of fabric processors and crossbar switch fabrics offers exceptional expandability and scalability for Prestera packet processors. The fabric processors are single-chip traffic managers with an integrated crossbar and Serializer/Deserializer (SERDES) for low cost, high-performance scaling for stackable and chassis systems in data centers, multi-tenant buildings and enterprise wiring closets. These products accelerate the proliferation of Gigabit switching in LAN and MAN environments.</w:t>
      </w:r>
    </w:p>
    <w:p>
      <w:pPr>
        <w:spacing w:after="0" w:line="162" w:lineRule="exact"/>
        <w:rPr>
          <w:sz w:val="20"/>
          <w:szCs w:val="20"/>
          <w:color w:val="auto"/>
        </w:rPr>
      </w:pPr>
    </w:p>
    <w:p>
      <w:pPr>
        <w:ind w:right="40" w:firstLine="351"/>
        <w:spacing w:after="0" w:line="290" w:lineRule="auto"/>
        <w:rPr>
          <w:sz w:val="20"/>
          <w:szCs w:val="20"/>
          <w:color w:val="auto"/>
        </w:rPr>
      </w:pPr>
      <w:r>
        <w:rPr>
          <w:rFonts w:ascii="Arial" w:cs="Arial" w:eastAsia="Arial" w:hAnsi="Arial"/>
          <w:sz w:val="16"/>
          <w:szCs w:val="16"/>
          <w:i w:val="1"/>
          <w:iCs w:val="1"/>
          <w:color w:val="auto"/>
        </w:rPr>
        <w:t xml:space="preserve">Link Street™ SOHO Multi-Port Integrated Switches. </w:t>
      </w:r>
      <w:r>
        <w:rPr>
          <w:rFonts w:ascii="Arial" w:cs="Arial" w:eastAsia="Arial" w:hAnsi="Arial"/>
          <w:sz w:val="16"/>
          <w:szCs w:val="16"/>
          <w:color w:val="auto"/>
        </w:rPr>
        <w:t>Our integrated 10/100 Link Street™ Fast Ethernet and Gigabit switch product family, which support</w:t>
      </w:r>
      <w:r>
        <w:rPr>
          <w:rFonts w:ascii="Arial" w:cs="Arial" w:eastAsia="Arial" w:hAnsi="Arial"/>
          <w:sz w:val="16"/>
          <w:szCs w:val="16"/>
          <w:i w:val="1"/>
          <w:iCs w:val="1"/>
          <w:color w:val="auto"/>
        </w:rPr>
        <w:t xml:space="preserve"> </w:t>
      </w:r>
      <w:r>
        <w:rPr>
          <w:rFonts w:ascii="Arial" w:cs="Arial" w:eastAsia="Arial" w:hAnsi="Arial"/>
          <w:sz w:val="16"/>
          <w:szCs w:val="16"/>
          <w:color w:val="auto"/>
        </w:rPr>
        <w:t>3 through 10 port configurations, provide solutions for the SOHO market, where cost, ease-of-use, and flexibility are of paramount importance. Our current product offerings include a product family of multi-port Ethernet LAN Switches, targeting the SOHO LAN switching market. These integrated products can reduce design complexities and time-to-market barriers typically associated with switch development. The SOHO switches with integrated transceivers incorporate advanced features such as smart power management, which dramatically reduces power consumption by more than 50%, and Virtual Cable Tester™ (VCT) technology, which performs cable diagnostics to reduce overall network support costs. These enhanced features make these switches ideal for applications such as standalone switches, media converters, IP phones, firewall appliances, wireless and wired gateway routers and wireless access points.</w:t>
      </w:r>
    </w:p>
    <w:p>
      <w:pPr>
        <w:spacing w:after="0" w:line="172"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i w:val="1"/>
          <w:iCs w:val="1"/>
          <w:color w:val="auto"/>
        </w:rPr>
        <w:t>GalNet</w:t>
      </w:r>
      <w:r>
        <w:rPr>
          <w:rFonts w:ascii="Arial" w:cs="Arial" w:eastAsia="Arial" w:hAnsi="Arial"/>
          <w:sz w:val="16"/>
          <w:szCs w:val="16"/>
          <w:color w:val="auto"/>
        </w:rPr>
        <w:t>®-2. Our GalNet®-2 family comprises more than twenty products, from Fast Ethernet and Gigabit Ethernet switch controllers, to G.Link crossbars</w:t>
      </w:r>
      <w:r>
        <w:rPr>
          <w:rFonts w:ascii="Arial" w:cs="Arial" w:eastAsia="Arial" w:hAnsi="Arial"/>
          <w:sz w:val="16"/>
          <w:szCs w:val="16"/>
          <w:i w:val="1"/>
          <w:iCs w:val="1"/>
          <w:color w:val="auto"/>
        </w:rPr>
        <w:t xml:space="preserve"> </w:t>
      </w:r>
      <w:r>
        <w:rPr>
          <w:rFonts w:ascii="Arial" w:cs="Arial" w:eastAsia="Arial" w:hAnsi="Arial"/>
          <w:sz w:val="16"/>
          <w:szCs w:val="16"/>
          <w:color w:val="auto"/>
        </w:rPr>
        <w:t>and bridges — all offering what we believe to be a comprehensive switched Ethernet solution. Applications for GalNet-2 devices span the range from SOHO products and rack systems supporting full-wire-speed performance, stacking and advanced features, to mini-chassis and full-chassis systems designed to provide enterprise users with full converged networking support. Systems using the GalNet-2 device use our proprietary G.Link bus to interconnect switch controllers and crossbar switch fabrics. G.Link supports development of very high-performance systems via its high bandwidth and our G.Link crossbar switches. Crossbars are used to route messaging and data between distributed switch controllers and, if present, the management CPU complex. Our G.Link crossbar switches range from 4 to 12 G.Link ports to support the development of a wide variety of system architectures. Crossbars may also be interconnected in meshes to support larger numbers of G.Link ports. GalNet-2 crossbars are also used with GalNet-2+ and GalNet-3 switched Ethernet controllers, for advanced Layer and Layer 3/4/5 system applications. GalNet-2 switched Ethernet controllers are available supporting a wide range of features and configurations. These switches are combined with others to build systems with up to 256 Fast Ethernet ports, 32 Gigabit Ethernet ports or combinations utilizing up to thirty-two switch controllers and CPUs. A major benefit of the GalNet-2 devices is software compatibility among switch controllers. Shorter time-to-market is supported via the leveraging of previously developed code in new system applications, often with little or no modification.</w:t>
      </w:r>
    </w:p>
    <w:p>
      <w:pPr>
        <w:spacing w:after="0" w:line="178" w:lineRule="exact"/>
        <w:rPr>
          <w:sz w:val="20"/>
          <w:szCs w:val="20"/>
          <w:color w:val="auto"/>
        </w:rPr>
      </w:pPr>
    </w:p>
    <w:p>
      <w:pPr>
        <w:ind w:right="140" w:firstLine="351"/>
        <w:spacing w:after="0" w:line="298" w:lineRule="auto"/>
        <w:rPr>
          <w:sz w:val="20"/>
          <w:szCs w:val="20"/>
          <w:color w:val="auto"/>
        </w:rPr>
      </w:pPr>
      <w:r>
        <w:rPr>
          <w:rFonts w:ascii="Arial" w:cs="Arial" w:eastAsia="Arial" w:hAnsi="Arial"/>
          <w:sz w:val="16"/>
          <w:szCs w:val="16"/>
          <w:i w:val="1"/>
          <w:iCs w:val="1"/>
          <w:color w:val="auto"/>
        </w:rPr>
        <w:t xml:space="preserve">GalNet-2+. </w:t>
      </w:r>
      <w:r>
        <w:rPr>
          <w:rFonts w:ascii="Arial" w:cs="Arial" w:eastAsia="Arial" w:hAnsi="Arial"/>
          <w:sz w:val="16"/>
          <w:szCs w:val="16"/>
          <w:color w:val="auto"/>
        </w:rPr>
        <w:t>Utilizing the same architecture as our GalNet-2, our GalNet-2+ devices add integrated memory and support for advanced Quality of Service,</w:t>
      </w:r>
      <w:r>
        <w:rPr>
          <w:rFonts w:ascii="Arial" w:cs="Arial" w:eastAsia="Arial" w:hAnsi="Arial"/>
          <w:sz w:val="16"/>
          <w:szCs w:val="16"/>
          <w:i w:val="1"/>
          <w:iCs w:val="1"/>
          <w:color w:val="auto"/>
        </w:rPr>
        <w:t xml:space="preserve"> </w:t>
      </w:r>
      <w:r>
        <w:rPr>
          <w:rFonts w:ascii="Arial" w:cs="Arial" w:eastAsia="Arial" w:hAnsi="Arial"/>
          <w:sz w:val="16"/>
          <w:szCs w:val="16"/>
          <w:color w:val="auto"/>
        </w:rPr>
        <w:t>or QoS, via support for packet prioritization. GalNet-2+ Ethernet controllers support the native QoS requirements of Windows 2000, which is providing an important catalyst for the development of multimedia applications. GalNet-2+ devices integrate both the packet and control memories into the switch controller, providing a high level of integration, low chip-count and advanced features. The GalNet-2+ switches are combined using GalNet-2 crossbars to</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19" w:name="page20"/>
    <w:bookmarkEnd w:id="19"/>
    <w:p>
      <w:pPr>
        <w:ind w:right="140"/>
        <w:spacing w:after="0" w:line="268" w:lineRule="auto"/>
        <w:rPr>
          <w:sz w:val="20"/>
          <w:szCs w:val="20"/>
          <w:color w:val="auto"/>
        </w:rPr>
      </w:pPr>
      <w:r>
        <w:rPr>
          <w:rFonts w:ascii="Arial" w:cs="Arial" w:eastAsia="Arial" w:hAnsi="Arial"/>
          <w:sz w:val="18"/>
          <w:szCs w:val="18"/>
          <w:color w:val="auto"/>
        </w:rPr>
        <w:t>enable the development of high-performance end products, such as 1U rack-mount stacking switches and modular systems with up to 256 Fast Ethernet ports or 32 Gigabit Ethernet ports.</w:t>
      </w:r>
    </w:p>
    <w:p>
      <w:pPr>
        <w:spacing w:after="0" w:line="186" w:lineRule="exact"/>
        <w:rPr>
          <w:sz w:val="20"/>
          <w:szCs w:val="20"/>
          <w:color w:val="auto"/>
        </w:rPr>
      </w:pPr>
    </w:p>
    <w:p>
      <w:pPr>
        <w:ind w:right="120" w:firstLine="351"/>
        <w:spacing w:after="0" w:line="253" w:lineRule="auto"/>
        <w:rPr>
          <w:sz w:val="20"/>
          <w:szCs w:val="20"/>
          <w:color w:val="auto"/>
        </w:rPr>
      </w:pPr>
      <w:r>
        <w:rPr>
          <w:rFonts w:ascii="Arial" w:cs="Arial" w:eastAsia="Arial" w:hAnsi="Arial"/>
          <w:sz w:val="18"/>
          <w:szCs w:val="18"/>
          <w:i w:val="1"/>
          <w:iCs w:val="1"/>
          <w:color w:val="auto"/>
        </w:rPr>
        <w:t xml:space="preserve">GalNet-3. </w:t>
      </w:r>
      <w:r>
        <w:rPr>
          <w:rFonts w:ascii="Arial" w:cs="Arial" w:eastAsia="Arial" w:hAnsi="Arial"/>
          <w:sz w:val="18"/>
          <w:szCs w:val="18"/>
          <w:color w:val="auto"/>
        </w:rPr>
        <w:t>Our GalNet-3 family of converged voice/video/data network switch processors provides full-featured Layer 2/3/4/5 switch processors</w:t>
      </w:r>
      <w:r>
        <w:rPr>
          <w:rFonts w:ascii="Arial" w:cs="Arial" w:eastAsia="Arial" w:hAnsi="Arial"/>
          <w:sz w:val="18"/>
          <w:szCs w:val="18"/>
          <w:i w:val="1"/>
          <w:iCs w:val="1"/>
          <w:color w:val="auto"/>
        </w:rPr>
        <w:t xml:space="preserve"> </w:t>
      </w:r>
      <w:r>
        <w:rPr>
          <w:rFonts w:ascii="Arial" w:cs="Arial" w:eastAsia="Arial" w:hAnsi="Arial"/>
          <w:sz w:val="18"/>
          <w:szCs w:val="18"/>
          <w:color w:val="auto"/>
        </w:rPr>
        <w:t>supporting the development of high-performance enterprise and edge routers, MAN switches and other communications applications requiring state-of-the-art multimedia support and performance. The GalNet-3 products support advanced functions such as 5-quintuple flow classification, bandwidth reservation, rate policing and flow statistics gathering. These features enable system developers to design sophisticated applications, such as IP PBXs supporting monitoring and compliance to service level agreements negotiated with Internet service providers. The GalNet-3 switches support communications over Ethernet, Fast Ethernet, Gigabit Ethernet and OC-12c PoS. In addition to ATM connection support, PoS allow designers to develop converged systems connecting LANs to MANs and WANs.</w:t>
      </w:r>
    </w:p>
    <w:p>
      <w:pPr>
        <w:spacing w:after="0" w:line="20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Transceiver Products</w:t>
      </w:r>
    </w:p>
    <w:p>
      <w:pPr>
        <w:spacing w:after="0" w:line="225"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We have a line of low power, high-performance physical layer transceiver solutions for demanding networking applications. We provide these transceivers to the enterprise networking and storage networking markets.</w:t>
      </w:r>
    </w:p>
    <w:p>
      <w:pPr>
        <w:spacing w:after="0" w:line="186" w:lineRule="exact"/>
        <w:rPr>
          <w:sz w:val="20"/>
          <w:szCs w:val="20"/>
          <w:color w:val="auto"/>
        </w:rPr>
      </w:pPr>
    </w:p>
    <w:p>
      <w:pPr>
        <w:ind w:right="200" w:firstLine="348"/>
        <w:spacing w:after="0" w:line="289" w:lineRule="auto"/>
        <w:rPr>
          <w:sz w:val="20"/>
          <w:szCs w:val="20"/>
          <w:color w:val="auto"/>
        </w:rPr>
      </w:pPr>
      <w:r>
        <w:rPr>
          <w:rFonts w:ascii="Arial" w:cs="Arial" w:eastAsia="Arial" w:hAnsi="Arial"/>
          <w:sz w:val="16"/>
          <w:szCs w:val="16"/>
          <w:i w:val="1"/>
          <w:iCs w:val="1"/>
          <w:color w:val="auto"/>
        </w:rPr>
        <w:t xml:space="preserve">Alaska® Gigabit Ethernet Transceivers. </w:t>
      </w:r>
      <w:r>
        <w:rPr>
          <w:rFonts w:ascii="Arial" w:cs="Arial" w:eastAsia="Arial" w:hAnsi="Arial"/>
          <w:sz w:val="16"/>
          <w:szCs w:val="16"/>
          <w:color w:val="auto"/>
        </w:rPr>
        <w:t>We believe our Alaska® family of Gigabit Ethernet transceivers is the ideal solution for enterprise networking</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where high performance and low power dissipation are absolutely necessary. Each product contains optional built-in 1.25 Gigabit SERDES function, which allows the device to work seamlessly over either copper or fiber-optic cabling. The devices also support value-added features such as VCT technology, which is used to diagnose the attached cable plant. This technology can allow end-users to quickly and remotely analyze the quality and attributes of the cable, thereby avoiding unnecessary equipment returns and on-site service calls. The advanced built-in diagnostics help pinpoint the cause of network malfunctions without deploying field support personnel or bringing down the network, significantly reducing installation time and cable debug efforts and requirements. The design for these products incorporates sophisticated digital signal processing algorithms and power management techniques to achieve low power dissipation. Target applications include Network Interface Cards, LOMs, routers and next-generation switches.</w:t>
      </w:r>
    </w:p>
    <w:p>
      <w:pPr>
        <w:spacing w:after="0" w:line="172" w:lineRule="exact"/>
        <w:rPr>
          <w:sz w:val="20"/>
          <w:szCs w:val="20"/>
          <w:color w:val="auto"/>
        </w:rPr>
      </w:pPr>
    </w:p>
    <w:p>
      <w:pPr>
        <w:ind w:right="20" w:firstLine="348"/>
        <w:spacing w:after="0" w:line="256" w:lineRule="auto"/>
        <w:rPr>
          <w:sz w:val="20"/>
          <w:szCs w:val="20"/>
          <w:color w:val="auto"/>
        </w:rPr>
      </w:pPr>
      <w:r>
        <w:rPr>
          <w:rFonts w:ascii="Arial" w:cs="Arial" w:eastAsia="Arial" w:hAnsi="Arial"/>
          <w:sz w:val="18"/>
          <w:szCs w:val="18"/>
          <w:i w:val="1"/>
          <w:iCs w:val="1"/>
          <w:color w:val="auto"/>
        </w:rPr>
        <w:t xml:space="preserve">Alaska X 10 Gigabit Ethernet Transceivers. </w:t>
      </w:r>
      <w:r>
        <w:rPr>
          <w:rFonts w:ascii="Arial" w:cs="Arial" w:eastAsia="Arial" w:hAnsi="Arial"/>
          <w:sz w:val="18"/>
          <w:szCs w:val="18"/>
          <w:color w:val="auto"/>
        </w:rPr>
        <w:t>Our Alaska X 10 Gigabit Ethernet and backplane transceiver products accelerate the deployment of 10 Gigabit</w:t>
      </w:r>
      <w:r>
        <w:rPr>
          <w:rFonts w:ascii="Arial" w:cs="Arial" w:eastAsia="Arial" w:hAnsi="Arial"/>
          <w:sz w:val="18"/>
          <w:szCs w:val="18"/>
          <w:i w:val="1"/>
          <w:iCs w:val="1"/>
          <w:color w:val="auto"/>
        </w:rPr>
        <w:t xml:space="preserve"> </w:t>
      </w:r>
      <w:r>
        <w:rPr>
          <w:rFonts w:ascii="Arial" w:cs="Arial" w:eastAsia="Arial" w:hAnsi="Arial"/>
          <w:sz w:val="18"/>
          <w:szCs w:val="18"/>
          <w:color w:val="auto"/>
        </w:rPr>
        <w:t>capable systems for the LAN, MAN and WAN markets. The Alaska X transceiver family leverages four or eight generations of SERDES technology from our single, dual and quad-port Alaska Gigabit Ethernet products. The Alaska X transceiver family's features include low power consumption, high performance, and small form factor.</w:t>
      </w:r>
    </w:p>
    <w:p>
      <w:pPr>
        <w:spacing w:after="0" w:line="197" w:lineRule="exact"/>
        <w:rPr>
          <w:sz w:val="20"/>
          <w:szCs w:val="20"/>
          <w:color w:val="auto"/>
        </w:rPr>
      </w:pPr>
    </w:p>
    <w:p>
      <w:pPr>
        <w:ind w:right="20" w:firstLine="351"/>
        <w:spacing w:after="0" w:line="298" w:lineRule="auto"/>
        <w:rPr>
          <w:sz w:val="20"/>
          <w:szCs w:val="20"/>
          <w:color w:val="auto"/>
        </w:rPr>
      </w:pPr>
      <w:r>
        <w:rPr>
          <w:rFonts w:ascii="Arial" w:cs="Arial" w:eastAsia="Arial" w:hAnsi="Arial"/>
          <w:sz w:val="16"/>
          <w:szCs w:val="16"/>
          <w:i w:val="1"/>
          <w:iCs w:val="1"/>
          <w:color w:val="auto"/>
        </w:rPr>
        <w:t xml:space="preserve">Fast Ethernet Transceivers. </w:t>
      </w:r>
      <w:r>
        <w:rPr>
          <w:rFonts w:ascii="Arial" w:cs="Arial" w:eastAsia="Arial" w:hAnsi="Arial"/>
          <w:sz w:val="16"/>
          <w:szCs w:val="16"/>
          <w:color w:val="auto"/>
        </w:rPr>
        <w:t>We believe that our physical layer products for the Fast Ethernet offers the industry's lowest power dissipation, smallest form</w:t>
      </w:r>
      <w:r>
        <w:rPr>
          <w:rFonts w:ascii="Arial" w:cs="Arial" w:eastAsia="Arial" w:hAnsi="Arial"/>
          <w:sz w:val="16"/>
          <w:szCs w:val="16"/>
          <w:i w:val="1"/>
          <w:iCs w:val="1"/>
          <w:color w:val="auto"/>
        </w:rPr>
        <w:t xml:space="preserve"> </w:t>
      </w:r>
      <w:r>
        <w:rPr>
          <w:rFonts w:ascii="Arial" w:cs="Arial" w:eastAsia="Arial" w:hAnsi="Arial"/>
          <w:sz w:val="16"/>
          <w:szCs w:val="16"/>
          <w:color w:val="auto"/>
        </w:rPr>
        <w:t>factor, highest performance and most advanced feature set. The latest members of the Fast Ethernet PHY family offer very low power consumption of just 130 mWatts per port, enabling network systems manufacturers to decrease system cost by reducing both power supply and fan requirements. Additionally, the devices support unique value-add features such as VCT technology used to diagnose the attached cable plant.</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Wireless Products</w:t>
      </w:r>
    </w:p>
    <w:p>
      <w:pPr>
        <w:spacing w:after="0" w:line="225" w:lineRule="exact"/>
        <w:rPr>
          <w:sz w:val="20"/>
          <w:szCs w:val="20"/>
          <w:color w:val="auto"/>
        </w:rPr>
      </w:pPr>
    </w:p>
    <w:p>
      <w:pPr>
        <w:ind w:right="300" w:firstLine="351"/>
        <w:spacing w:after="0" w:line="256" w:lineRule="auto"/>
        <w:rPr>
          <w:sz w:val="20"/>
          <w:szCs w:val="20"/>
          <w:color w:val="auto"/>
        </w:rPr>
      </w:pPr>
      <w:r>
        <w:rPr>
          <w:rFonts w:ascii="Arial" w:cs="Arial" w:eastAsia="Arial" w:hAnsi="Arial"/>
          <w:sz w:val="18"/>
          <w:szCs w:val="18"/>
          <w:i w:val="1"/>
          <w:iCs w:val="1"/>
          <w:color w:val="auto"/>
        </w:rPr>
        <w:t xml:space="preserve">Libertas™ Wireless LAN Products. </w:t>
      </w:r>
      <w:r>
        <w:rPr>
          <w:rFonts w:ascii="Arial" w:cs="Arial" w:eastAsia="Arial" w:hAnsi="Arial"/>
          <w:sz w:val="18"/>
          <w:szCs w:val="18"/>
          <w:color w:val="auto"/>
        </w:rPr>
        <w:t>The Libertas family of chipsets represents our wireless Institute of Electrical and Electronics Engineers, or IEEE,</w:t>
      </w:r>
      <w:r>
        <w:rPr>
          <w:rFonts w:ascii="Arial" w:cs="Arial" w:eastAsia="Arial" w:hAnsi="Arial"/>
          <w:sz w:val="18"/>
          <w:szCs w:val="18"/>
          <w:i w:val="1"/>
          <w:iCs w:val="1"/>
          <w:color w:val="auto"/>
        </w:rPr>
        <w:t xml:space="preserve"> </w:t>
      </w:r>
      <w:r>
        <w:rPr>
          <w:rFonts w:ascii="Arial" w:cs="Arial" w:eastAsia="Arial" w:hAnsi="Arial"/>
          <w:sz w:val="18"/>
          <w:szCs w:val="18"/>
          <w:color w:val="auto"/>
        </w:rPr>
        <w:t>802.11 solution for the SOHO/residential, enterprise networking and consumer electronics markets. Our 802.11 solutions offer breakthrough performance and integration for WLAN users who demand 54 Mbps and above wireless connectivity. The Libertas product line combines the flexibility of embedded microprocessor technology for ensuring compatibility to the</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0" w:name="page21"/>
    <w:bookmarkEnd w:id="20"/>
    <w:p>
      <w:pPr>
        <w:spacing w:after="0" w:line="256" w:lineRule="auto"/>
        <w:rPr>
          <w:sz w:val="20"/>
          <w:szCs w:val="20"/>
          <w:color w:val="auto"/>
        </w:rPr>
      </w:pPr>
      <w:r>
        <w:rPr>
          <w:rFonts w:ascii="Arial" w:cs="Arial" w:eastAsia="Arial" w:hAnsi="Arial"/>
          <w:sz w:val="18"/>
          <w:szCs w:val="18"/>
          <w:color w:val="auto"/>
        </w:rPr>
        <w:t>IEEE 802.11 standards with dedicated hardware, acceleration engines to support Advance Encryption Standard (AES) wireless security and QoS. The Libertas product line offers a complete family of WLAN solutions. These products range from traditional client adapter cards to highly integrated home gateways to power efficient products for emerging consumer applications. Each of these solutions also extend WLAN technology to new levels by offering improved range, security and high data throughput.</w:t>
      </w:r>
    </w:p>
    <w:p>
      <w:pPr>
        <w:spacing w:after="0" w:line="197" w:lineRule="exact"/>
        <w:rPr>
          <w:sz w:val="20"/>
          <w:szCs w:val="20"/>
          <w:color w:val="auto"/>
        </w:rPr>
      </w:pPr>
    </w:p>
    <w:p>
      <w:pPr>
        <w:ind w:right="240" w:firstLine="341"/>
        <w:spacing w:after="0" w:line="298" w:lineRule="auto"/>
        <w:rPr>
          <w:sz w:val="20"/>
          <w:szCs w:val="20"/>
          <w:color w:val="auto"/>
        </w:rPr>
      </w:pPr>
      <w:r>
        <w:rPr>
          <w:rFonts w:ascii="Arial" w:cs="Arial" w:eastAsia="Arial" w:hAnsi="Arial"/>
          <w:sz w:val="16"/>
          <w:szCs w:val="16"/>
          <w:color w:val="auto"/>
        </w:rPr>
        <w:t>A variety of our WLAN products are specifically developed for emerging consumer applications. These products integrate high performance embedded microprocessor technology as well as advanced networking capabilities and sophistication. Our solutions integrate Transmission Control Protocol (TCP), User Datagram Protocol (UDP) and Internet Protocol (IP) network processing to enable the device to perform ad-hoc wireless connections to other wireless devices, enabling such applications such as peer to peer printing, ad-hoc gaming, streaming audio and video and VoIP applications.</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PC Connectivity Products</w:t>
      </w:r>
    </w:p>
    <w:p>
      <w:pPr>
        <w:spacing w:after="0" w:line="225"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i w:val="1"/>
          <w:iCs w:val="1"/>
          <w:color w:val="auto"/>
        </w:rPr>
        <w:t xml:space="preserve">PC Connectivity Products. </w:t>
      </w:r>
      <w:r>
        <w:rPr>
          <w:rFonts w:ascii="Arial" w:cs="Arial" w:eastAsia="Arial" w:hAnsi="Arial"/>
          <w:sz w:val="16"/>
          <w:szCs w:val="16"/>
          <w:color w:val="auto"/>
        </w:rPr>
        <w:t>Our PC connectivity products consist of the Yukon™ Gigabit Ethernet controllers, which were designed for volume deployment</w:t>
      </w:r>
      <w:r>
        <w:rPr>
          <w:rFonts w:ascii="Arial" w:cs="Arial" w:eastAsia="Arial" w:hAnsi="Arial"/>
          <w:sz w:val="16"/>
          <w:szCs w:val="16"/>
          <w:i w:val="1"/>
          <w:iCs w:val="1"/>
          <w:color w:val="auto"/>
        </w:rPr>
        <w:t xml:space="preserve"> </w:t>
      </w:r>
      <w:r>
        <w:rPr>
          <w:rFonts w:ascii="Arial" w:cs="Arial" w:eastAsia="Arial" w:hAnsi="Arial"/>
          <w:sz w:val="16"/>
          <w:szCs w:val="16"/>
          <w:color w:val="auto"/>
        </w:rPr>
        <w:t>of Gigabit PC connections. The Yukon family of single-chip desktop and server network connectivity solutions offers integration of our market-leading Alaska Gigabit PHY and MAC technology with a comprehensive software suite. The Yukon devices are offered in an ultra-small form factor with low-power requirements, and are ideally suited for client and server network interface cards, or NIC, and LOM applications for both traditional peripheral connect interface, or PCI, bus and PCI-Express architectures. The Yukon products provide a wide variety of innovative manageability features such as VCT technology, which reduces network installation and support costs, and is optimized for 32-bit PCI clients. With the lowest pin count for such a device, the Yukon product minimizes board space, simplifies signal routing and reduces the number of required printed circuit board, or PCB, layers resulting in a cost-effective motherboard and low profile NIC implementation.</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Gateway Products</w:t>
      </w:r>
    </w:p>
    <w:p>
      <w:pPr>
        <w:spacing w:after="0" w:line="225" w:lineRule="exact"/>
        <w:rPr>
          <w:sz w:val="20"/>
          <w:szCs w:val="20"/>
          <w:color w:val="auto"/>
        </w:rPr>
      </w:pPr>
    </w:p>
    <w:p>
      <w:pPr>
        <w:ind w:right="40" w:firstLine="351"/>
        <w:spacing w:after="0" w:line="287" w:lineRule="auto"/>
        <w:rPr>
          <w:sz w:val="20"/>
          <w:szCs w:val="20"/>
          <w:color w:val="auto"/>
        </w:rPr>
      </w:pPr>
      <w:r>
        <w:rPr>
          <w:rFonts w:ascii="Arial" w:cs="Arial" w:eastAsia="Arial" w:hAnsi="Arial"/>
          <w:sz w:val="16"/>
          <w:szCs w:val="16"/>
          <w:i w:val="1"/>
          <w:iCs w:val="1"/>
          <w:color w:val="auto"/>
        </w:rPr>
        <w:t xml:space="preserve">LinkStreet™ Gateway Products. </w:t>
      </w:r>
      <w:r>
        <w:rPr>
          <w:rFonts w:ascii="Arial" w:cs="Arial" w:eastAsia="Arial" w:hAnsi="Arial"/>
          <w:sz w:val="16"/>
          <w:szCs w:val="16"/>
          <w:color w:val="auto"/>
        </w:rPr>
        <w:t>Our Link Street™ family of highly integrated gateway router devices provide a superior level of functionality,</w:t>
      </w:r>
      <w:r>
        <w:rPr>
          <w:rFonts w:ascii="Arial" w:cs="Arial" w:eastAsia="Arial" w:hAnsi="Arial"/>
          <w:sz w:val="16"/>
          <w:szCs w:val="16"/>
          <w:i w:val="1"/>
          <w:iCs w:val="1"/>
          <w:color w:val="auto"/>
        </w:rPr>
        <w:t xml:space="preserve"> </w:t>
      </w:r>
      <w:r>
        <w:rPr>
          <w:rFonts w:ascii="Arial" w:cs="Arial" w:eastAsia="Arial" w:hAnsi="Arial"/>
          <w:sz w:val="16"/>
          <w:szCs w:val="16"/>
          <w:color w:val="auto"/>
        </w:rPr>
        <w:t>performance and security for business, SOHO and residential gateway solutions. The Link Street SOHO gateways provide a full-wire-speed 100 Mbps integrated gateway router solution by integrating a high-performance reduced instruction set computer central processing unit, or RISC CPU, core plus a multi-port Fast Ethernet switch and Fast Ethernet PHYs into a single mixed-signal integrated chip solution. The Link Street solutions are based on advanced technologies and include comprehensive hardware reference designs and Software Development Kits (SDKs) for wired and wireless gateways. By providing the ability to combine Fast Ethernet and wireless IEEE 802.11 networks, the Link Street gateway routers deliver an integrated, cost-effective chipset solution that networks individual PCs and enables Internet sharing. The latest firewall capabilities are designed to allow the Link Street gateways to isolate and protect WAN/LAN networks from virus intrusion. Features like built-in VCT diagnostics deliver maximum up-time, while faster file transfer protocol, or FTP, downloads and packet routing deliver superior performance. We believe the extensive network reach and ability to easily expand networks make the Link Street gateway routers ideal for home office and small business networks.</w:t>
      </w:r>
    </w:p>
    <w:p>
      <w:pPr>
        <w:spacing w:after="0" w:line="17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Communications Controller Products</w:t>
      </w:r>
    </w:p>
    <w:p>
      <w:pPr>
        <w:spacing w:after="0" w:line="225" w:lineRule="exact"/>
        <w:rPr>
          <w:sz w:val="20"/>
          <w:szCs w:val="20"/>
          <w:color w:val="auto"/>
        </w:rPr>
      </w:pPr>
    </w:p>
    <w:p>
      <w:pPr>
        <w:ind w:right="160" w:firstLine="348"/>
        <w:spacing w:after="0" w:line="256" w:lineRule="auto"/>
        <w:rPr>
          <w:sz w:val="20"/>
          <w:szCs w:val="20"/>
          <w:color w:val="auto"/>
        </w:rPr>
      </w:pPr>
      <w:r>
        <w:rPr>
          <w:rFonts w:ascii="Arial" w:cs="Arial" w:eastAsia="Arial" w:hAnsi="Arial"/>
          <w:sz w:val="18"/>
          <w:szCs w:val="18"/>
          <w:color w:val="auto"/>
        </w:rPr>
        <w:t>We have a broad offering of high performing and highly integrated system and communication controllers. These devices can be combined with leading embedded RISC microprocessors to form complete MIPS™ and PowerPC™ CPU-based communication systems. Our controllers are used in a broad range of applications including routers, switches, digital subscriber line access multiplexers, access concentrators, wireless base stations, VoIP gateways and storage area networks.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21" w:name="page22"/>
    <w:bookmarkEnd w:id="21"/>
    <w:p>
      <w:pPr>
        <w:ind w:right="20" w:firstLine="351"/>
        <w:spacing w:after="0" w:line="310" w:lineRule="auto"/>
        <w:rPr>
          <w:sz w:val="20"/>
          <w:szCs w:val="20"/>
          <w:color w:val="auto"/>
        </w:rPr>
      </w:pPr>
      <w:r>
        <w:rPr>
          <w:rFonts w:ascii="Arial" w:cs="Arial" w:eastAsia="Arial" w:hAnsi="Arial"/>
          <w:sz w:val="15"/>
          <w:szCs w:val="15"/>
          <w:i w:val="1"/>
          <w:iCs w:val="1"/>
          <w:color w:val="auto"/>
        </w:rPr>
        <w:t xml:space="preserve">Discovery™ System Controllers. </w:t>
      </w:r>
      <w:r>
        <w:rPr>
          <w:rFonts w:ascii="Arial" w:cs="Arial" w:eastAsia="Arial" w:hAnsi="Arial"/>
          <w:sz w:val="15"/>
          <w:szCs w:val="15"/>
          <w:color w:val="auto"/>
        </w:rPr>
        <w:t>We provide high-performance Discovery system controllers for MIPS™ and PowerPC™ CPU-based communication</w:t>
      </w:r>
      <w:r>
        <w:rPr>
          <w:rFonts w:ascii="Arial" w:cs="Arial" w:eastAsia="Arial" w:hAnsi="Arial"/>
          <w:sz w:val="15"/>
          <w:szCs w:val="15"/>
          <w:i w:val="1"/>
          <w:iCs w:val="1"/>
          <w:color w:val="auto"/>
        </w:rPr>
        <w:t xml:space="preserve"> </w:t>
      </w:r>
      <w:r>
        <w:rPr>
          <w:rFonts w:ascii="Arial" w:cs="Arial" w:eastAsia="Arial" w:hAnsi="Arial"/>
          <w:sz w:val="15"/>
          <w:szCs w:val="15"/>
          <w:color w:val="auto"/>
        </w:rPr>
        <w:t>systems. Our controllers are used in systems developed by leading OEMs for the Internet infrastructure. These include switches, LAN to WAN edge routers, enterprise routers, access concentrators, telecom equipment and laser printers. Our highly-integrated system controllers can be combined with the leading embedded RISC microprocessors to form complete CPU subsystems. Our 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provide system designers with the ability to match their CPU performance to the targeted overall system price/performance. An additional advantage to OEMs using our system controllers over internally developed solutions is that new products are generally software-compatible with older generations, thereby supporting fast development time by re-using software which might otherwise need to be re-developed.</w:t>
      </w:r>
    </w:p>
    <w:p>
      <w:pPr>
        <w:spacing w:after="0" w:line="162" w:lineRule="exact"/>
        <w:rPr>
          <w:sz w:val="20"/>
          <w:szCs w:val="20"/>
          <w:color w:val="auto"/>
        </w:rPr>
      </w:pPr>
    </w:p>
    <w:p>
      <w:pPr>
        <w:ind w:right="40" w:firstLine="351"/>
        <w:spacing w:after="0" w:line="288" w:lineRule="auto"/>
        <w:rPr>
          <w:sz w:val="20"/>
          <w:szCs w:val="20"/>
          <w:color w:val="auto"/>
        </w:rPr>
      </w:pPr>
      <w:r>
        <w:rPr>
          <w:rFonts w:ascii="Arial" w:cs="Arial" w:eastAsia="Arial" w:hAnsi="Arial"/>
          <w:sz w:val="16"/>
          <w:szCs w:val="16"/>
          <w:i w:val="1"/>
          <w:iCs w:val="1"/>
          <w:color w:val="auto"/>
        </w:rPr>
        <w:t xml:space="preserve">Horizon™ WAN Communication Controllers. </w:t>
      </w:r>
      <w:r>
        <w:rPr>
          <w:rFonts w:ascii="Arial" w:cs="Arial" w:eastAsia="Arial" w:hAnsi="Arial"/>
          <w:sz w:val="16"/>
          <w:szCs w:val="16"/>
          <w:color w:val="auto"/>
        </w:rPr>
        <w:t>We believe our Horizon™ family of advanced communications controllers provides all of the required</w:t>
      </w:r>
      <w:r>
        <w:rPr>
          <w:rFonts w:ascii="Arial" w:cs="Arial" w:eastAsia="Arial" w:hAnsi="Arial"/>
          <w:sz w:val="16"/>
          <w:szCs w:val="16"/>
          <w:i w:val="1"/>
          <w:iCs w:val="1"/>
          <w:color w:val="auto"/>
        </w:rPr>
        <w:t xml:space="preserve"> </w:t>
      </w:r>
      <w:r>
        <w:rPr>
          <w:rFonts w:ascii="Arial" w:cs="Arial" w:eastAsia="Arial" w:hAnsi="Arial"/>
          <w:sz w:val="16"/>
          <w:szCs w:val="16"/>
          <w:color w:val="auto"/>
        </w:rPr>
        <w:t>network interfaces that bridge the LAN 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VoIP gateways, network security equipment and remote access concentrators. The Horizon family has been designed to enable end-to-end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 integrated NetGX™ coprocessor can handle compute-intensive tasks such as flow-classification based on layer 3-5 packet information, encryption and authentication for security purposes and virtually any other packet processing function typically handled by the host CPU. The NetGX coprocessor can free processing power so that the CPU can run multi-service applications such as managing VPNs, firewalls and integrated voice services.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Power Management Products</w:t>
      </w:r>
    </w:p>
    <w:p>
      <w:pPr>
        <w:spacing w:after="0" w:line="225" w:lineRule="exact"/>
        <w:rPr>
          <w:sz w:val="20"/>
          <w:szCs w:val="20"/>
          <w:color w:val="auto"/>
        </w:rPr>
      </w:pPr>
    </w:p>
    <w:p>
      <w:pPr>
        <w:ind w:right="60" w:firstLine="351"/>
        <w:spacing w:after="0" w:line="298" w:lineRule="auto"/>
        <w:rPr>
          <w:sz w:val="20"/>
          <w:szCs w:val="20"/>
          <w:color w:val="auto"/>
        </w:rPr>
      </w:pPr>
      <w:r>
        <w:rPr>
          <w:rFonts w:ascii="Arial" w:cs="Arial" w:eastAsia="Arial" w:hAnsi="Arial"/>
          <w:sz w:val="16"/>
          <w:szCs w:val="16"/>
          <w:i w:val="1"/>
          <w:iCs w:val="1"/>
          <w:color w:val="auto"/>
        </w:rPr>
        <w:t xml:space="preserve">DSP Switcher™ Integrated Regulators. </w:t>
      </w:r>
      <w:r>
        <w:rPr>
          <w:rFonts w:ascii="Arial" w:cs="Arial" w:eastAsia="Arial" w:hAnsi="Arial"/>
          <w:sz w:val="16"/>
          <w:szCs w:val="16"/>
          <w:color w:val="auto"/>
        </w:rPr>
        <w:t>DSP Switcher™ integrated regulators form the core of what we believe is the industry's smallest and highest-performance step-down power supply. Unequaled efficiency, precision and transient response are accompanied by smallest solution size to provide system designers with enhanced form factor and battery life in portable equipment. Integration of power MOSFETs (metal-oxide semiconductor field-effect transistor), internal frequency compensation and single resistor output programming reduces design efforts and increases system reliability.</w:t>
      </w:r>
    </w:p>
    <w:p>
      <w:pPr>
        <w:spacing w:after="0" w:line="167"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i w:val="1"/>
          <w:iCs w:val="1"/>
          <w:color w:val="auto"/>
        </w:rPr>
        <w:t xml:space="preserve">DSP Switcher™ Integrated Regulator Modules. </w:t>
      </w:r>
      <w:r>
        <w:rPr>
          <w:rFonts w:ascii="Arial" w:cs="Arial" w:eastAsia="Arial" w:hAnsi="Arial"/>
          <w:sz w:val="16"/>
          <w:szCs w:val="16"/>
          <w:color w:val="auto"/>
        </w:rPr>
        <w:t>DSP Switcher™ integrated regulator modules provide plug-and-play implementations of our switching</w:t>
      </w:r>
      <w:r>
        <w:rPr>
          <w:rFonts w:ascii="Arial" w:cs="Arial" w:eastAsia="Arial" w:hAnsi="Arial"/>
          <w:sz w:val="16"/>
          <w:szCs w:val="16"/>
          <w:i w:val="1"/>
          <w:iCs w:val="1"/>
          <w:color w:val="auto"/>
        </w:rPr>
        <w:t xml:space="preserve"> </w:t>
      </w:r>
      <w:r>
        <w:rPr>
          <w:rFonts w:ascii="Arial" w:cs="Arial" w:eastAsia="Arial" w:hAnsi="Arial"/>
          <w:sz w:val="16"/>
          <w:szCs w:val="16"/>
          <w:color w:val="auto"/>
        </w:rPr>
        <w:t>regulator integrated circuits in convenient, modular form factors. The same benefits in performance — efficiency, precision, transient response and small size — are preserved while providing a fully assembled, tested and guaranteed power supply. Virtually no design effort is needed to integrate our switching regulator modules into a system. We offer single in-line package, dual in-line package, or surface mount technology form factors that can be combined with a single programming resistor to set the desired output voltage. A full range of output voltages are supported with one part number.</w:t>
      </w:r>
    </w:p>
    <w:p>
      <w:pPr>
        <w:spacing w:after="0" w:line="170"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Based on our operational management and financial reporting structure, we have determined that we have one reportable business segment: the design, development and sale of integrated circuits. Please see the financial information regarding this reportable business segment set forth in Item 7 of this Form 10-K and the information regarding our net revenue and long-lived assets based on geographic regions included in Note 12 to our Consolidated Financial Statements set forth in Item 8 of this Form 10-K.</w:t>
      </w:r>
    </w:p>
    <w:p>
      <w:pPr>
        <w:spacing w:after="0" w:line="1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131" w:right="379" w:bottom="1440" w:gutter="0" w:footer="0" w:header="0"/>
        </w:sectPr>
      </w:pPr>
    </w:p>
    <w:bookmarkStart w:id="22" w:name="page23"/>
    <w:bookmarkEnd w:id="22"/>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231" w:lineRule="exact"/>
        <w:rPr>
          <w:sz w:val="20"/>
          <w:szCs w:val="20"/>
          <w:color w:val="auto"/>
        </w:rPr>
      </w:pPr>
    </w:p>
    <w:p>
      <w:pPr>
        <w:ind w:right="160" w:firstLine="351"/>
        <w:spacing w:after="0" w:line="289" w:lineRule="auto"/>
        <w:rPr>
          <w:sz w:val="20"/>
          <w:szCs w:val="20"/>
          <w:color w:val="auto"/>
        </w:rPr>
      </w:pPr>
      <w:r>
        <w:rPr>
          <w:rFonts w:ascii="Arial" w:cs="Arial" w:eastAsia="Arial" w:hAnsi="Arial"/>
          <w:sz w:val="16"/>
          <w:szCs w:val="16"/>
          <w:color w:val="auto"/>
        </w:rPr>
        <w:t>Our direct sales force targets markets that have high intensity communications processing requirements. Our customers for our storage products are manufacturers of hard disk drives for the enterprise, desktop and mobile computing markets and the emerging consumer applications market. Our target customers for our communications physical layer transceivers, switches and controllers are manufacturers of high-speed networking equipment and PCs. Our target customers for our WLAN products include manufacturers of WLAN solutions for SOHO and residential gateway solutions as well as manufacturers of a variety of new emerging consumer applications such as cellular handsets, gaming devices, PDAs, and emerging home entertainment multimedia client devices. Our target customers for our power management solutions are very broad and include manufacturers of many diverse electronic devices. A small number of customers have historically accounted for a substantial portion of our revenue. Customers representing 10% or more of our net revenue in fiscal 2005, 2004 and 2003 are set forth below:</w:t>
      </w:r>
    </w:p>
    <w:p>
      <w:pPr>
        <w:spacing w:after="0" w:line="168"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6300" w:type="dxa"/>
            <w:vAlign w:val="bottom"/>
            <w:gridSpan w:val="2"/>
          </w:tcPr>
          <w:p>
            <w:pPr>
              <w:spacing w:after="0"/>
              <w:rPr>
                <w:sz w:val="20"/>
                <w:szCs w:val="20"/>
                <w:color w:val="auto"/>
              </w:rPr>
            </w:pPr>
            <w:r>
              <w:rPr>
                <w:rFonts w:ascii="Arial" w:cs="Arial" w:eastAsia="Arial" w:hAnsi="Arial"/>
                <w:sz w:val="14"/>
                <w:szCs w:val="14"/>
                <w:b w:val="1"/>
                <w:bCs w:val="1"/>
                <w:color w:val="auto"/>
              </w:rPr>
              <w:t>Customer(1)</w:t>
            </w:r>
          </w:p>
        </w:tc>
        <w:tc>
          <w:tcPr>
            <w:tcW w:w="78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rPr>
              <w:t>2005</w:t>
            </w:r>
          </w:p>
        </w:tc>
        <w:tc>
          <w:tcPr>
            <w:tcW w:w="260" w:type="dxa"/>
            <w:vAlign w:val="bottom"/>
          </w:tcPr>
          <w:p>
            <w:pPr>
              <w:spacing w:after="0"/>
              <w:rPr>
                <w:sz w:val="15"/>
                <w:szCs w:val="15"/>
                <w:color w:val="auto"/>
              </w:rPr>
            </w:pPr>
          </w:p>
        </w:tc>
        <w:tc>
          <w:tcPr>
            <w:tcW w:w="520" w:type="dxa"/>
            <w:vAlign w:val="bottom"/>
          </w:tcPr>
          <w:p>
            <w:pPr>
              <w:jc w:val="right"/>
              <w:ind w:right="55"/>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520" w:type="dxa"/>
            <w:vAlign w:val="bottom"/>
          </w:tcPr>
          <w:p>
            <w:pPr>
              <w:jc w:val="right"/>
              <w:ind w:right="55"/>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18%</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Samsung</w:t>
            </w:r>
          </w:p>
        </w:tc>
        <w:tc>
          <w:tcPr>
            <w:tcW w:w="1040" w:type="dxa"/>
            <w:vAlign w:val="bottom"/>
            <w:gridSpan w:val="3"/>
          </w:tcPr>
          <w:p>
            <w:pPr>
              <w:jc w:val="right"/>
              <w:ind w:right="120"/>
              <w:spacing w:after="0"/>
              <w:rPr>
                <w:sz w:val="20"/>
                <w:szCs w:val="20"/>
                <w:color w:val="auto"/>
              </w:rPr>
            </w:pPr>
            <w:r>
              <w:rPr>
                <w:rFonts w:ascii="Arial" w:cs="Arial" w:eastAsia="Arial" w:hAnsi="Arial"/>
                <w:sz w:val="18"/>
                <w:szCs w:val="18"/>
                <w:color w:val="auto"/>
              </w:rPr>
              <w:t>14%</w:t>
            </w: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Toshiba</w:t>
            </w: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10%</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Intel</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18%</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Hitachi</w:t>
            </w: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Seagate</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4822825</wp:posOffset>
            </wp:positionH>
            <wp:positionV relativeFrom="paragraph">
              <wp:posOffset>-908050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843280</wp:posOffset>
            </wp:positionH>
            <wp:positionV relativeFrom="paragraph">
              <wp:posOffset>-908050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5320030</wp:posOffset>
            </wp:positionH>
            <wp:positionV relativeFrom="paragraph">
              <wp:posOffset>-908050</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-908050</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-908050</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5491480</wp:posOffset>
            </wp:positionH>
            <wp:positionV relativeFrom="paragraph">
              <wp:posOffset>-908050</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6315075</wp:posOffset>
            </wp:positionH>
            <wp:positionV relativeFrom="paragraph">
              <wp:posOffset>-908050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5988685</wp:posOffset>
            </wp:positionH>
            <wp:positionV relativeFrom="paragraph">
              <wp:posOffset>-908050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62230</wp:posOffset>
            </wp:positionV>
            <wp:extent cx="53594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535940" cy="21590"/>
                    </a:xfrm>
                    <a:prstGeom prst="rect">
                      <a:avLst/>
                    </a:prstGeom>
                    <a:noFill/>
                  </pic:spPr>
                </pic:pic>
              </a:graphicData>
            </a:graphic>
          </wp:anchor>
        </w:drawing>
      </w:r>
    </w:p>
    <w:p>
      <w:pPr>
        <w:spacing w:after="0" w:line="330" w:lineRule="exact"/>
        <w:rPr>
          <w:sz w:val="20"/>
          <w:szCs w:val="20"/>
          <w:color w:val="auto"/>
        </w:rPr>
      </w:pPr>
    </w:p>
    <w:p>
      <w:pPr>
        <w:ind w:left="540" w:right="360" w:hanging="532"/>
        <w:spacing w:after="0" w:line="268"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 addition, Wintech Microelectronics, our distributor in the Far East, accounted for 13% of our net revenue in fiscal 2005, 11% of our net revenue in fiscal 2004 and 10% of our net revenue in fiscal 2003.</w:t>
      </w:r>
    </w:p>
    <w:p>
      <w:pPr>
        <w:spacing w:after="0" w:line="213" w:lineRule="exact"/>
        <w:rPr>
          <w:sz w:val="20"/>
          <w:szCs w:val="20"/>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225" w:lineRule="exact"/>
        <w:rPr>
          <w:sz w:val="20"/>
          <w:szCs w:val="20"/>
          <w:color w:val="auto"/>
        </w:rPr>
      </w:pPr>
    </w:p>
    <w:p>
      <w:pPr>
        <w:ind w:right="40" w:firstLine="348"/>
        <w:spacing w:after="0" w:line="294" w:lineRule="auto"/>
        <w:rPr>
          <w:sz w:val="20"/>
          <w:szCs w:val="20"/>
          <w:color w:val="auto"/>
        </w:rPr>
      </w:pPr>
      <w:r>
        <w:rPr>
          <w:rFonts w:ascii="Arial" w:cs="Arial" w:eastAsia="Arial" w:hAnsi="Arial"/>
          <w:sz w:val="16"/>
          <w:szCs w:val="16"/>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 As of January 31, 2005, our sales and marketing organization consisted of 356 employees, 22 manufacturers' representatives and 16 distributors.</w:t>
      </w:r>
    </w:p>
    <w:p>
      <w:pPr>
        <w:spacing w:after="0" w:line="170" w:lineRule="exact"/>
        <w:rPr>
          <w:sz w:val="20"/>
          <w:szCs w:val="20"/>
          <w:color w:val="auto"/>
        </w:rPr>
      </w:pPr>
    </w:p>
    <w:p>
      <w:pPr>
        <w:ind w:right="20" w:firstLine="351"/>
        <w:spacing w:after="0" w:line="298" w:lineRule="auto"/>
        <w:rPr>
          <w:sz w:val="20"/>
          <w:szCs w:val="20"/>
          <w:color w:val="auto"/>
        </w:rPr>
      </w:pPr>
      <w:r>
        <w:rPr>
          <w:rFonts w:ascii="Arial" w:cs="Arial" w:eastAsia="Arial" w:hAnsi="Arial"/>
          <w:sz w:val="16"/>
          <w:szCs w:val="16"/>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ninety-day period but in certain circumstances the warranty period can range from one to three years.</w:t>
      </w:r>
    </w:p>
    <w:p>
      <w:pPr>
        <w:spacing w:after="0" w:line="167" w:lineRule="exact"/>
        <w:rPr>
          <w:sz w:val="20"/>
          <w:szCs w:val="20"/>
          <w:color w:val="auto"/>
        </w:rPr>
      </w:pPr>
    </w:p>
    <w:p>
      <w:pPr>
        <w:jc w:val="both"/>
        <w:ind w:right="180" w:firstLine="351"/>
        <w:spacing w:after="0" w:line="306" w:lineRule="auto"/>
        <w:rPr>
          <w:sz w:val="20"/>
          <w:szCs w:val="20"/>
          <w:color w:val="auto"/>
        </w:rPr>
      </w:pPr>
      <w:r>
        <w:rPr>
          <w:rFonts w:ascii="Arial" w:cs="Arial" w:eastAsia="Arial" w:hAnsi="Arial"/>
          <w:sz w:val="16"/>
          <w:szCs w:val="16"/>
          <w:color w:val="auto"/>
        </w:rPr>
        <w:t>Our marketing team works in conjunction with our sales force and is organized around our product applications and markets.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61"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84" w:right="259" w:bottom="1440" w:gutter="0" w:footer="0" w:header="0"/>
        </w:sectPr>
      </w:pPr>
    </w:p>
    <w:bookmarkStart w:id="23" w:name="page24"/>
    <w:bookmarkEnd w:id="23"/>
    <w:p>
      <w:pPr>
        <w:spacing w:after="0"/>
        <w:rPr>
          <w:sz w:val="20"/>
          <w:szCs w:val="20"/>
          <w:color w:val="auto"/>
        </w:rPr>
      </w:pPr>
      <w:r>
        <w:rPr>
          <w:rFonts w:ascii="Arial" w:cs="Arial" w:eastAsia="Arial" w:hAnsi="Arial"/>
          <w:sz w:val="18"/>
          <w:szCs w:val="18"/>
          <w:b w:val="1"/>
          <w:bCs w:val="1"/>
          <w:color w:val="auto"/>
        </w:rPr>
        <w:t>Backlog</w:t>
      </w:r>
    </w:p>
    <w:p>
      <w:pPr>
        <w:spacing w:after="0" w:line="231" w:lineRule="exact"/>
        <w:rPr>
          <w:sz w:val="20"/>
          <w:szCs w:val="20"/>
          <w:color w:val="auto"/>
        </w:rPr>
      </w:pPr>
    </w:p>
    <w:p>
      <w:pPr>
        <w:ind w:right="200" w:firstLine="351"/>
        <w:spacing w:after="0" w:line="332" w:lineRule="auto"/>
        <w:rPr>
          <w:sz w:val="20"/>
          <w:szCs w:val="20"/>
          <w:color w:val="auto"/>
        </w:rPr>
      </w:pPr>
      <w:r>
        <w:rPr>
          <w:rFonts w:ascii="Arial" w:cs="Arial" w:eastAsia="Arial" w:hAnsi="Arial"/>
          <w:sz w:val="16"/>
          <w:szCs w:val="16"/>
          <w:color w:val="auto"/>
        </w:rPr>
        <w:t>Our sales are made primarily pursuant to standard purchase orders for delivery of products. Due to an industry practice that allows customers to cancel or change purchase orders with limited notice prior to the scheduled shipment dates, we believe that backlog is not a reliable indicator of future revenue.</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231" w:lineRule="exact"/>
        <w:rPr>
          <w:sz w:val="20"/>
          <w:szCs w:val="20"/>
          <w:color w:val="auto"/>
        </w:rPr>
      </w:pPr>
    </w:p>
    <w:p>
      <w:pPr>
        <w:ind w:right="40" w:firstLine="348"/>
        <w:spacing w:after="0" w:line="294"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70" w:lineRule="exact"/>
        <w:rPr>
          <w:sz w:val="20"/>
          <w:szCs w:val="20"/>
          <w:color w:val="auto"/>
        </w:rPr>
      </w:pPr>
    </w:p>
    <w:p>
      <w:pPr>
        <w:ind w:right="20" w:firstLine="348"/>
        <w:spacing w:after="0" w:line="298"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As of January 31, 2005, we had 1,189 employees in engineering and process development. We have invested, and expect that we will continue to invest, significant funds for research and development. Our research and development expense was approximately $263.3 million in fiscal 2005, $213.7 million in fiscal 2004 and $145.7 million in fiscal 2003.</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231" w:lineRule="exact"/>
        <w:rPr>
          <w:sz w:val="20"/>
          <w:szCs w:val="20"/>
          <w:color w:val="auto"/>
        </w:rPr>
      </w:pPr>
    </w:p>
    <w:p>
      <w:pPr>
        <w:jc w:val="both"/>
        <w:ind w:right="300" w:firstLine="348"/>
        <w:spacing w:after="0" w:line="306" w:lineRule="auto"/>
        <w:rPr>
          <w:sz w:val="20"/>
          <w:szCs w:val="20"/>
          <w:color w:val="auto"/>
        </w:rPr>
      </w:pPr>
      <w:r>
        <w:rPr>
          <w:rFonts w:ascii="Arial" w:cs="Arial" w:eastAsia="Arial" w:hAnsi="Arial"/>
          <w:sz w:val="16"/>
          <w:szCs w:val="16"/>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 with our foundries and other subcontractors to increase yields, lower manufacturing costs and improve quality.</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225"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Our integrated circuits are substantially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or TSMC, with the remaining manufacturing outsourced to other foundries primarily in Asia. We work closely with TSMC and our other foundries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225" w:lineRule="exact"/>
        <w:rPr>
          <w:sz w:val="20"/>
          <w:szCs w:val="20"/>
          <w:color w:val="auto"/>
        </w:rPr>
      </w:pPr>
    </w:p>
    <w:p>
      <w:pPr>
        <w:ind w:right="160" w:firstLine="351"/>
        <w:spacing w:after="0" w:line="256" w:lineRule="auto"/>
        <w:rPr>
          <w:sz w:val="20"/>
          <w:szCs w:val="20"/>
          <w:color w:val="auto"/>
        </w:rPr>
      </w:pPr>
      <w:r>
        <w:rPr>
          <w:rFonts w:ascii="Arial" w:cs="Arial" w:eastAsia="Arial" w:hAnsi="Arial"/>
          <w:sz w:val="18"/>
          <w:szCs w:val="18"/>
          <w:color w:val="auto"/>
        </w:rPr>
        <w:t>Most of our products are shipped from our third-party foundries to third-party sort, assembly and test facilities where they are assembled into finished integrated circuit packages and tested. We outsource all product packaging and substantially all testing requirements for these products to several assembly and test subcontractors, including STATS ChipPAC Ltd. and Global Testing Corporation in Singapore, Siliconware Precision Industries in Taiwan and ASE Electronics in Singapore, Taiwan and Malaysia. We also perform</w:t>
      </w:r>
    </w:p>
    <w:p>
      <w:pPr>
        <w:spacing w:after="0" w:line="1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584" w:right="319" w:bottom="1440" w:gutter="0" w:footer="0" w:header="0"/>
        </w:sectPr>
      </w:pPr>
    </w:p>
    <w:bookmarkStart w:id="24" w:name="page25"/>
    <w:bookmarkEnd w:id="24"/>
    <w:p>
      <w:pPr>
        <w:ind w:right="140"/>
        <w:spacing w:after="0" w:line="298" w:lineRule="auto"/>
        <w:rPr>
          <w:sz w:val="20"/>
          <w:szCs w:val="20"/>
          <w:color w:val="auto"/>
        </w:rPr>
      </w:pPr>
      <w:r>
        <w:rPr>
          <w:rFonts w:ascii="Arial" w:cs="Arial" w:eastAsia="Arial" w:hAnsi="Arial"/>
          <w:sz w:val="16"/>
          <w:szCs w:val="16"/>
          <w:color w:val="auto"/>
        </w:rPr>
        <w:t>some in-house testing in the United States of new production and pre-production materials prior to transferring the volume packaging and testing offshore to our third-party assembly and test subcontractors.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225"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23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72" w:lineRule="exact"/>
        <w:rPr>
          <w:sz w:val="20"/>
          <w:szCs w:val="20"/>
          <w:color w:val="auto"/>
        </w:rPr>
      </w:pPr>
    </w:p>
    <w:p>
      <w:pPr>
        <w:ind w:right="80" w:firstLine="341"/>
        <w:spacing w:after="0" w:line="288" w:lineRule="auto"/>
        <w:rPr>
          <w:sz w:val="20"/>
          <w:szCs w:val="20"/>
          <w:color w:val="auto"/>
        </w:rPr>
      </w:pPr>
      <w:r>
        <w:rPr>
          <w:rFonts w:ascii="Arial" w:cs="Arial" w:eastAsia="Arial" w:hAnsi="Arial"/>
          <w:sz w:val="16"/>
          <w:szCs w:val="16"/>
          <w:color w:val="auto"/>
        </w:rPr>
        <w:t>As of January 31, 2005, we have been issued 103 United States patents on various aspects of our technology, with expiration dates ranging from 2010 to 2023, and we have filed a number of additional United States patent applications. In certain cases, we also file for patent applications in foreign countries.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Such litigation could result in substantial costs and diversion of our resources and could materially and adversely affect our business, financial condition and results of operations.</w:t>
      </w:r>
    </w:p>
    <w:p>
      <w:pPr>
        <w:spacing w:after="0" w:line="174" w:lineRule="exact"/>
        <w:rPr>
          <w:sz w:val="20"/>
          <w:szCs w:val="20"/>
          <w:color w:val="auto"/>
        </w:rPr>
      </w:pPr>
    </w:p>
    <w:p>
      <w:pPr>
        <w:ind w:right="220" w:firstLine="348"/>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97" w:lineRule="exact"/>
        <w:rPr>
          <w:sz w:val="20"/>
          <w:szCs w:val="20"/>
          <w:color w:val="auto"/>
        </w:rPr>
      </w:pPr>
    </w:p>
    <w:p>
      <w:pPr>
        <w:ind w:right="760" w:firstLine="351"/>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25" w:name="page26"/>
    <w:bookmarkEnd w:id="25"/>
    <w:p>
      <w:pPr>
        <w:ind w:right="40" w:firstLine="348"/>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231" w:lineRule="exact"/>
        <w:rPr>
          <w:sz w:val="20"/>
          <w:szCs w:val="20"/>
          <w:color w:val="auto"/>
        </w:rPr>
      </w:pPr>
    </w:p>
    <w:p>
      <w:pPr>
        <w:ind w:right="280" w:firstLine="348"/>
        <w:spacing w:after="0" w:line="259" w:lineRule="auto"/>
        <w:rPr>
          <w:sz w:val="20"/>
          <w:szCs w:val="20"/>
          <w:color w:val="auto"/>
        </w:rPr>
      </w:pPr>
      <w:r>
        <w:rPr>
          <w:rFonts w:ascii="Arial" w:cs="Arial" w:eastAsia="Arial" w:hAnsi="Arial"/>
          <w:sz w:val="18"/>
          <w:szCs w:val="18"/>
          <w:color w:val="auto"/>
        </w:rPr>
        <w:t>The markets for our products are intensely competitive and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w:t>
      </w:r>
    </w:p>
    <w:p>
      <w:pPr>
        <w:spacing w:after="0" w:line="262" w:lineRule="exact"/>
        <w:rPr>
          <w:sz w:val="20"/>
          <w:szCs w:val="20"/>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emergence of new industry standards;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obtain adequate foundry capacity;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general market and economic conditions.</w:t>
      </w:r>
    </w:p>
    <w:p>
      <w:pPr>
        <w:spacing w:after="0" w:line="225" w:lineRule="exact"/>
        <w:rPr>
          <w:sz w:val="20"/>
          <w:szCs w:val="20"/>
          <w:color w:val="auto"/>
        </w:rPr>
      </w:pPr>
    </w:p>
    <w:p>
      <w:pPr>
        <w:ind w:right="80" w:firstLine="351"/>
        <w:spacing w:after="0" w:line="288"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for our read channels and storage SOCs are Agere Systems and STMicroelectronics. Our primary competitors for preamplifiers and motor controllers are Agere Systems and Texas Instruments. For transceivers products, we compete primarily with Agere Systems, Broadcom, Intel, National Semiconductor, Realtek Semiconductor and Vitesse Semiconductor. Our switching products compete primarily against Broadcom, Intel and Vitesse. In the market for system controllers, our competitors include Tundra and PLX Technology, and our WAN communications controllers compete directly with products from companies such as Freescale Semiconductor and PMC-Sierra. In the wireless LAN market, our competitors include Agere Systems, Atheros, Broadcom, Conexant, Intel and Texas Instruments. For our power management products we compete with a number of companies including Analog Devices, International Rectifier, Intersil Corporation, Linear Technology, Maxim Integrated Products Incorporated, National Semiconductor, Texas Instruments and Volterra Semiconductor. In addition, we expect increased competition in the future from other emerging and established companies.</w:t>
      </w:r>
    </w:p>
    <w:p>
      <w:pPr>
        <w:spacing w:after="0" w:line="174"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6" w:name="page27"/>
    <w:bookmarkEnd w:id="26"/>
    <w:p>
      <w:pPr>
        <w:ind w:right="20"/>
        <w:spacing w:after="0" w:line="268" w:lineRule="auto"/>
        <w:rPr>
          <w:sz w:val="20"/>
          <w:szCs w:val="20"/>
          <w:color w:val="auto"/>
        </w:rPr>
      </w:pPr>
      <w:r>
        <w:rPr>
          <w:rFonts w:ascii="Arial" w:cs="Arial" w:eastAsia="Arial" w:hAnsi="Arial"/>
          <w:sz w:val="18"/>
          <w:szCs w:val="18"/>
          <w:color w:val="auto"/>
        </w:rPr>
        <w:t>acceptance than our products. In addition, in the event of a manufacturing capacity shortage, these competitors may be able to manufacture products when we are unable to do so.</w:t>
      </w:r>
    </w:p>
    <w:p>
      <w:pPr>
        <w:spacing w:after="0" w:line="186" w:lineRule="exact"/>
        <w:rPr>
          <w:sz w:val="20"/>
          <w:szCs w:val="20"/>
          <w:color w:val="auto"/>
        </w:rPr>
      </w:pPr>
    </w:p>
    <w:p>
      <w:pPr>
        <w:ind w:right="220" w:firstLine="351"/>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61"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94" w:lineRule="exact"/>
        <w:rPr>
          <w:sz w:val="20"/>
          <w:szCs w:val="20"/>
          <w:color w:val="auto"/>
        </w:rPr>
      </w:pPr>
    </w:p>
    <w:p>
      <w:pPr>
        <w:ind w:right="140" w:firstLine="351"/>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231" w:lineRule="exact"/>
        <w:rPr>
          <w:sz w:val="20"/>
          <w:szCs w:val="20"/>
          <w:color w:val="auto"/>
        </w:rPr>
      </w:pPr>
    </w:p>
    <w:p>
      <w:pPr>
        <w:jc w:val="both"/>
        <w:ind w:right="40" w:firstLine="341"/>
        <w:spacing w:after="0" w:line="259" w:lineRule="auto"/>
        <w:rPr>
          <w:sz w:val="20"/>
          <w:szCs w:val="20"/>
          <w:color w:val="auto"/>
        </w:rPr>
      </w:pPr>
      <w:r>
        <w:rPr>
          <w:rFonts w:ascii="Arial" w:cs="Arial" w:eastAsia="Arial" w:hAnsi="Arial"/>
          <w:sz w:val="18"/>
          <w:szCs w:val="18"/>
          <w:color w:val="auto"/>
        </w:rPr>
        <w:t>As of January 31, 2005, we had a total of 1,917 employees, of which 1,189 were in research and development, 356 in sales and marketing, 199 in operations and 173 in general administration. Our employees are not represented by any collective bargaining agreements, and we have not experienced any work stoppage. We consider our relations with our employees to be good.</w:t>
      </w:r>
    </w:p>
    <w:p>
      <w:pPr>
        <w:spacing w:after="0" w:line="200" w:lineRule="exact"/>
        <w:rPr>
          <w:sz w:val="20"/>
          <w:szCs w:val="20"/>
          <w:color w:val="auto"/>
        </w:rPr>
      </w:pPr>
    </w:p>
    <w:p>
      <w:pPr>
        <w:spacing w:after="0" w:line="204"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231" w:lineRule="exact"/>
        <w:rPr>
          <w:sz w:val="20"/>
          <w:szCs w:val="20"/>
          <w:color w:val="auto"/>
        </w:rPr>
      </w:pPr>
    </w:p>
    <w:p>
      <w:pPr>
        <w:ind w:right="120" w:firstLine="341"/>
        <w:spacing w:after="0" w:line="291" w:lineRule="auto"/>
        <w:rPr>
          <w:sz w:val="20"/>
          <w:szCs w:val="20"/>
          <w:color w:val="auto"/>
        </w:rPr>
      </w:pPr>
      <w:r>
        <w:rPr>
          <w:rFonts w:ascii="Arial" w:cs="Arial" w:eastAsia="Arial" w:hAnsi="Arial"/>
          <w:sz w:val="16"/>
          <w:szCs w:val="16"/>
          <w:color w:val="auto"/>
        </w:rPr>
        <w:t>As of March 31, 2005, our primary facility, housing research and design functions as well as elements of sales, marketing, administration and operations, is located in Sunnyvale, California. This facility consists of approximately 213,000 square feet and has a lease term expiring in March 2006. In addition to this property, we lease approximately 228,000 square feet in Israel for research and design, administration and operations, which lease term expires in August 2025 and approximately 39,000 square feet in Singapore for operations, sales, marketing and administration, which lease term expires in March 2007. We also lease smaller facilities in Bermuda, China, Germany, Japan, Korea, Taiwan, the United Kingdom and the United States, which are occupied by administrative offices, sales offices, design centers and field application engineers.</w:t>
      </w:r>
    </w:p>
    <w:p>
      <w:pPr>
        <w:spacing w:after="0" w:line="174"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The location is currently intended to be the future location of our U.S. headquarters. The facility consists of approximately 876,000 square feet. One of the buildings is currently leased to a tenant. The remaining five buildings are being renovated and will be used for research and design functions, operations, sales, marketing and administration. In fiscal 2005, we began to occupy a portion of two buildings with some of our operations, sales and marketing groups.</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27" w:name="page28"/>
    <w:bookmarkEnd w:id="27"/>
    <w:p>
      <w:pPr>
        <w:jc w:val="center"/>
        <w:ind w:right="20"/>
        <w:spacing w:after="0"/>
        <w:rPr>
          <w:sz w:val="20"/>
          <w:szCs w:val="20"/>
          <w:color w:val="auto"/>
        </w:rPr>
      </w:pPr>
      <w:r>
        <w:rPr>
          <w:rFonts w:ascii="Arial" w:cs="Arial" w:eastAsia="Arial" w:hAnsi="Arial"/>
          <w:sz w:val="16"/>
          <w:szCs w:val="16"/>
          <w:color w:val="auto"/>
        </w:rPr>
        <w:t>Based upon our estimates of future hiring, we believe that our current facilities will be adequate to meet our requirements at least through the next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year.</w:t>
      </w:r>
    </w:p>
    <w:p>
      <w:pPr>
        <w:spacing w:after="0" w:line="219" w:lineRule="exact"/>
        <w:rPr>
          <w:sz w:val="20"/>
          <w:szCs w:val="20"/>
          <w:color w:val="auto"/>
        </w:rPr>
      </w:pPr>
    </w:p>
    <w:p>
      <w:pPr>
        <w:ind w:right="120" w:firstLine="348"/>
        <w:spacing w:after="0" w:line="256" w:lineRule="auto"/>
        <w:rPr>
          <w:sz w:val="20"/>
          <w:szCs w:val="20"/>
          <w:color w:val="auto"/>
        </w:rPr>
      </w:pPr>
      <w:r>
        <w:rPr>
          <w:rFonts w:ascii="Arial" w:cs="Arial" w:eastAsia="Arial" w:hAnsi="Arial"/>
          <w:sz w:val="18"/>
          <w:szCs w:val="18"/>
          <w:color w:val="auto"/>
        </w:rPr>
        <w:t>We also lease two additional buildings in California, totaling approximately 72,000 square feet, which are currently subleased to subtenants as of March 31, 2005. For further discussion of these two facilities and their effect on our financial condition and results of operations, see "Item 7 — Management's Discussion and Analysis of Financial Condition and Results of Operations" and Note 11 to our Consolidated Financial Statements in "Item 8 — Consolidated Financial Statements and Supplementary Data."</w:t>
      </w:r>
    </w:p>
    <w:p>
      <w:pPr>
        <w:spacing w:after="0" w:line="200" w:lineRule="exact"/>
        <w:rPr>
          <w:sz w:val="20"/>
          <w:szCs w:val="20"/>
          <w:color w:val="auto"/>
        </w:rPr>
      </w:pPr>
    </w:p>
    <w:p>
      <w:pPr>
        <w:spacing w:after="0" w:line="20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231" w:lineRule="exact"/>
        <w:rPr>
          <w:sz w:val="20"/>
          <w:szCs w:val="20"/>
          <w:color w:val="auto"/>
        </w:rPr>
      </w:pPr>
    </w:p>
    <w:p>
      <w:pPr>
        <w:ind w:firstLine="351"/>
        <w:spacing w:after="0" w:line="304" w:lineRule="auto"/>
        <w:rPr>
          <w:sz w:val="20"/>
          <w:szCs w:val="20"/>
          <w:color w:val="auto"/>
        </w:rPr>
      </w:pPr>
      <w:r>
        <w:rPr>
          <w:rFonts w:ascii="Arial" w:cs="Arial" w:eastAsia="Arial" w:hAnsi="Arial"/>
          <w:sz w:val="15"/>
          <w:szCs w:val="15"/>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The court scheduled a further conference for April 13, 2005, for the purposes of (a) making a final determination as to the form, substance and program of class notice, and</w:t>
      </w:r>
    </w:p>
    <w:p>
      <w:pPr>
        <w:spacing w:after="0" w:line="175" w:lineRule="exact"/>
        <w:rPr>
          <w:sz w:val="20"/>
          <w:szCs w:val="20"/>
          <w:color w:val="auto"/>
        </w:rPr>
      </w:pPr>
    </w:p>
    <w:p>
      <w:pPr>
        <w:ind w:firstLine="8"/>
        <w:spacing w:after="0" w:line="253" w:lineRule="auto"/>
        <w:tabs>
          <w:tab w:leader="none" w:pos="249" w:val="left"/>
        </w:tabs>
        <w:numPr>
          <w:ilvl w:val="0"/>
          <w:numId w:val="13"/>
        </w:numPr>
        <w:rPr>
          <w:rFonts w:ascii="Arial" w:cs="Arial" w:eastAsia="Arial" w:hAnsi="Arial"/>
          <w:sz w:val="18"/>
          <w:szCs w:val="18"/>
          <w:color w:val="auto"/>
        </w:rPr>
      </w:pPr>
      <w:r>
        <w:rPr>
          <w:rFonts w:ascii="Arial" w:cs="Arial" w:eastAsia="Arial" w:hAnsi="Arial"/>
          <w:sz w:val="18"/>
          <w:szCs w:val="18"/>
          <w:color w:val="auto"/>
        </w:rPr>
        <w:t>scheduling a Rule 23 public hearing on the fairness of the proposed settlement.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w:t>
      </w:r>
    </w:p>
    <w:p>
      <w:pPr>
        <w:spacing w:after="0" w:line="1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28" w:name="page29"/>
    <w:bookmarkEnd w:id="28"/>
    <w:p>
      <w:pPr>
        <w:ind w:right="940"/>
        <w:spacing w:after="0" w:line="268" w:lineRule="auto"/>
        <w:rPr>
          <w:sz w:val="20"/>
          <w:szCs w:val="20"/>
          <w:color w:val="auto"/>
        </w:rPr>
      </w:pPr>
      <w:r>
        <w:rPr>
          <w:rFonts w:ascii="Arial" w:cs="Arial" w:eastAsia="Arial" w:hAnsi="Arial"/>
          <w:sz w:val="18"/>
          <w:szCs w:val="18"/>
          <w:color w:val="auto"/>
        </w:rPr>
        <w:t>occurs, or future periods. These claims and any resulting litigation could result in substantial costs and could divert the attention and resources of our management.</w:t>
      </w:r>
    </w:p>
    <w:p>
      <w:pPr>
        <w:spacing w:after="0" w:line="186" w:lineRule="exact"/>
        <w:rPr>
          <w:sz w:val="20"/>
          <w:szCs w:val="20"/>
          <w:color w:val="auto"/>
        </w:rPr>
      </w:pPr>
    </w:p>
    <w:p>
      <w:pPr>
        <w:ind w:right="80" w:firstLine="351"/>
        <w:spacing w:after="0" w:line="290"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 No estimate can be made of the possible loss or possible range of loss associated with the resolution of this contingency.</w:t>
      </w:r>
    </w:p>
    <w:p>
      <w:pPr>
        <w:spacing w:after="0" w:line="172" w:lineRule="exact"/>
        <w:rPr>
          <w:sz w:val="20"/>
          <w:szCs w:val="20"/>
          <w:color w:val="auto"/>
        </w:rPr>
      </w:pPr>
    </w:p>
    <w:p>
      <w:pPr>
        <w:ind w:right="80" w:firstLine="351"/>
        <w:spacing w:after="0" w:line="289" w:lineRule="auto"/>
        <w:rPr>
          <w:sz w:val="20"/>
          <w:szCs w:val="20"/>
          <w:color w:val="auto"/>
        </w:rPr>
      </w:pPr>
      <w:r>
        <w:rPr>
          <w:rFonts w:ascii="Arial" w:cs="Arial" w:eastAsia="Arial" w:hAnsi="Arial"/>
          <w:sz w:val="16"/>
          <w:szCs w:val="16"/>
          <w:color w:val="auto"/>
        </w:rPr>
        <w:t>On March 11, 2004, Trinity Technologies, Inc. ("Trinity") filed a lawsuit against our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our motion for summary adjudication and dismissed one claim for violation of a statute, in which plaintiff sought damages exceeding $12 million. Plaintiff failed to amend the claim within the period permitted by the court. Discovery is proceeding.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72"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On October 7, 2004, Realtek Semiconductor Corporation ("Realtek") filed a lawsuit against Marvell and our subsidiary MSI in the U.S. District Court for the Northern District of California, alleging that we infringed certain patented technology proprietary to Realtek. In addition, Realtek filed a similar lawsuit in Taiwan against the same parties, Marvell's Taiwan subsidiary, Marvell Taiwan Ltd., and also naming an officer of Marvell. The complaints seek a permanent injunction against us as well as the recovery of monetary damages.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74" w:lineRule="exact"/>
        <w:rPr>
          <w:sz w:val="20"/>
          <w:szCs w:val="20"/>
          <w:color w:val="auto"/>
        </w:rPr>
      </w:pPr>
    </w:p>
    <w:p>
      <w:pPr>
        <w:jc w:val="both"/>
        <w:ind w:right="160" w:firstLine="348"/>
        <w:spacing w:after="0" w:line="294"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380"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 matters were submitted to a vote of security holders during the quarter ended January 29, 2005.</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9" w:name="page30"/>
    <w:bookmarkEnd w:id="29"/>
    <w:p>
      <w:pPr>
        <w:jc w:val="center"/>
        <w:ind w:right="-3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Stockholder Matters and Issuer Purchases of Equity Securities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231"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Our shares of common stock are traded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 and reflects the stock split effected in fiscal 2005. See Note 1 of Item 8 — Consolidated Financial Statements and Supplementary Data."</w:t>
      </w:r>
    </w:p>
    <w:p>
      <w:pPr>
        <w:spacing w:after="0" w:line="193"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00" w:type="dxa"/>
            <w:vAlign w:val="bottom"/>
          </w:tcPr>
          <w:p>
            <w:pPr>
              <w:spacing w:after="0"/>
              <w:rPr>
                <w:sz w:val="15"/>
                <w:szCs w:val="15"/>
                <w:color w:val="auto"/>
              </w:rPr>
            </w:pPr>
          </w:p>
        </w:tc>
        <w:tc>
          <w:tcPr>
            <w:tcW w:w="2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00" w:type="dxa"/>
            <w:vAlign w:val="bottom"/>
            <w:gridSpan w:val="4"/>
          </w:tcPr>
          <w:p>
            <w:pPr>
              <w:ind w:left="280"/>
              <w:spacing w:after="0"/>
              <w:rPr>
                <w:sz w:val="20"/>
                <w:szCs w:val="20"/>
                <w:color w:val="auto"/>
              </w:rPr>
            </w:pPr>
            <w:r>
              <w:rPr>
                <w:rFonts w:ascii="Arial" w:cs="Arial" w:eastAsia="Arial" w:hAnsi="Arial"/>
                <w:sz w:val="14"/>
                <w:szCs w:val="14"/>
                <w:b w:val="1"/>
                <w:bCs w:val="1"/>
                <w:color w:val="auto"/>
              </w:rPr>
              <w:t>Fiscal Year 2005</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80" w:type="dxa"/>
            <w:vAlign w:val="bottom"/>
            <w:gridSpan w:val="4"/>
          </w:tcPr>
          <w:p>
            <w:pPr>
              <w:jc w:val="right"/>
              <w:ind w:right="436"/>
              <w:spacing w:after="0"/>
              <w:rPr>
                <w:sz w:val="20"/>
                <w:szCs w:val="20"/>
                <w:color w:val="auto"/>
              </w:rPr>
            </w:pPr>
            <w:r>
              <w:rPr>
                <w:rFonts w:ascii="Arial" w:cs="Arial" w:eastAsia="Arial" w:hAnsi="Arial"/>
                <w:sz w:val="14"/>
                <w:szCs w:val="14"/>
                <w:b w:val="1"/>
                <w:bCs w:val="1"/>
                <w:color w:val="auto"/>
              </w:rPr>
              <w:t>Fiscal Year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200" w:type="dxa"/>
            <w:vAlign w:val="bottom"/>
          </w:tcPr>
          <w:p>
            <w:pPr>
              <w:spacing w:after="0"/>
              <w:rPr>
                <w:sz w:val="23"/>
                <w:szCs w:val="23"/>
                <w:color w:val="auto"/>
              </w:rPr>
            </w:pPr>
          </w:p>
        </w:tc>
        <w:tc>
          <w:tcPr>
            <w:tcW w:w="21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80" w:type="dxa"/>
            <w:vAlign w:val="bottom"/>
          </w:tcPr>
          <w:p>
            <w:pPr>
              <w:ind w:left="100"/>
              <w:spacing w:after="0"/>
              <w:rPr>
                <w:sz w:val="20"/>
                <w:szCs w:val="20"/>
                <w:color w:val="auto"/>
              </w:rPr>
            </w:pPr>
            <w:r>
              <w:rPr>
                <w:rFonts w:ascii="Arial" w:cs="Arial" w:eastAsia="Arial" w:hAnsi="Arial"/>
                <w:sz w:val="14"/>
                <w:szCs w:val="14"/>
                <w:b w:val="1"/>
                <w:bCs w:val="1"/>
                <w:color w:val="auto"/>
              </w:rPr>
              <w:t>High</w:t>
            </w: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660" w:type="dxa"/>
            <w:vAlign w:val="bottom"/>
          </w:tcPr>
          <w:p>
            <w:pPr>
              <w:jc w:val="right"/>
              <w:ind w:right="216"/>
              <w:spacing w:after="0"/>
              <w:rPr>
                <w:sz w:val="20"/>
                <w:szCs w:val="20"/>
                <w:color w:val="auto"/>
              </w:rPr>
            </w:pPr>
            <w:r>
              <w:rPr>
                <w:rFonts w:ascii="Arial" w:cs="Arial" w:eastAsia="Arial" w:hAnsi="Arial"/>
                <w:sz w:val="14"/>
                <w:szCs w:val="14"/>
                <w:b w:val="1"/>
                <w:bCs w:val="1"/>
                <w:color w:val="auto"/>
              </w:rPr>
              <w:t>Low</w:t>
            </w: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00" w:type="dxa"/>
            <w:vAlign w:val="bottom"/>
          </w:tcPr>
          <w:p>
            <w:pPr>
              <w:jc w:val="right"/>
              <w:ind w:right="219"/>
              <w:spacing w:after="0"/>
              <w:rPr>
                <w:sz w:val="20"/>
                <w:szCs w:val="20"/>
                <w:color w:val="auto"/>
              </w:rPr>
            </w:pPr>
            <w:r>
              <w:rPr>
                <w:rFonts w:ascii="Arial" w:cs="Arial" w:eastAsia="Arial" w:hAnsi="Arial"/>
                <w:sz w:val="14"/>
                <w:szCs w:val="14"/>
                <w:b w:val="1"/>
                <w:bCs w:val="1"/>
                <w:color w:val="auto"/>
              </w:rPr>
              <w:t>High</w:t>
            </w:r>
          </w:p>
        </w:tc>
        <w:tc>
          <w:tcPr>
            <w:tcW w:w="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00" w:type="dxa"/>
            <w:vAlign w:val="bottom"/>
          </w:tcPr>
          <w:p>
            <w:pPr>
              <w:jc w:val="right"/>
              <w:ind w:right="256"/>
              <w:spacing w:after="0"/>
              <w:rPr>
                <w:sz w:val="20"/>
                <w:szCs w:val="20"/>
                <w:color w:val="auto"/>
              </w:rPr>
            </w:pPr>
            <w:r>
              <w:rPr>
                <w:rFonts w:ascii="Arial" w:cs="Arial" w:eastAsia="Arial" w:hAnsi="Arial"/>
                <w:sz w:val="14"/>
                <w:szCs w:val="14"/>
                <w:b w:val="1"/>
                <w:bCs w:val="1"/>
                <w:color w:val="auto"/>
              </w:rPr>
              <w:t>Low</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First Quarter</w:t>
            </w:r>
          </w:p>
        </w:tc>
        <w:tc>
          <w:tcPr>
            <w:tcW w:w="2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4"/>
              </w:rPr>
              <w:t>24.27</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19.20</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12.42</w:t>
            </w:r>
          </w:p>
        </w:tc>
        <w:tc>
          <w:tcPr>
            <w:tcW w:w="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Second Quarter</w:t>
            </w:r>
          </w:p>
        </w:tc>
        <w:tc>
          <w:tcPr>
            <w:tcW w:w="2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tcPr>
          <w:p>
            <w:pPr>
              <w:ind w:left="280"/>
              <w:spacing w:after="0"/>
              <w:rPr>
                <w:sz w:val="20"/>
                <w:szCs w:val="20"/>
                <w:color w:val="auto"/>
              </w:rPr>
            </w:pPr>
            <w:r>
              <w:rPr>
                <w:rFonts w:ascii="Arial" w:cs="Arial" w:eastAsia="Arial" w:hAnsi="Arial"/>
                <w:sz w:val="18"/>
                <w:szCs w:val="18"/>
                <w:color w:val="auto"/>
                <w:w w:val="84"/>
              </w:rPr>
              <w:t>26.77</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18.75</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20.00</w:t>
            </w: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11.93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2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4"/>
              </w:rPr>
              <w:t>30.07</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19.33</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22.88</w:t>
            </w:r>
          </w:p>
        </w:tc>
        <w:tc>
          <w:tcPr>
            <w:tcW w:w="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Fourth Quarter</w:t>
            </w:r>
          </w:p>
        </w:tc>
        <w:tc>
          <w:tcPr>
            <w:tcW w:w="2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tcPr>
          <w:p>
            <w:pPr>
              <w:ind w:left="280"/>
              <w:spacing w:after="0"/>
              <w:rPr>
                <w:sz w:val="20"/>
                <w:szCs w:val="20"/>
                <w:color w:val="auto"/>
              </w:rPr>
            </w:pPr>
            <w:r>
              <w:rPr>
                <w:rFonts w:ascii="Arial" w:cs="Arial" w:eastAsia="Arial" w:hAnsi="Arial"/>
                <w:sz w:val="18"/>
                <w:szCs w:val="18"/>
                <w:color w:val="auto"/>
                <w:w w:val="84"/>
              </w:rPr>
              <w:t>36.20</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27.20</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23.32</w:t>
            </w: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17.73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5234305</wp:posOffset>
            </wp:positionH>
            <wp:positionV relativeFrom="paragraph">
              <wp:posOffset>-882650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-882650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-882650</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-882650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4582795</wp:posOffset>
            </wp:positionH>
            <wp:positionV relativeFrom="paragraph">
              <wp:posOffset>-633730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-633730</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5234305</wp:posOffset>
            </wp:positionH>
            <wp:positionV relativeFrom="paragraph">
              <wp:posOffset>-633730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4702810</wp:posOffset>
            </wp:positionH>
            <wp:positionV relativeFrom="paragraph">
              <wp:posOffset>-633730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-633730</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-633730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-633730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6031865</wp:posOffset>
            </wp:positionH>
            <wp:positionV relativeFrom="paragraph">
              <wp:posOffset>-633730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360" w:firstLine="341"/>
        <w:spacing w:after="0" w:line="268" w:lineRule="auto"/>
        <w:rPr>
          <w:sz w:val="20"/>
          <w:szCs w:val="20"/>
          <w:color w:val="auto"/>
        </w:rPr>
      </w:pPr>
      <w:r>
        <w:rPr>
          <w:rFonts w:ascii="Arial" w:cs="Arial" w:eastAsia="Arial" w:hAnsi="Arial"/>
          <w:sz w:val="18"/>
          <w:szCs w:val="18"/>
          <w:color w:val="auto"/>
        </w:rPr>
        <w:t>As of March 31, 2005, the approximate number of record holders of our common stock was 208 (not including beneficial owners of stock held in street name).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231" w:lineRule="exact"/>
        <w:rPr>
          <w:sz w:val="20"/>
          <w:szCs w:val="20"/>
          <w:color w:val="auto"/>
        </w:rPr>
      </w:pPr>
    </w:p>
    <w:p>
      <w:pPr>
        <w:ind w:right="60" w:firstLine="348"/>
        <w:spacing w:after="0" w:line="332" w:lineRule="auto"/>
        <w:rPr>
          <w:sz w:val="20"/>
          <w:szCs w:val="20"/>
          <w:color w:val="auto"/>
        </w:rPr>
      </w:pPr>
      <w:r>
        <w:rPr>
          <w:rFonts w:ascii="Arial" w:cs="Arial" w:eastAsia="Arial" w:hAnsi="Arial"/>
          <w:sz w:val="16"/>
          <w:szCs w:val="16"/>
          <w:color w:val="auto"/>
        </w:rPr>
        <w:t>We have never declared or paid a cash dividend on our common stock and do not anticipate paying any cash dividends in the foreseeable future. Any future determination with respect to the declaration and payment of dividends will be at the discretion of our Board of Directors.</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w:t>
      </w:r>
    </w:p>
    <w:p>
      <w:pPr>
        <w:spacing w:after="0" w:line="231"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Information regarding the securities authorized for issuance under our equity compensation plans can be found under Item 12 of Part III of this Report.</w:t>
      </w:r>
    </w:p>
    <w:p>
      <w:pPr>
        <w:spacing w:after="0" w:line="24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341" w:right="319" w:bottom="1440" w:gutter="0" w:footer="0" w:header="0"/>
        </w:sectPr>
      </w:pPr>
    </w:p>
    <w:bookmarkStart w:id="30" w:name="page31"/>
    <w:bookmarkEnd w:id="30"/>
    <w:p>
      <w:pPr>
        <w:spacing w:after="0"/>
        <w:tabs>
          <w:tab w:leader="none" w:pos="7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Consolidated Financial Data</w:t>
      </w:r>
    </w:p>
    <w:p>
      <w:pPr>
        <w:spacing w:after="0" w:line="231" w:lineRule="exact"/>
        <w:rPr>
          <w:sz w:val="20"/>
          <w:szCs w:val="20"/>
          <w:color w:val="auto"/>
        </w:rPr>
      </w:pPr>
    </w:p>
    <w:p>
      <w:pPr>
        <w:ind w:right="240" w:firstLine="348"/>
        <w:spacing w:after="0" w:line="332" w:lineRule="auto"/>
        <w:rPr>
          <w:sz w:val="20"/>
          <w:szCs w:val="20"/>
          <w:color w:val="auto"/>
        </w:rPr>
      </w:pPr>
      <w:r>
        <w:rPr>
          <w:rFonts w:ascii="Arial" w:cs="Arial" w:eastAsia="Arial" w:hAnsi="Arial"/>
          <w:sz w:val="16"/>
          <w:szCs w:val="16"/>
          <w:color w:val="auto"/>
        </w:rPr>
        <w:t>The following selected consolidated financial data should be read together with "Item 7 — Management's Discussion and Analysis of Financial Condition and Results of Operations" and "Item 8 — Consolidated Financial Statements and Supplementary Data" contained elsewhere in this Form 10-K.</w:t>
      </w:r>
    </w:p>
    <w:p>
      <w:pPr>
        <w:spacing w:after="0" w:line="135"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800" w:type="dxa"/>
            <w:vAlign w:val="bottom"/>
            <w:gridSpan w:val="4"/>
          </w:tcPr>
          <w:p>
            <w:pPr>
              <w:jc w:val="right"/>
              <w:ind w:right="340"/>
              <w:spacing w:after="0"/>
              <w:rPr>
                <w:sz w:val="20"/>
                <w:szCs w:val="20"/>
                <w:color w:val="auto"/>
              </w:rPr>
            </w:pPr>
            <w:r>
              <w:rPr>
                <w:rFonts w:ascii="Arial" w:cs="Arial" w:eastAsia="Arial" w:hAnsi="Arial"/>
                <w:sz w:val="14"/>
                <w:szCs w:val="14"/>
                <w:b w:val="1"/>
                <w:bCs w:val="1"/>
                <w:color w:val="auto"/>
                <w:w w:val="86"/>
              </w:rPr>
              <w:t>Years Ended January 31,</w:t>
            </w:r>
          </w:p>
        </w:tc>
        <w:tc>
          <w:tcPr>
            <w:tcW w:w="3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306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60" w:type="dxa"/>
            <w:vAlign w:val="bottom"/>
          </w:tcPr>
          <w:p>
            <w:pPr>
              <w:jc w:val="right"/>
              <w:ind w:right="47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60" w:type="dxa"/>
            <w:vAlign w:val="bottom"/>
          </w:tcPr>
          <w:p>
            <w:pPr>
              <w:jc w:val="right"/>
              <w:ind w:right="474"/>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40" w:type="dxa"/>
            <w:vAlign w:val="bottom"/>
          </w:tcPr>
          <w:p>
            <w:pPr>
              <w:jc w:val="right"/>
              <w:ind w:right="473"/>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20" w:type="dxa"/>
            <w:vAlign w:val="bottom"/>
          </w:tcPr>
          <w:p>
            <w:pPr>
              <w:jc w:val="right"/>
              <w:ind w:right="453"/>
              <w:spacing w:after="0"/>
              <w:rPr>
                <w:sz w:val="20"/>
                <w:szCs w:val="20"/>
                <w:color w:val="auto"/>
              </w:rPr>
            </w:pPr>
            <w:r>
              <w:rPr>
                <w:rFonts w:ascii="Arial" w:cs="Arial" w:eastAsia="Arial" w:hAnsi="Arial"/>
                <w:sz w:val="14"/>
                <w:szCs w:val="14"/>
                <w:b w:val="1"/>
                <w:bCs w:val="1"/>
                <w:color w:val="auto"/>
              </w:rPr>
              <w:t>2002</w:t>
            </w:r>
          </w:p>
        </w:tc>
        <w:tc>
          <w:tcPr>
            <w:tcW w:w="2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80" w:type="dxa"/>
            <w:vAlign w:val="bottom"/>
          </w:tcPr>
          <w:p>
            <w:pPr>
              <w:jc w:val="right"/>
              <w:ind w:right="353"/>
              <w:spacing w:after="0"/>
              <w:rPr>
                <w:sz w:val="20"/>
                <w:szCs w:val="20"/>
                <w:color w:val="auto"/>
              </w:rPr>
            </w:pPr>
            <w:r>
              <w:rPr>
                <w:rFonts w:ascii="Arial" w:cs="Arial" w:eastAsia="Arial" w:hAnsi="Arial"/>
                <w:sz w:val="14"/>
                <w:szCs w:val="14"/>
                <w:b w:val="1"/>
                <w:bCs w:val="1"/>
                <w:color w:val="auto"/>
              </w:rPr>
              <w:t>2001</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360" w:type="dxa"/>
            <w:vAlign w:val="bottom"/>
            <w:tcBorders>
              <w:bottom w:val="single" w:sz="8" w:color="808080"/>
            </w:tcBorders>
            <w:gridSpan w:val="2"/>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306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3180" w:type="dxa"/>
            <w:vAlign w:val="bottom"/>
            <w:gridSpan w:val="6"/>
          </w:tcPr>
          <w:p>
            <w:pPr>
              <w:jc w:val="right"/>
              <w:ind w:right="103"/>
              <w:spacing w:after="0"/>
              <w:rPr>
                <w:sz w:val="20"/>
                <w:szCs w:val="20"/>
                <w:color w:val="auto"/>
              </w:rPr>
            </w:pPr>
            <w:r>
              <w:rPr>
                <w:rFonts w:ascii="Arial" w:cs="Arial" w:eastAsia="Arial" w:hAnsi="Arial"/>
                <w:sz w:val="14"/>
                <w:szCs w:val="14"/>
                <w:b w:val="1"/>
                <w:bCs w:val="1"/>
                <w:color w:val="auto"/>
              </w:rPr>
              <w:t>(In thousands, except per share amounts)</w:t>
            </w:r>
          </w:p>
        </w:tc>
        <w:tc>
          <w:tcPr>
            <w:tcW w:w="10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820" w:type="dxa"/>
            <w:vAlign w:val="bottom"/>
          </w:tcPr>
          <w:p>
            <w:pPr>
              <w:spacing w:after="0"/>
              <w:rPr>
                <w:sz w:val="20"/>
                <w:szCs w:val="20"/>
                <w:color w:val="auto"/>
              </w:rPr>
            </w:pPr>
          </w:p>
        </w:tc>
        <w:tc>
          <w:tcPr>
            <w:tcW w:w="30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Net revenue</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1,224,580</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819,762</w:t>
            </w:r>
          </w:p>
        </w:tc>
        <w:tc>
          <w:tcPr>
            <w:tcW w:w="5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505,285</w:t>
            </w:r>
          </w:p>
        </w:tc>
        <w:tc>
          <w:tcPr>
            <w:tcW w:w="220" w:type="dxa"/>
            <w:vAlign w:val="bottom"/>
          </w:tcPr>
          <w:p>
            <w:pPr>
              <w:spacing w:after="0"/>
              <w:rPr>
                <w:sz w:val="18"/>
                <w:szCs w:val="18"/>
                <w:color w:val="auto"/>
              </w:rPr>
            </w:pP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288,795</w:t>
            </w:r>
          </w:p>
        </w:tc>
        <w:tc>
          <w:tcPr>
            <w:tcW w:w="220" w:type="dxa"/>
            <w:vAlign w:val="bottom"/>
          </w:tcPr>
          <w:p>
            <w:pPr>
              <w:spacing w:after="0"/>
              <w:rPr>
                <w:sz w:val="18"/>
                <w:szCs w:val="18"/>
                <w:color w:val="auto"/>
              </w:rPr>
            </w:pP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143,894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costs and expenses: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ind w:left="220"/>
              <w:spacing w:after="0"/>
              <w:rPr>
                <w:sz w:val="20"/>
                <w:szCs w:val="20"/>
                <w:color w:val="auto"/>
              </w:rPr>
            </w:pPr>
            <w:r>
              <w:rPr>
                <w:rFonts w:ascii="Arial" w:cs="Arial" w:eastAsia="Arial" w:hAnsi="Arial"/>
                <w:sz w:val="18"/>
                <w:szCs w:val="18"/>
                <w:color w:val="auto"/>
              </w:rPr>
              <w:t>Cost of goods sold(1)</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581,757</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382,206</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233,039</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130,807</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67,047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Research and development(2)</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263,261</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213,740</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145,722</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93,422</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35,152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ind w:left="220"/>
              <w:spacing w:after="0"/>
              <w:rPr>
                <w:sz w:val="20"/>
                <w:szCs w:val="20"/>
                <w:color w:val="auto"/>
              </w:rPr>
            </w:pPr>
            <w:r>
              <w:rPr>
                <w:rFonts w:ascii="Arial" w:cs="Arial" w:eastAsia="Arial" w:hAnsi="Arial"/>
                <w:sz w:val="18"/>
                <w:szCs w:val="18"/>
                <w:color w:val="auto"/>
              </w:rPr>
              <w:t>Selling and marketing(3)</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76,570</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62,350</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48,491</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40,170</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21,686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General and administrative(4)</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32,220</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19,004</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14,303</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13,191</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3,977</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4,943</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7,491</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15,022</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8,259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Amortization and write-off of goodwill and</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acquired intangible assets and other(5)</w:t>
            </w:r>
          </w:p>
        </w:tc>
        <w:tc>
          <w:tcPr>
            <w:tcW w:w="32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102,534</w:t>
            </w:r>
          </w:p>
        </w:tc>
        <w:tc>
          <w:tcPr>
            <w:tcW w:w="2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80,390</w:t>
            </w:r>
          </w:p>
        </w:tc>
        <w:tc>
          <w:tcPr>
            <w:tcW w:w="2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107,645</w:t>
            </w:r>
          </w:p>
        </w:tc>
        <w:tc>
          <w:tcPr>
            <w:tcW w:w="220" w:type="dxa"/>
            <w:vAlign w:val="bottom"/>
            <w:tcBorders>
              <w:right w:val="single" w:sz="8" w:color="CCEEFF"/>
            </w:tcBorders>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418,032</w:t>
            </w:r>
          </w:p>
        </w:tc>
        <w:tc>
          <w:tcPr>
            <w:tcW w:w="220" w:type="dxa"/>
            <w:vAlign w:val="bottom"/>
            <w:tcBorders>
              <w:right w:val="single" w:sz="8" w:color="CCEEFF"/>
            </w:tcBorders>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8,031</w:t>
            </w:r>
          </w:p>
        </w:tc>
        <w:tc>
          <w:tcPr>
            <w:tcW w:w="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880" w:type="dxa"/>
            <w:vAlign w:val="bottom"/>
            <w:gridSpan w:val="2"/>
          </w:tcPr>
          <w:p>
            <w:pPr>
              <w:ind w:left="220"/>
              <w:spacing w:after="0"/>
              <w:rPr>
                <w:sz w:val="20"/>
                <w:szCs w:val="20"/>
                <w:color w:val="auto"/>
              </w:rPr>
            </w:pPr>
            <w:r>
              <w:rPr>
                <w:rFonts w:ascii="Arial" w:cs="Arial" w:eastAsia="Arial" w:hAnsi="Arial"/>
                <w:sz w:val="18"/>
                <w:szCs w:val="18"/>
                <w:color w:val="auto"/>
              </w:rPr>
              <w:t>Acquired in-process research and</w:t>
            </w: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80" w:type="dxa"/>
            <w:vAlign w:val="bottom"/>
            <w:gridSpan w:val="2"/>
          </w:tcPr>
          <w:p>
            <w:pPr>
              <w:ind w:left="220"/>
              <w:spacing w:after="0"/>
              <w:rPr>
                <w:sz w:val="20"/>
                <w:szCs w:val="20"/>
                <w:color w:val="auto"/>
              </w:rPr>
            </w:pPr>
            <w:r>
              <w:rPr>
                <w:rFonts w:ascii="Arial" w:cs="Arial" w:eastAsia="Arial" w:hAnsi="Arial"/>
                <w:sz w:val="18"/>
                <w:szCs w:val="18"/>
                <w:color w:val="auto"/>
              </w:rPr>
              <w:t>development(5)</w:t>
            </w: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234,874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Facilities consolidation charge(6)</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19,562</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40" w:type="dxa"/>
            <w:vAlign w:val="bottom"/>
            <w:tcBorders>
              <w:right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3880" w:type="dxa"/>
            <w:vAlign w:val="bottom"/>
            <w:gridSpan w:val="2"/>
          </w:tcPr>
          <w:p>
            <w:pPr>
              <w:ind w:left="440"/>
              <w:spacing w:after="0"/>
              <w:rPr>
                <w:sz w:val="20"/>
                <w:szCs w:val="20"/>
                <w:color w:val="auto"/>
              </w:rPr>
            </w:pPr>
            <w:r>
              <w:rPr>
                <w:rFonts w:ascii="Arial" w:cs="Arial" w:eastAsia="Arial" w:hAnsi="Arial"/>
                <w:sz w:val="18"/>
                <w:szCs w:val="18"/>
                <w:color w:val="auto"/>
              </w:rPr>
              <w:t>Total operating costs and expenses</w:t>
            </w:r>
          </w:p>
        </w:tc>
        <w:tc>
          <w:tcPr>
            <w:tcW w:w="320" w:type="dxa"/>
            <w:vAlign w:val="bottom"/>
          </w:tcPr>
          <w:p>
            <w:pPr>
              <w:spacing w:after="0"/>
              <w:rPr>
                <w:sz w:val="24"/>
                <w:szCs w:val="24"/>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1,062,733</w:t>
            </w: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762,633</w:t>
            </w: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576,253</w:t>
            </w: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710,644</w:t>
            </w: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381,234</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161,847</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57,129</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6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(70,968)</w:t>
            </w:r>
          </w:p>
        </w:tc>
        <w:tc>
          <w:tcPr>
            <w:tcW w:w="320" w:type="dxa"/>
            <w:vAlign w:val="bottom"/>
            <w:shd w:val="clear" w:color="auto" w:fill="CCEEFF"/>
          </w:tcPr>
          <w:p>
            <w:pPr>
              <w:spacing w:after="0"/>
              <w:rPr>
                <w:sz w:val="18"/>
                <w:szCs w:val="18"/>
                <w:color w:val="auto"/>
              </w:rPr>
            </w:pPr>
          </w:p>
        </w:tc>
        <w:tc>
          <w:tcPr>
            <w:tcW w:w="12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(421,849)</w:t>
            </w: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(237,340)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7,657</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6,223</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7,318</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9,994</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4,559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169,504</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63,352</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6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(63,650)</w:t>
            </w:r>
          </w:p>
        </w:tc>
        <w:tc>
          <w:tcPr>
            <w:tcW w:w="320" w:type="dxa"/>
            <w:vAlign w:val="bottom"/>
            <w:shd w:val="clear" w:color="auto" w:fill="CCEEFF"/>
          </w:tcPr>
          <w:p>
            <w:pPr>
              <w:spacing w:after="0"/>
              <w:rPr>
                <w:sz w:val="18"/>
                <w:szCs w:val="18"/>
                <w:color w:val="auto"/>
              </w:rPr>
            </w:pPr>
          </w:p>
        </w:tc>
        <w:tc>
          <w:tcPr>
            <w:tcW w:w="12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(411,855)</w:t>
            </w: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(232,781)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27,843</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17,842</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8,524</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3,299</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2,339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141,661</w:t>
            </w:r>
          </w:p>
        </w:tc>
        <w:tc>
          <w:tcPr>
            <w:tcW w:w="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45,510</w:t>
            </w:r>
          </w:p>
        </w:tc>
        <w:tc>
          <w:tcPr>
            <w:tcW w:w="5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(72,174)</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2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(415,154)</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(235,120)</w:t>
            </w:r>
          </w:p>
        </w:tc>
        <w:tc>
          <w:tcPr>
            <w:tcW w:w="0" w:type="dxa"/>
            <w:vAlign w:val="bottom"/>
          </w:tcPr>
          <w:p>
            <w:pPr>
              <w:spacing w:after="0"/>
              <w:rPr>
                <w:sz w:val="1"/>
                <w:szCs w:val="1"/>
                <w:color w:val="auto"/>
              </w:rPr>
            </w:pPr>
          </w:p>
        </w:tc>
      </w:tr>
      <w:tr>
        <w:trPr>
          <w:trHeight w:val="105"/>
        </w:trPr>
        <w:tc>
          <w:tcPr>
            <w:tcW w:w="840" w:type="dxa"/>
            <w:vAlign w:val="bottom"/>
            <w:gridSpan w:val="2"/>
          </w:tcPr>
          <w:p>
            <w:pPr>
              <w:spacing w:after="0"/>
              <w:rPr>
                <w:sz w:val="9"/>
                <w:szCs w:val="9"/>
                <w:color w:val="auto"/>
              </w:rPr>
            </w:pPr>
          </w:p>
        </w:tc>
        <w:tc>
          <w:tcPr>
            <w:tcW w:w="30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840" w:type="dxa"/>
            <w:vAlign w:val="bottom"/>
            <w:gridSpan w:val="2"/>
          </w:tcPr>
          <w:p>
            <w:pPr>
              <w:spacing w:after="0"/>
              <w:rPr>
                <w:sz w:val="5"/>
                <w:szCs w:val="5"/>
                <w:color w:val="auto"/>
              </w:rPr>
            </w:pPr>
          </w:p>
        </w:tc>
        <w:tc>
          <w:tcPr>
            <w:tcW w:w="306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40" w:type="dxa"/>
            <w:vAlign w:val="bottom"/>
            <w:tcBorders>
              <w:right w:val="single" w:sz="8" w:color="808080"/>
            </w:tcBorders>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2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3900" w:type="dxa"/>
            <w:vAlign w:val="bottom"/>
            <w:gridSpan w:val="3"/>
          </w:tcPr>
          <w:p>
            <w:pPr>
              <w:spacing w:after="0"/>
              <w:rPr>
                <w:sz w:val="20"/>
                <w:szCs w:val="20"/>
                <w:color w:val="auto"/>
              </w:rPr>
            </w:pPr>
            <w:r>
              <w:rPr>
                <w:rFonts w:ascii="Arial" w:cs="Arial" w:eastAsia="Arial" w:hAnsi="Arial"/>
                <w:sz w:val="18"/>
                <w:szCs w:val="18"/>
                <w:color w:val="auto"/>
              </w:rPr>
              <w:t>Basic net income (loss) per share</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0.53</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0.18</w:t>
            </w:r>
          </w:p>
        </w:tc>
        <w:tc>
          <w:tcPr>
            <w:tcW w:w="5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(0.30)</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(1.82)</w:t>
            </w: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(1.78)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0.47</w:t>
            </w:r>
          </w:p>
        </w:tc>
        <w:tc>
          <w:tcPr>
            <w:tcW w:w="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5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(0.30)</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2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(1.82)</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Weighted average shares — basic</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269,687</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251,554</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238,481</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228,706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132,518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299,012</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276,483</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238,481</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228,706</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132,518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spacing w:after="0"/>
              <w:rPr>
                <w:sz w:val="20"/>
                <w:szCs w:val="20"/>
                <w:color w:val="auto"/>
              </w:rPr>
            </w:pPr>
            <w:r>
              <w:rPr>
                <w:rFonts w:ascii="Arial" w:cs="Arial" w:eastAsia="Arial" w:hAnsi="Arial"/>
                <w:sz w:val="18"/>
                <w:szCs w:val="18"/>
                <w:b w:val="1"/>
                <w:bCs w:val="1"/>
                <w:color w:val="auto"/>
              </w:rPr>
              <w:t>Consolidated Balance Sheet Data:</w:t>
            </w: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4"/>
              </w:rPr>
              <w:t>Cash, cash equivalents and short-term investments</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660,014</w:t>
            </w:r>
          </w:p>
        </w:tc>
        <w:tc>
          <w:tcPr>
            <w:tcW w:w="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386,271</w:t>
            </w:r>
          </w:p>
        </w:tc>
        <w:tc>
          <w:tcPr>
            <w:tcW w:w="5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265,228</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250,244</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224,063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Working capital</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802,989</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449,371</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317,794</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254,898</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215,787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2,435,465</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2,095,257</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2,091,055</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2,447,486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tcPr>
          <w:p>
            <w:pPr>
              <w:spacing w:after="0"/>
              <w:rPr>
                <w:sz w:val="20"/>
                <w:szCs w:val="20"/>
                <w:color w:val="auto"/>
              </w:rPr>
            </w:pPr>
            <w:r>
              <w:rPr>
                <w:rFonts w:ascii="Arial" w:cs="Arial" w:eastAsia="Arial" w:hAnsi="Arial"/>
                <w:sz w:val="18"/>
                <w:szCs w:val="18"/>
                <w:color w:val="auto"/>
              </w:rPr>
              <w:t>Capital lease obligations, net of current portion</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11,590</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19,944</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13,755</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10,017</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2,190,841</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1,950,138</w:t>
            </w:r>
          </w:p>
        </w:tc>
        <w:tc>
          <w:tcPr>
            <w:tcW w:w="220" w:type="dxa"/>
            <w:vAlign w:val="bottom"/>
            <w:tcBorders>
              <w:right w:val="single" w:sz="8" w:color="CCEEFF"/>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1,989,727</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2,356,666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30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7198360</wp:posOffset>
            </wp:positionH>
            <wp:positionV relativeFrom="paragraph">
              <wp:posOffset>-5434330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-5434330</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-5185410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-5185410</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-5185410</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3493135</wp:posOffset>
            </wp:positionH>
            <wp:positionV relativeFrom="paragraph">
              <wp:posOffset>-5185410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-5185410</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-5185410</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-5185410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-5185410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7198360</wp:posOffset>
            </wp:positionH>
            <wp:positionV relativeFrom="paragraph">
              <wp:posOffset>-5185410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-5185410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-2998470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-2998470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-2998470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3493135</wp:posOffset>
            </wp:positionH>
            <wp:positionV relativeFrom="paragraph">
              <wp:posOffset>-2998470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-2998470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-2998470</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-2998470</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-2998470</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7198360</wp:posOffset>
            </wp:positionH>
            <wp:positionV relativeFrom="paragraph">
              <wp:posOffset>-2998470</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-2998470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-2707005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-2707005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-2707005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3493135</wp:posOffset>
            </wp:positionH>
            <wp:positionV relativeFrom="paragraph">
              <wp:posOffset>-2707005</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-2707005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-2707005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-2707005</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-2707005</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7198360</wp:posOffset>
            </wp:positionH>
            <wp:positionV relativeFrom="paragraph">
              <wp:posOffset>-2707005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-2707005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-2278380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-2278380</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-2278380</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3493135</wp:posOffset>
            </wp:positionH>
            <wp:positionV relativeFrom="paragraph">
              <wp:posOffset>-2278380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-2278380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-2278380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-2278380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-2278380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7198360</wp:posOffset>
            </wp:positionH>
            <wp:positionV relativeFrom="paragraph">
              <wp:posOffset>-2278380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-2278380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-1849755</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-1849755</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-1849755</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3493135</wp:posOffset>
            </wp:positionH>
            <wp:positionV relativeFrom="paragraph">
              <wp:posOffset>-1849755</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-1849755</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-1849755</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-1849755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-1849755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7198360</wp:posOffset>
            </wp:positionH>
            <wp:positionV relativeFrom="paragraph">
              <wp:posOffset>-1849755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-1849755</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526415</wp:posOffset>
            </wp:positionH>
            <wp:positionV relativeFrom="paragraph">
              <wp:posOffset>-14605</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hanging="532"/>
        <w:spacing w:after="0"/>
        <w:tabs>
          <w:tab w:leader="none" w:pos="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$85, $182, $339, $298, and $416 in fiscal 2005, 2004, 2003, 2002 and 2001.</w:t>
      </w:r>
    </w:p>
    <w:p>
      <w:pPr>
        <w:spacing w:after="0" w:line="252" w:lineRule="exact"/>
        <w:rPr>
          <w:rFonts w:ascii="Arial" w:cs="Arial" w:eastAsia="Arial" w:hAnsi="Arial"/>
          <w:sz w:val="18"/>
          <w:szCs w:val="18"/>
          <w:color w:val="auto"/>
        </w:rPr>
      </w:pPr>
    </w:p>
    <w:p>
      <w:pPr>
        <w:ind w:left="540" w:hanging="532"/>
        <w:spacing w:after="0"/>
        <w:tabs>
          <w:tab w:leader="none" w:pos="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Excludes amortization of stock-based compensation of $2,473, $2,555, $4,732, $9,837 and $3,367 in fiscal 2005, 2004, 2003, 2002 and 2001.</w:t>
      </w:r>
    </w:p>
    <w:p>
      <w:pPr>
        <w:spacing w:after="0" w:line="261" w:lineRule="exact"/>
        <w:rPr>
          <w:rFonts w:ascii="Arial" w:cs="Arial" w:eastAsia="Arial" w:hAnsi="Arial"/>
          <w:sz w:val="16"/>
          <w:szCs w:val="16"/>
          <w:color w:val="auto"/>
        </w:rPr>
      </w:pPr>
    </w:p>
    <w:p>
      <w:pPr>
        <w:ind w:left="540" w:hanging="532"/>
        <w:spacing w:after="0"/>
        <w:tabs>
          <w:tab w:leader="none" w:pos="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Excludes amortization of stock-based compensation of $462, $833, $1,605, $2,655 and $3,997 in fiscal 2005, 2004, 2003, 2002 and 2001.</w:t>
      </w:r>
    </w:p>
    <w:p>
      <w:pPr>
        <w:spacing w:after="0" w:line="261" w:lineRule="exact"/>
        <w:rPr>
          <w:rFonts w:ascii="Arial" w:cs="Arial" w:eastAsia="Arial" w:hAnsi="Arial"/>
          <w:sz w:val="16"/>
          <w:szCs w:val="16"/>
          <w:color w:val="auto"/>
        </w:rPr>
      </w:pPr>
    </w:p>
    <w:p>
      <w:pPr>
        <w:ind w:left="540" w:hanging="532"/>
        <w:spacing w:after="0"/>
        <w:tabs>
          <w:tab w:leader="none" w:pos="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$957, $1,373, $815, $2,232 and $479 in fiscal 2005, 2004, 2003, 2002 and 2001.</w:t>
      </w:r>
    </w:p>
    <w:p>
      <w:pPr>
        <w:spacing w:after="0" w:line="252" w:lineRule="exact"/>
        <w:rPr>
          <w:rFonts w:ascii="Arial" w:cs="Arial" w:eastAsia="Arial" w:hAnsi="Arial"/>
          <w:sz w:val="18"/>
          <w:szCs w:val="18"/>
          <w:color w:val="auto"/>
        </w:rPr>
      </w:pPr>
    </w:p>
    <w:p>
      <w:pPr>
        <w:ind w:left="540" w:right="260" w:hanging="532"/>
        <w:spacing w:after="0" w:line="268" w:lineRule="auto"/>
        <w:tabs>
          <w:tab w:leader="none" w:pos="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the first quarter of fiscal 2005, we entered into a technology license and non-assert agreement with a licensor pursuant to which the parties agreed to not take action against each other relative to the use</w:t>
      </w:r>
    </w:p>
    <w:p>
      <w:pPr>
        <w:sectPr>
          <w:pgSz w:w="11900" w:h="16838" w:orient="portrait"/>
          <w:cols w:equalWidth="0" w:num="1">
            <w:col w:w="11420"/>
          </w:cols>
          <w:pgMar w:left="240" w:top="800" w:right="239" w:bottom="1440" w:gutter="0" w:footer="0" w:header="0"/>
        </w:sectPr>
      </w:pP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800" w:right="239" w:bottom="1440" w:gutter="0" w:footer="0" w:header="0"/>
          <w:type w:val="continuous"/>
        </w:sectPr>
      </w:pPr>
    </w:p>
    <w:bookmarkStart w:id="31" w:name="page32"/>
    <w:bookmarkEnd w:id="31"/>
    <w:p>
      <w:pPr>
        <w:ind w:left="540" w:right="40"/>
        <w:spacing w:after="0" w:line="286" w:lineRule="auto"/>
        <w:rPr>
          <w:sz w:val="20"/>
          <w:szCs w:val="20"/>
          <w:color w:val="auto"/>
        </w:rPr>
      </w:pPr>
      <w:r>
        <w:rPr>
          <w:rFonts w:ascii="Arial" w:cs="Arial" w:eastAsia="Arial" w:hAnsi="Arial"/>
          <w:sz w:val="16"/>
          <w:szCs w:val="16"/>
          <w:color w:val="auto"/>
        </w:rPr>
        <w:t>of certain technologies. Under the arrangement, we agreed to make a one-time payment of $13.5 million, which is included in amortization and write-off of goodwill and acquired intangible assets and other. In the second quarter of fiscal 2005, we entered into a technology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and is included in amortization and write-off of goodwill and acquired intangible assets and other. In the fourth quarter of fiscal 2001, we acquired Galileo Technology Ltd. ("Galileo") in a transaction recorded as a purchase. In connection with this acquisition, we recorded an in-process research and development charge of $234.9 million and recorded goodwill and intangible assets of $2.1 billion, which, prior to the adoption of SFAS 142 in February 2002, were all being amortized over their estimated economic lives by charges to the statement of operations. In the fourth quarter of fiscal 2003, we decided to no longer use the Galileo trade name in selling and marketing activities going forward. As a result, we wrote-off the remaining $22.4 million net book value of the trade name. In the fourth quarter of fiscal 2004, we recorded a charge of $1.9 million to amortization and write-off of goodwill and acquired intangible assets and other related to the recognition of pre-acquisition losses due to our prior investments in RADLAN Computer Communications Ltd. which we acquired in fiscal 2004.</w:t>
      </w:r>
    </w:p>
    <w:p>
      <w:pPr>
        <w:spacing w:after="0" w:line="192" w:lineRule="exact"/>
        <w:rPr>
          <w:sz w:val="20"/>
          <w:szCs w:val="20"/>
          <w:color w:val="auto"/>
        </w:rPr>
      </w:pPr>
    </w:p>
    <w:p>
      <w:pPr>
        <w:ind w:left="540" w:right="360" w:hanging="532"/>
        <w:spacing w:after="0" w:line="268" w:lineRule="auto"/>
        <w:tabs>
          <w:tab w:leader="none" w:pos="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fiscal 2005, we recorded a facilities consolidation charge of $2.4 million related to the relocation of several leased facilities. In fiscal 2003, we also recorded a facilities consolidation charge of $19.6 million related to the abandonment of two leased facilities.</w:t>
      </w:r>
    </w:p>
    <w:p>
      <w:pPr>
        <w:spacing w:after="0" w:line="396"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231"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to this report. This discussion may contain forward-looking statements based upon current expectations that involve risks and uncertainties including those discussed under "Additional Factors That May Affect Future Results." These risks and uncertainties may cause actual results to differ materially from those discussed in the forward-looking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20" w:firstLine="348"/>
        <w:spacing w:after="0" w:line="287"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$134.7 million.</w:t>
      </w:r>
    </w:p>
    <w:p>
      <w:pPr>
        <w:spacing w:after="0" w:line="177" w:lineRule="exact"/>
        <w:rPr>
          <w:sz w:val="20"/>
          <w:szCs w:val="20"/>
          <w:color w:val="auto"/>
        </w:rPr>
      </w:pPr>
    </w:p>
    <w:p>
      <w:pPr>
        <w:ind w:right="140" w:firstLine="348"/>
        <w:spacing w:after="0" w:line="332" w:lineRule="auto"/>
        <w:rPr>
          <w:sz w:val="20"/>
          <w:szCs w:val="20"/>
          <w:color w:val="auto"/>
        </w:rPr>
      </w:pPr>
      <w:r>
        <w:rPr>
          <w:rFonts w:ascii="Arial" w:cs="Arial" w:eastAsia="Arial" w:hAnsi="Arial"/>
          <w:sz w:val="16"/>
          <w:szCs w:val="16"/>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WLAN</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32" w:name="page33"/>
    <w:bookmarkEnd w:id="32"/>
    <w:p>
      <w:pPr>
        <w:ind w:right="340"/>
        <w:spacing w:after="0" w:line="268" w:lineRule="auto"/>
        <w:rPr>
          <w:sz w:val="20"/>
          <w:szCs w:val="20"/>
          <w:color w:val="auto"/>
        </w:rPr>
      </w:pPr>
      <w:r>
        <w:rPr>
          <w:rFonts w:ascii="Arial" w:cs="Arial" w:eastAsia="Arial" w:hAnsi="Arial"/>
          <w:sz w:val="18"/>
          <w:szCs w:val="18"/>
          <w:color w:val="auto"/>
        </w:rPr>
        <w:t>solutions for SOHO and residential gateway solutions, and consumer applications such as cell phones, printers, digital cameras, MP3 devices, speakers, game consoles and PDAs.</w:t>
      </w:r>
    </w:p>
    <w:p>
      <w:pPr>
        <w:spacing w:after="0" w:line="186" w:lineRule="exact"/>
        <w:rPr>
          <w:sz w:val="20"/>
          <w:szCs w:val="20"/>
          <w:color w:val="auto"/>
        </w:rPr>
      </w:pPr>
    </w:p>
    <w:p>
      <w:pPr>
        <w:ind w:right="20" w:firstLine="351"/>
        <w:spacing w:after="0" w:line="287"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In fiscal 2005, approximately 42% of our net revenue was derived from sales to three significant customers, each of whom individually accounted for 10% or more of our net revenue during this period. In fiscal 2004, approximately 32% of our net revenue was derived from sales to two significant customers each of whom individually accounted for 10% or more of our net revenue. In fiscal 2003, approximately 67% of our net revenue was derived from sales to five significant customers each of whom individually accounted for 10% or more of our net revenue during this period. Also, in fiscal 2005, 2004 and 2003, one distributor accounted for 13%, 11% and 10% of our net revenue, respectively. We expect to continue to experience significant customer concentration in future periods. In addition, a significant portion of our sales is made to customers located outside of the United States, primarily in Asia. Sales to customers in Asia represented approximately 93%, 90% and 87% of our net revenue for the years ended January 31, 2005, 2004 and 2003, respectively. Because many manufacturers and manufacturing subcontractors of our customers are located in Asia, we expect that a significant portion of our revenue will continue to be represented by sales to our customers in that region. Substantially all of our sales to date have been denominated in United States dollars.</w:t>
      </w:r>
    </w:p>
    <w:p>
      <w:pPr>
        <w:spacing w:after="0" w:line="177" w:lineRule="exact"/>
        <w:rPr>
          <w:sz w:val="20"/>
          <w:szCs w:val="20"/>
          <w:color w:val="auto"/>
        </w:rPr>
      </w:pPr>
    </w:p>
    <w:p>
      <w:pPr>
        <w:ind w:firstLine="351"/>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4" w:lineRule="exact"/>
        <w:rPr>
          <w:sz w:val="20"/>
          <w:szCs w:val="20"/>
          <w:color w:val="auto"/>
        </w:rPr>
      </w:pPr>
    </w:p>
    <w:p>
      <w:pPr>
        <w:ind w:right="220" w:firstLine="351"/>
        <w:spacing w:after="0" w:line="256" w:lineRule="auto"/>
        <w:rPr>
          <w:sz w:val="20"/>
          <w:szCs w:val="20"/>
          <w:color w:val="auto"/>
        </w:rPr>
      </w:pPr>
      <w:r>
        <w:rPr>
          <w:rFonts w:ascii="Arial" w:cs="Arial" w:eastAsia="Arial" w:hAnsi="Arial"/>
          <w:sz w:val="18"/>
          <w:szCs w:val="18"/>
          <w:color w:val="auto"/>
        </w:rPr>
        <w:t>For the past three years, we have been able to report significant sequential quarterly growth in revenues; however, our revenues have grown at a slower sequential rate in the third and fourth quarters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w:t>
      </w:r>
    </w:p>
    <w:p>
      <w:pPr>
        <w:spacing w:after="0" w:line="197" w:lineRule="exact"/>
        <w:rPr>
          <w:sz w:val="20"/>
          <w:szCs w:val="20"/>
          <w:color w:val="auto"/>
        </w:rPr>
      </w:pPr>
    </w:p>
    <w:p>
      <w:pPr>
        <w:jc w:val="both"/>
        <w:ind w:right="180" w:firstLine="351"/>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years 2005, 2004 and 2003 were comprised of 52 weeks. For presentation purposes, our financial statements and notes and this "Management's Discussion and Analysis of Financial Condition and Results of Operations" refer to January 31 as our year-end.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31" w:lineRule="exact"/>
        <w:rPr>
          <w:sz w:val="20"/>
          <w:szCs w:val="20"/>
          <w:color w:val="auto"/>
        </w:rPr>
      </w:pPr>
    </w:p>
    <w:p>
      <w:pPr>
        <w:ind w:right="200" w:firstLine="348"/>
        <w:spacing w:after="0" w:line="294"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70" w:lineRule="exact"/>
        <w:rPr>
          <w:sz w:val="20"/>
          <w:szCs w:val="20"/>
          <w:color w:val="auto"/>
        </w:rPr>
      </w:pPr>
    </w:p>
    <w:p>
      <w:pPr>
        <w:ind w:right="140" w:firstLine="351"/>
        <w:spacing w:after="0" w:line="370" w:lineRule="auto"/>
        <w:rPr>
          <w:sz w:val="20"/>
          <w:szCs w:val="20"/>
          <w:color w:val="auto"/>
        </w:rPr>
      </w:pPr>
      <w:r>
        <w:rPr>
          <w:rFonts w:ascii="Arial" w:cs="Arial" w:eastAsia="Arial" w:hAnsi="Arial"/>
          <w:sz w:val="15"/>
          <w:szCs w:val="15"/>
          <w:i w:val="1"/>
          <w:iCs w:val="1"/>
          <w:color w:val="auto"/>
        </w:rPr>
        <w:t xml:space="preserve">Revenue Recognition. </w:t>
      </w:r>
      <w:r>
        <w:rPr>
          <w:rFonts w:ascii="Arial" w:cs="Arial" w:eastAsia="Arial" w:hAnsi="Arial"/>
          <w:sz w:val="15"/>
          <w:szCs w:val="15"/>
          <w:color w:val="auto"/>
        </w:rPr>
        <w:t>We recognize revenue when persuasive evidence of an arrangement exists, delivery has occurred, the price is fixed or determinable</w:t>
      </w:r>
      <w:r>
        <w:rPr>
          <w:rFonts w:ascii="Arial" w:cs="Arial" w:eastAsia="Arial" w:hAnsi="Arial"/>
          <w:sz w:val="15"/>
          <w:szCs w:val="15"/>
          <w:i w:val="1"/>
          <w:iCs w:val="1"/>
          <w:color w:val="auto"/>
        </w:rPr>
        <w:t xml:space="preserve"> </w:t>
      </w:r>
      <w:r>
        <w:rPr>
          <w:rFonts w:ascii="Arial" w:cs="Arial" w:eastAsia="Arial" w:hAnsi="Arial"/>
          <w:sz w:val="15"/>
          <w:szCs w:val="15"/>
          <w:color w:val="auto"/>
        </w:rPr>
        <w:t>and collection is reasonably assured. Under these criteria, product revenue is generally recognized upon shipment of product to customers, net of accruals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3" w:name="page34"/>
    <w:bookmarkEnd w:id="33"/>
    <w:p>
      <w:pPr>
        <w:spacing w:after="0" w:line="254" w:lineRule="auto"/>
        <w:rPr>
          <w:sz w:val="20"/>
          <w:szCs w:val="20"/>
          <w:color w:val="auto"/>
        </w:rPr>
      </w:pPr>
      <w:r>
        <w:rPr>
          <w:rFonts w:ascii="Arial" w:cs="Arial" w:eastAsia="Arial" w:hAnsi="Arial"/>
          <w:sz w:val="18"/>
          <w:szCs w:val="18"/>
          <w:color w:val="auto"/>
        </w:rPr>
        <w:t>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end-customers. Additionally, collection is not deemed to be "reasonably assured" if customers receive extended payment terms substantially greater than our normal payment terms. Revenue on such sales is deferred and recognized as revenue as the payments become due. At January 31, 2005, revenue of $24.7 million with an associated gross profit of $15.9 million was deferred. At January 31, 2004, revenue of $21.2 million with an associated gross profit of $13.0 million was deferred.</w:t>
      </w:r>
    </w:p>
    <w:p>
      <w:pPr>
        <w:spacing w:after="0" w:line="198"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Our provision for estimated price protection, sales returns and allowances on product sales is recorded in the same period the related revenues are recorded. These estimates are based on historical sales returns, analysis of credit memo data and other known factors. If actual price protection granted to distributors or product returns exceeds our estimates, additional reductions of revenue would result. Our total allowance for sales returns was $1.4 million and $1.6 million as of January 31, 2005 and 2004, respectively. Actual future returns could be different than the returns allowance established.</w:t>
      </w:r>
    </w:p>
    <w:p>
      <w:pPr>
        <w:spacing w:after="0" w:line="167" w:lineRule="exact"/>
        <w:rPr>
          <w:sz w:val="20"/>
          <w:szCs w:val="20"/>
          <w:color w:val="auto"/>
        </w:rPr>
      </w:pPr>
    </w:p>
    <w:p>
      <w:pPr>
        <w:ind w:right="140" w:firstLine="348"/>
        <w:spacing w:after="0" w:line="259" w:lineRule="auto"/>
        <w:rPr>
          <w:sz w:val="20"/>
          <w:szCs w:val="20"/>
          <w:color w:val="auto"/>
        </w:rPr>
      </w:pPr>
      <w:r>
        <w:rPr>
          <w:rFonts w:ascii="Arial" w:cs="Arial" w:eastAsia="Arial" w:hAnsi="Arial"/>
          <w:sz w:val="18"/>
          <w:szCs w:val="18"/>
          <w:color w:val="auto"/>
        </w:rPr>
        <w:t>We also enter into development agreements with some of our customers. Development revenue is recognized under the proportionate performance method, with the associated costs included in research and development expense. We estimate the proportionate performance of our development contracts based on an analysis of progress toward completion.</w:t>
      </w:r>
    </w:p>
    <w:p>
      <w:pPr>
        <w:spacing w:after="0" w:line="194" w:lineRule="exact"/>
        <w:rPr>
          <w:sz w:val="20"/>
          <w:szCs w:val="20"/>
          <w:color w:val="auto"/>
        </w:rPr>
      </w:pPr>
    </w:p>
    <w:p>
      <w:pPr>
        <w:ind w:right="20" w:firstLine="348"/>
        <w:spacing w:after="0" w:line="255"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97"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Significant management judgment is required in determining deferred tax assets and liabilities and any valuation allowance recorded against net deferred tax assets. We have recorded a valuation allowance of $57.8 million against our net deferred tax assets as of January 31, 2005, due to uncertainties related to our ability to realize federal and California research tax credits and certain operating losses carried forward before they expire. The valuation allowance is based on our estimates of taxable income in the jurisdictions in which we operate and the period over which our deferred tax assets will be recoverable.</w:t>
      </w:r>
    </w:p>
    <w:p>
      <w:pPr>
        <w:spacing w:after="0" w:line="167" w:lineRule="exact"/>
        <w:rPr>
          <w:sz w:val="20"/>
          <w:szCs w:val="20"/>
          <w:color w:val="auto"/>
        </w:rPr>
      </w:pPr>
    </w:p>
    <w:p>
      <w:pPr>
        <w:ind w:firstLine="341"/>
        <w:spacing w:after="0" w:line="294"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us that could materially impact our tax liability and/or our effective income tax rate. We recorded a tax provision of $27.8 million in fiscal 2005.</w:t>
      </w:r>
    </w:p>
    <w:p>
      <w:pPr>
        <w:spacing w:after="0" w:line="170" w:lineRule="exact"/>
        <w:rPr>
          <w:sz w:val="20"/>
          <w:szCs w:val="20"/>
          <w:color w:val="auto"/>
        </w:rPr>
      </w:pPr>
    </w:p>
    <w:p>
      <w:pPr>
        <w:ind w:right="560" w:firstLine="351"/>
        <w:spacing w:after="0" w:line="332" w:lineRule="auto"/>
        <w:rPr>
          <w:sz w:val="20"/>
          <w:szCs w:val="20"/>
          <w:color w:val="auto"/>
        </w:rPr>
      </w:pPr>
      <w:r>
        <w:rPr>
          <w:rFonts w:ascii="Arial" w:cs="Arial" w:eastAsia="Arial" w:hAnsi="Arial"/>
          <w:sz w:val="16"/>
          <w:szCs w:val="16"/>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39" w:lineRule="exact"/>
        <w:rPr>
          <w:sz w:val="20"/>
          <w:szCs w:val="20"/>
          <w:color w:val="auto"/>
        </w:rPr>
      </w:pPr>
    </w:p>
    <w:p>
      <w:pPr>
        <w:jc w:val="both"/>
        <w:ind w:right="460" w:firstLine="351"/>
        <w:spacing w:after="0" w:line="259"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the main U.S. subsidiary of Marvell Technology Group Ltd., for the fiscal years ended January 31, 2003, 2002 and 2001. The audit was completed during fiscal 2005 with no material adverse impact on our consolidated financial statements.</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34" w:name="page35"/>
    <w:bookmarkEnd w:id="34"/>
    <w:p>
      <w:pPr>
        <w:ind w:right="60" w:firstLine="348"/>
        <w:spacing w:after="0" w:line="253" w:lineRule="auto"/>
        <w:rPr>
          <w:sz w:val="20"/>
          <w:szCs w:val="20"/>
          <w:color w:val="auto"/>
        </w:rPr>
      </w:pPr>
      <w:r>
        <w:rPr>
          <w:rFonts w:ascii="Arial" w:cs="Arial" w:eastAsia="Arial" w:hAnsi="Arial"/>
          <w:sz w:val="18"/>
          <w:szCs w:val="18"/>
          <w:i w:val="1"/>
          <w:iCs w:val="1"/>
          <w:color w:val="auto"/>
        </w:rPr>
        <w:t xml:space="preserve">Accounts Receivable Reserves. </w:t>
      </w:r>
      <w:r>
        <w:rPr>
          <w:rFonts w:ascii="Arial" w:cs="Arial" w:eastAsia="Arial" w:hAnsi="Arial"/>
          <w:sz w:val="18"/>
          <w:szCs w:val="18"/>
          <w:color w:val="auto"/>
        </w:rPr>
        <w:t>We perform ongoing credit evaluations of our customers and adjust credit limits based upon payment history and the</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w:t>
      </w:r>
    </w:p>
    <w:p>
      <w:pPr>
        <w:spacing w:after="0" w:line="201" w:lineRule="exact"/>
        <w:rPr>
          <w:sz w:val="20"/>
          <w:szCs w:val="20"/>
          <w:color w:val="auto"/>
        </w:rPr>
      </w:pPr>
    </w:p>
    <w:p>
      <w:pPr>
        <w:ind w:right="140" w:firstLine="351"/>
        <w:spacing w:after="0" w:line="286" w:lineRule="auto"/>
        <w:rPr>
          <w:sz w:val="20"/>
          <w:szCs w:val="20"/>
          <w:color w:val="auto"/>
        </w:rPr>
      </w:pPr>
      <w:r>
        <w:rPr>
          <w:rFonts w:ascii="Arial" w:cs="Arial" w:eastAsia="Arial" w:hAnsi="Arial"/>
          <w:sz w:val="16"/>
          <w:szCs w:val="16"/>
          <w:i w:val="1"/>
          <w:iCs w:val="1"/>
          <w:color w:val="auto"/>
        </w:rPr>
        <w:t xml:space="preserve">Inventory Reserves. </w:t>
      </w:r>
      <w:r>
        <w:rPr>
          <w:rFonts w:ascii="Arial" w:cs="Arial" w:eastAsia="Arial" w:hAnsi="Arial"/>
          <w:sz w:val="16"/>
          <w:szCs w:val="16"/>
          <w:color w:val="auto"/>
        </w:rPr>
        <w:t>We value our inventory at the lower of the actual cost of the inventory or the current estimated market value of the inventory, cost</w:t>
      </w:r>
      <w:r>
        <w:rPr>
          <w:rFonts w:ascii="Arial" w:cs="Arial" w:eastAsia="Arial" w:hAnsi="Arial"/>
          <w:sz w:val="16"/>
          <w:szCs w:val="16"/>
          <w:i w:val="1"/>
          <w:iCs w:val="1"/>
          <w:color w:val="auto"/>
        </w:rPr>
        <w:t xml:space="preserve"> </w:t>
      </w:r>
      <w:r>
        <w:rPr>
          <w:rFonts w:ascii="Arial" w:cs="Arial" w:eastAsia="Arial" w:hAnsi="Arial"/>
          <w:sz w:val="16"/>
          <w:szCs w:val="16"/>
          <w:color w:val="auto"/>
        </w:rPr>
        <w:t>being determined under the first-in, first-out method.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such additional operating income at the time of sale.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81" w:lineRule="exact"/>
        <w:rPr>
          <w:sz w:val="20"/>
          <w:szCs w:val="20"/>
          <w:color w:val="auto"/>
        </w:rPr>
      </w:pPr>
    </w:p>
    <w:p>
      <w:pPr>
        <w:ind w:right="120" w:firstLine="351"/>
        <w:spacing w:after="0" w:line="309" w:lineRule="auto"/>
        <w:rPr>
          <w:sz w:val="20"/>
          <w:szCs w:val="20"/>
          <w:color w:val="auto"/>
        </w:rPr>
      </w:pPr>
      <w:r>
        <w:rPr>
          <w:rFonts w:ascii="Arial" w:cs="Arial" w:eastAsia="Arial" w:hAnsi="Arial"/>
          <w:sz w:val="15"/>
          <w:szCs w:val="15"/>
          <w:i w:val="1"/>
          <w:iCs w:val="1"/>
          <w:color w:val="auto"/>
        </w:rPr>
        <w:t xml:space="preserve">Valuation of Long-lived Assets, Intangible Assets and Goodwill. </w:t>
      </w:r>
      <w:r>
        <w:rPr>
          <w:rFonts w:ascii="Arial" w:cs="Arial" w:eastAsia="Arial" w:hAnsi="Arial"/>
          <w:sz w:val="15"/>
          <w:szCs w:val="15"/>
          <w:color w:val="auto"/>
        </w:rPr>
        <w:t>We assess the impairment of long-lived assets, intangible assets and goodwill whenever</w:t>
      </w:r>
      <w:r>
        <w:rPr>
          <w:rFonts w:ascii="Arial" w:cs="Arial" w:eastAsia="Arial" w:hAnsi="Arial"/>
          <w:sz w:val="15"/>
          <w:szCs w:val="15"/>
          <w:i w:val="1"/>
          <w:iCs w:val="1"/>
          <w:color w:val="auto"/>
        </w:rPr>
        <w:t xml:space="preserve"> </w:t>
      </w:r>
      <w:r>
        <w:rPr>
          <w:rFonts w:ascii="Arial" w:cs="Arial" w:eastAsia="Arial" w:hAnsi="Arial"/>
          <w:sz w:val="15"/>
          <w:szCs w:val="15"/>
          <w:color w:val="auto"/>
        </w:rPr>
        <w:t>events or changes in circumstances indicate that the carrying value of such assets may not be recoverable. We are also required to perform annual assessments of goodwill impairment. Factors we consider important which could trigger an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 The annual impairment test required under SFAS 142 was completed and did not identify any impairment of goodwill. We will continue to perform an annual impairment review during the fourth quarter of each year, or more frequently if we believe indicators of impairment exist.</w:t>
      </w:r>
    </w:p>
    <w:p>
      <w:pPr>
        <w:spacing w:after="0" w:line="162"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is not adverse to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possible loss or possible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5" w:name="page36"/>
    <w:bookmarkEnd w:id="35"/>
    <w:p>
      <w:pPr>
        <w:ind w:right="60"/>
        <w:spacing w:after="0" w:line="268" w:lineRule="auto"/>
        <w:rPr>
          <w:sz w:val="20"/>
          <w:szCs w:val="20"/>
          <w:color w:val="auto"/>
        </w:rPr>
      </w:pPr>
      <w:r>
        <w:rPr>
          <w:rFonts w:ascii="Arial" w:cs="Arial" w:eastAsia="Arial" w:hAnsi="Arial"/>
          <w:sz w:val="18"/>
          <w:szCs w:val="18"/>
          <w:color w:val="auto"/>
        </w:rPr>
        <w:t>range of loss associated with these contingencies, then we would record the minimum estimated liability, which could materially impact our results of operations, financial position and cash flows.</w:t>
      </w:r>
    </w:p>
    <w:p>
      <w:pPr>
        <w:spacing w:after="0" w:line="186" w:lineRule="exact"/>
        <w:rPr>
          <w:sz w:val="20"/>
          <w:szCs w:val="20"/>
          <w:color w:val="auto"/>
        </w:rPr>
      </w:pPr>
    </w:p>
    <w:p>
      <w:pPr>
        <w:ind w:right="20" w:firstLine="351"/>
        <w:spacing w:after="0" w:line="256" w:lineRule="auto"/>
        <w:rPr>
          <w:sz w:val="20"/>
          <w:szCs w:val="20"/>
          <w:color w:val="auto"/>
        </w:rPr>
      </w:pPr>
      <w:r>
        <w:rPr>
          <w:rFonts w:ascii="Arial" w:cs="Arial" w:eastAsia="Arial" w:hAnsi="Arial"/>
          <w:sz w:val="18"/>
          <w:szCs w:val="18"/>
          <w:i w:val="1"/>
          <w:iCs w:val="1"/>
          <w:color w:val="auto"/>
        </w:rPr>
        <w:t xml:space="preserve">Valuation of Equity Investments. </w:t>
      </w:r>
      <w:r>
        <w:rPr>
          <w:rFonts w:ascii="Arial" w:cs="Arial" w:eastAsia="Arial" w:hAnsi="Arial"/>
          <w:sz w:val="18"/>
          <w:szCs w:val="18"/>
          <w:color w:val="auto"/>
        </w:rPr>
        <w:t>We hold minority interests in companies. We record an investment impairment charge when we believe an investment has</w:t>
      </w:r>
      <w:r>
        <w:rPr>
          <w:rFonts w:ascii="Arial" w:cs="Arial" w:eastAsia="Arial" w:hAnsi="Arial"/>
          <w:sz w:val="18"/>
          <w:szCs w:val="18"/>
          <w:i w:val="1"/>
          <w:iCs w:val="1"/>
          <w:color w:val="auto"/>
        </w:rPr>
        <w:t xml:space="preserve"> </w:t>
      </w:r>
      <w:r>
        <w:rPr>
          <w:rFonts w:ascii="Arial" w:cs="Arial" w:eastAsia="Arial" w:hAnsi="Arial"/>
          <w:sz w:val="18"/>
          <w:szCs w:val="18"/>
          <w:color w:val="auto"/>
        </w:rPr>
        <w:t>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at January 31, 2005 is $9.4 million.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44" w:lineRule="exact"/>
        <w:rPr>
          <w:sz w:val="20"/>
          <w:szCs w:val="20"/>
          <w:color w:val="auto"/>
        </w:rPr>
      </w:pPr>
    </w:p>
    <w:tbl>
      <w:tblPr>
        <w:tblLayout w:type="fixed"/>
        <w:tblInd w:w="12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260" w:type="dxa"/>
            <w:vAlign w:val="bottom"/>
          </w:tcPr>
          <w:p>
            <w:pPr>
              <w:spacing w:after="0"/>
              <w:rPr>
                <w:sz w:val="15"/>
                <w:szCs w:val="15"/>
                <w:color w:val="auto"/>
              </w:rPr>
            </w:pPr>
          </w:p>
        </w:tc>
        <w:tc>
          <w:tcPr>
            <w:tcW w:w="1920" w:type="dxa"/>
            <w:vAlign w:val="bottom"/>
            <w:gridSpan w:val="5"/>
          </w:tcPr>
          <w:p>
            <w:pPr>
              <w:ind w:left="460"/>
              <w:spacing w:after="0"/>
              <w:rPr>
                <w:sz w:val="20"/>
                <w:szCs w:val="20"/>
                <w:color w:val="auto"/>
              </w:rPr>
            </w:pPr>
            <w:r>
              <w:rPr>
                <w:rFonts w:ascii="Arial" w:cs="Arial" w:eastAsia="Arial" w:hAnsi="Arial"/>
                <w:sz w:val="14"/>
                <w:szCs w:val="14"/>
                <w:b w:val="1"/>
                <w:bCs w:val="1"/>
                <w:color w:val="auto"/>
                <w:w w:val="86"/>
              </w:rPr>
              <w:t>Years Ended January 31,</w:t>
            </w: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6260" w:type="dxa"/>
            <w:vAlign w:val="bottom"/>
          </w:tcPr>
          <w:p>
            <w:pPr>
              <w:spacing w:after="0"/>
              <w:rPr>
                <w:sz w:val="23"/>
                <w:szCs w:val="23"/>
                <w:color w:val="auto"/>
              </w:rPr>
            </w:pPr>
          </w:p>
        </w:tc>
        <w:tc>
          <w:tcPr>
            <w:tcW w:w="620" w:type="dxa"/>
            <w:vAlign w:val="bottom"/>
          </w:tcPr>
          <w:p>
            <w:pPr>
              <w:jc w:val="right"/>
              <w:ind w:right="95"/>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3"/>
                <w:szCs w:val="23"/>
                <w:color w:val="auto"/>
              </w:rPr>
            </w:pPr>
          </w:p>
        </w:tc>
        <w:tc>
          <w:tcPr>
            <w:tcW w:w="640" w:type="dxa"/>
            <w:vAlign w:val="bottom"/>
          </w:tcPr>
          <w:p>
            <w:pPr>
              <w:jc w:val="right"/>
              <w:ind w:right="94"/>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480" w:type="dxa"/>
            <w:vAlign w:val="bottom"/>
          </w:tcPr>
          <w:p>
            <w:pPr>
              <w:jc w:val="right"/>
              <w:ind w:right="94"/>
              <w:spacing w:after="0"/>
              <w:rPr>
                <w:sz w:val="20"/>
                <w:szCs w:val="20"/>
                <w:color w:val="auto"/>
              </w:rPr>
            </w:pPr>
            <w:r>
              <w:rPr>
                <w:rFonts w:ascii="Arial" w:cs="Arial" w:eastAsia="Arial" w:hAnsi="Arial"/>
                <w:sz w:val="14"/>
                <w:szCs w:val="14"/>
                <w:b w:val="1"/>
                <w:bCs w:val="1"/>
                <w:color w:val="auto"/>
                <w:w w:val="89"/>
              </w:rPr>
              <w:t>2003</w:t>
            </w:r>
          </w:p>
        </w:tc>
        <w:tc>
          <w:tcPr>
            <w:tcW w:w="2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100.0%</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100.0%</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8"/>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46.6</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620" w:type="dxa"/>
            <w:vAlign w:val="bottom"/>
          </w:tcPr>
          <w:p>
            <w:pPr>
              <w:jc w:val="right"/>
              <w:spacing w:after="0"/>
              <w:rPr>
                <w:sz w:val="20"/>
                <w:szCs w:val="20"/>
                <w:color w:val="auto"/>
              </w:rPr>
            </w:pPr>
            <w:r>
              <w:rPr>
                <w:rFonts w:ascii="Arial" w:cs="Arial" w:eastAsia="Arial" w:hAnsi="Arial"/>
                <w:sz w:val="18"/>
                <w:szCs w:val="18"/>
                <w:color w:val="auto"/>
              </w:rPr>
              <w:t>21.5</w:t>
            </w:r>
          </w:p>
        </w:tc>
        <w:tc>
          <w:tcPr>
            <w:tcW w:w="2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26.1</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28.8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620" w:type="dxa"/>
            <w:vAlign w:val="bottom"/>
          </w:tcPr>
          <w:p>
            <w:pPr>
              <w:jc w:val="right"/>
              <w:spacing w:after="0"/>
              <w:rPr>
                <w:sz w:val="20"/>
                <w:szCs w:val="20"/>
                <w:color w:val="auto"/>
              </w:rPr>
            </w:pPr>
            <w:r>
              <w:rPr>
                <w:rFonts w:ascii="Arial" w:cs="Arial" w:eastAsia="Arial" w:hAnsi="Arial"/>
                <w:sz w:val="18"/>
                <w:szCs w:val="18"/>
                <w:color w:val="auto"/>
              </w:rPr>
              <w:t>2.6</w:t>
            </w:r>
          </w:p>
        </w:tc>
        <w:tc>
          <w:tcPr>
            <w:tcW w:w="2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Amortization of stock-based compensation</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160"/>
              <w:spacing w:after="0"/>
              <w:rPr>
                <w:sz w:val="20"/>
                <w:szCs w:val="20"/>
                <w:color w:val="auto"/>
              </w:rPr>
            </w:pPr>
            <w:r>
              <w:rPr>
                <w:rFonts w:ascii="Arial" w:cs="Arial" w:eastAsia="Arial" w:hAnsi="Arial"/>
                <w:sz w:val="18"/>
                <w:szCs w:val="18"/>
                <w:color w:val="auto"/>
                <w:w w:val="97"/>
              </w:rPr>
              <w:t>Amortization and write-off of goodwill and acquired intangible assets and other</w:t>
            </w:r>
          </w:p>
        </w:tc>
        <w:tc>
          <w:tcPr>
            <w:tcW w:w="620" w:type="dxa"/>
            <w:vAlign w:val="bottom"/>
          </w:tcPr>
          <w:p>
            <w:pPr>
              <w:jc w:val="right"/>
              <w:spacing w:after="0"/>
              <w:rPr>
                <w:sz w:val="20"/>
                <w:szCs w:val="20"/>
                <w:color w:val="auto"/>
              </w:rPr>
            </w:pPr>
            <w:r>
              <w:rPr>
                <w:rFonts w:ascii="Arial" w:cs="Arial" w:eastAsia="Arial" w:hAnsi="Arial"/>
                <w:sz w:val="18"/>
                <w:szCs w:val="18"/>
                <w:color w:val="auto"/>
              </w:rPr>
              <w:t>8.4</w:t>
            </w:r>
          </w:p>
        </w:tc>
        <w:tc>
          <w:tcPr>
            <w:tcW w:w="2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9.8</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21.3</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Facilities consolidation charge</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4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260" w:type="dxa"/>
            <w:vAlign w:val="bottom"/>
          </w:tcPr>
          <w:p>
            <w:pPr>
              <w:spacing w:after="0"/>
              <w:rPr>
                <w:sz w:val="10"/>
                <w:szCs w:val="10"/>
                <w:color w:val="auto"/>
              </w:rPr>
            </w:pPr>
          </w:p>
        </w:tc>
        <w:tc>
          <w:tcPr>
            <w:tcW w:w="62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260" w:type="dxa"/>
            <w:vAlign w:val="bottom"/>
          </w:tcPr>
          <w:p>
            <w:pPr>
              <w:ind w:left="340"/>
              <w:spacing w:after="0"/>
              <w:rPr>
                <w:sz w:val="20"/>
                <w:szCs w:val="20"/>
                <w:color w:val="auto"/>
              </w:rPr>
            </w:pPr>
            <w:r>
              <w:rPr>
                <w:rFonts w:ascii="Arial" w:cs="Arial" w:eastAsia="Arial" w:hAnsi="Arial"/>
                <w:sz w:val="18"/>
                <w:szCs w:val="18"/>
                <w:color w:val="auto"/>
              </w:rPr>
              <w:t>Total operating costs and expenses</w:t>
            </w:r>
          </w:p>
        </w:tc>
        <w:tc>
          <w:tcPr>
            <w:tcW w:w="620" w:type="dxa"/>
            <w:vAlign w:val="bottom"/>
          </w:tcPr>
          <w:p>
            <w:pPr>
              <w:jc w:val="right"/>
              <w:spacing w:after="0"/>
              <w:rPr>
                <w:sz w:val="20"/>
                <w:szCs w:val="20"/>
                <w:color w:val="auto"/>
              </w:rPr>
            </w:pPr>
            <w:r>
              <w:rPr>
                <w:rFonts w:ascii="Arial" w:cs="Arial" w:eastAsia="Arial" w:hAnsi="Arial"/>
                <w:sz w:val="18"/>
                <w:szCs w:val="18"/>
                <w:color w:val="auto"/>
              </w:rPr>
              <w:t>86.7</w:t>
            </w:r>
          </w:p>
        </w:tc>
        <w:tc>
          <w:tcPr>
            <w:tcW w:w="2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93.0</w:t>
            </w: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114.0</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260" w:type="dxa"/>
            <w:vAlign w:val="bottom"/>
          </w:tcPr>
          <w:p>
            <w:pPr>
              <w:spacing w:after="0"/>
              <w:rPr>
                <w:sz w:val="10"/>
                <w:szCs w:val="10"/>
                <w:color w:val="auto"/>
              </w:rPr>
            </w:pPr>
          </w:p>
        </w:tc>
        <w:tc>
          <w:tcPr>
            <w:tcW w:w="62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20" w:type="dxa"/>
            <w:vAlign w:val="bottom"/>
          </w:tcPr>
          <w:p>
            <w:pPr>
              <w:jc w:val="right"/>
              <w:spacing w:after="0"/>
              <w:rPr>
                <w:sz w:val="20"/>
                <w:szCs w:val="20"/>
                <w:color w:val="auto"/>
              </w:rPr>
            </w:pPr>
            <w:r>
              <w:rPr>
                <w:rFonts w:ascii="Arial" w:cs="Arial" w:eastAsia="Arial" w:hAnsi="Arial"/>
                <w:sz w:val="18"/>
                <w:szCs w:val="18"/>
                <w:color w:val="auto"/>
              </w:rPr>
              <w:t>0.6</w:t>
            </w:r>
          </w:p>
        </w:tc>
        <w:tc>
          <w:tcPr>
            <w:tcW w:w="24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0.8</w:t>
            </w: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1.4</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620" w:type="dxa"/>
            <w:vAlign w:val="bottom"/>
          </w:tcPr>
          <w:p>
            <w:pPr>
              <w:jc w:val="right"/>
              <w:spacing w:after="0"/>
              <w:rPr>
                <w:sz w:val="20"/>
                <w:szCs w:val="20"/>
                <w:color w:val="auto"/>
              </w:rPr>
            </w:pPr>
            <w:r>
              <w:rPr>
                <w:rFonts w:ascii="Arial" w:cs="Arial" w:eastAsia="Arial" w:hAnsi="Arial"/>
                <w:sz w:val="18"/>
                <w:szCs w:val="18"/>
                <w:color w:val="auto"/>
              </w:rPr>
              <w:t>2.3</w:t>
            </w:r>
          </w:p>
        </w:tc>
        <w:tc>
          <w:tcPr>
            <w:tcW w:w="24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2.2</w:t>
            </w: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1.7</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11.6%</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5.6%</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(14.3)%</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6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6297930</wp:posOffset>
            </wp:positionH>
            <wp:positionV relativeFrom="paragraph">
              <wp:posOffset>-3110230</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-3110230</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5165725</wp:posOffset>
            </wp:positionH>
            <wp:positionV relativeFrom="paragraph">
              <wp:posOffset>-2861310</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-2861310</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-2861310</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-2861310</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-2861310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-2861310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5165725</wp:posOffset>
            </wp:positionH>
            <wp:positionV relativeFrom="paragraph">
              <wp:posOffset>-1471930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-1471930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-1471930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-1471930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-1471930</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-1471930</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5165725</wp:posOffset>
            </wp:positionH>
            <wp:positionV relativeFrom="paragraph">
              <wp:posOffset>-1180465</wp:posOffset>
            </wp:positionV>
            <wp:extent cx="127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-1180465</wp:posOffset>
            </wp:positionV>
            <wp:extent cx="127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-1180465</wp:posOffset>
            </wp:positionV>
            <wp:extent cx="127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-1180465</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-1180465</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-1180465</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5165725</wp:posOffset>
            </wp:positionH>
            <wp:positionV relativeFrom="paragraph">
              <wp:posOffset>-751840</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-751840</wp:posOffset>
            </wp:positionV>
            <wp:extent cx="1270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-751840</wp:posOffset>
            </wp:positionV>
            <wp:extent cx="1270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-751840</wp:posOffset>
            </wp:positionV>
            <wp:extent cx="1270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-751840</wp:posOffset>
            </wp:positionV>
            <wp:extent cx="127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-751840</wp:posOffset>
            </wp:positionV>
            <wp:extent cx="127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5165725</wp:posOffset>
            </wp:positionH>
            <wp:positionV relativeFrom="paragraph">
              <wp:posOffset>-323215</wp:posOffset>
            </wp:positionV>
            <wp:extent cx="1270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4779645</wp:posOffset>
            </wp:positionH>
            <wp:positionV relativeFrom="paragraph">
              <wp:posOffset>-323215</wp:posOffset>
            </wp:positionV>
            <wp:extent cx="127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-323215</wp:posOffset>
            </wp:positionV>
            <wp:extent cx="1270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-323215</wp:posOffset>
            </wp:positionV>
            <wp:extent cx="1270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-323215</wp:posOffset>
            </wp:positionV>
            <wp:extent cx="1270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Years Ended January 31, 2005 and 2004</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Net Revenue</w:t>
      </w:r>
    </w:p>
    <w:p>
      <w:pPr>
        <w:spacing w:after="0" w:line="221"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2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320" w:type="dxa"/>
            <w:vAlign w:val="bottom"/>
            <w:gridSpan w:val="4"/>
          </w:tcPr>
          <w:p>
            <w:pPr>
              <w:jc w:val="right"/>
              <w:ind w:right="522"/>
              <w:spacing w:after="0"/>
              <w:rPr>
                <w:sz w:val="20"/>
                <w:szCs w:val="20"/>
                <w:color w:val="auto"/>
              </w:rPr>
            </w:pPr>
            <w:r>
              <w:rPr>
                <w:rFonts w:ascii="Arial" w:cs="Arial" w:eastAsia="Arial" w:hAnsi="Arial"/>
                <w:sz w:val="14"/>
                <w:szCs w:val="14"/>
                <w:b w:val="1"/>
                <w:bCs w:val="1"/>
                <w:color w:val="auto"/>
              </w:rPr>
              <w:t>Years Ended January 31,</w:t>
            </w:r>
          </w:p>
        </w:tc>
        <w:tc>
          <w:tcPr>
            <w:tcW w:w="1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22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vMerge w:val="restart"/>
          </w:tcPr>
          <w:p>
            <w:pPr>
              <w:spacing w:after="0"/>
              <w:rPr>
                <w:sz w:val="9"/>
                <w:szCs w:val="9"/>
                <w:color w:val="auto"/>
              </w:rPr>
            </w:pPr>
          </w:p>
        </w:tc>
        <w:tc>
          <w:tcPr>
            <w:tcW w:w="12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060" w:type="dxa"/>
            <w:vAlign w:val="bottom"/>
          </w:tcPr>
          <w:p>
            <w:pPr>
              <w:spacing w:after="0"/>
              <w:rPr>
                <w:sz w:val="8"/>
                <w:szCs w:val="8"/>
                <w:color w:val="auto"/>
              </w:rPr>
            </w:pPr>
          </w:p>
        </w:tc>
        <w:tc>
          <w:tcPr>
            <w:tcW w:w="2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80" w:type="dxa"/>
            <w:vAlign w:val="bottom"/>
          </w:tcPr>
          <w:p>
            <w:pPr>
              <w:spacing w:after="0"/>
              <w:rPr>
                <w:sz w:val="8"/>
                <w:szCs w:val="8"/>
                <w:color w:val="auto"/>
              </w:rPr>
            </w:pPr>
          </w:p>
        </w:tc>
        <w:tc>
          <w:tcPr>
            <w:tcW w:w="180" w:type="dxa"/>
            <w:vAlign w:val="bottom"/>
            <w:vMerge w:val="continue"/>
          </w:tcPr>
          <w:p>
            <w:pPr>
              <w:spacing w:after="0"/>
              <w:rPr>
                <w:sz w:val="8"/>
                <w:szCs w:val="8"/>
                <w:color w:val="auto"/>
              </w:rPr>
            </w:pPr>
          </w:p>
        </w:tc>
        <w:tc>
          <w:tcPr>
            <w:tcW w:w="12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2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00" w:type="dxa"/>
            <w:vAlign w:val="bottom"/>
          </w:tcPr>
          <w:p>
            <w:pPr>
              <w:jc w:val="right"/>
              <w:ind w:right="446"/>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80" w:type="dxa"/>
            <w:vAlign w:val="bottom"/>
          </w:tcPr>
          <w:p>
            <w:pPr>
              <w:jc w:val="right"/>
              <w:ind w:right="362"/>
              <w:spacing w:after="0"/>
              <w:rPr>
                <w:sz w:val="20"/>
                <w:szCs w:val="20"/>
                <w:color w:val="auto"/>
              </w:rPr>
            </w:pPr>
            <w:r>
              <w:rPr>
                <w:rFonts w:ascii="Arial" w:cs="Arial" w:eastAsia="Arial" w:hAnsi="Arial"/>
                <w:sz w:val="14"/>
                <w:szCs w:val="14"/>
                <w:b w:val="1"/>
                <w:bCs w:val="1"/>
                <w:color w:val="auto"/>
              </w:rPr>
              <w:t>2004</w:t>
            </w:r>
          </w:p>
        </w:tc>
        <w:tc>
          <w:tcPr>
            <w:tcW w:w="180" w:type="dxa"/>
            <w:vAlign w:val="bottom"/>
          </w:tcPr>
          <w:p>
            <w:pPr>
              <w:spacing w:after="0"/>
              <w:rPr>
                <w:sz w:val="15"/>
                <w:szCs w:val="15"/>
                <w:color w:val="auto"/>
              </w:rPr>
            </w:pP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22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060" w:type="dxa"/>
            <w:vAlign w:val="bottom"/>
          </w:tcPr>
          <w:p>
            <w:pPr>
              <w:spacing w:after="0"/>
              <w:rPr>
                <w:sz w:val="9"/>
                <w:szCs w:val="9"/>
                <w:color w:val="auto"/>
              </w:rPr>
            </w:pPr>
          </w:p>
        </w:tc>
        <w:tc>
          <w:tcPr>
            <w:tcW w:w="2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4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819,762</w:t>
            </w:r>
          </w:p>
        </w:tc>
        <w:tc>
          <w:tcPr>
            <w:tcW w:w="14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49.4%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5688965</wp:posOffset>
            </wp:positionH>
            <wp:positionV relativeFrom="paragraph">
              <wp:posOffset>-466725</wp:posOffset>
            </wp:positionV>
            <wp:extent cx="1270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-466725</wp:posOffset>
            </wp:positionV>
            <wp:extent cx="1270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-217805</wp:posOffset>
            </wp:positionV>
            <wp:extent cx="1270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-217805</wp:posOffset>
            </wp:positionV>
            <wp:extent cx="1270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-217805</wp:posOffset>
            </wp:positionV>
            <wp:extent cx="1270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-217805</wp:posOffset>
            </wp:positionV>
            <wp:extent cx="12700"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-217805</wp:posOffset>
            </wp:positionV>
            <wp:extent cx="1270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-217805</wp:posOffset>
            </wp:positionV>
            <wp:extent cx="1270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fiscal 2005 compared to fiscal 2004 reflects a significant increase in volume shipments of our storage SOCs which increased $288.0 million, Gigabit Ethernet physical layer transceivers which increased $38.6 million and wireless products which increased $34.0 million. The increases in net revenue are primarily due to increased acceptance of our storage SOC products by hard disk drive manufacturers, increased market share gains in the PC desktop segment with our read channel and storage SOC products, the continued adoption of our Gigabit Ethernet products as a replacement for Fast Ethernet products and</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6" w:name="page37"/>
    <w:bookmarkEnd w:id="36"/>
    <w:p>
      <w:pPr>
        <w:ind w:right="100"/>
        <w:spacing w:after="0" w:line="256" w:lineRule="auto"/>
        <w:rPr>
          <w:sz w:val="20"/>
          <w:szCs w:val="20"/>
          <w:color w:val="auto"/>
        </w:rPr>
      </w:pPr>
      <w:r>
        <w:rPr>
          <w:rFonts w:ascii="Arial" w:cs="Arial" w:eastAsia="Arial" w:hAnsi="Arial"/>
          <w:sz w:val="18"/>
          <w:szCs w:val="18"/>
          <w:color w:val="auto"/>
        </w:rPr>
        <w:t>volume shipments of our wireless products from new design wins. Revenue from storage products was $763.0 million in fiscal 2005 compared to $447.7 million in fiscal 2004. Revenue from communication products was $461.6 million in fiscal 2005 compared to $372.1 million in fiscal 2004. Net revenue derived from development contracts increased in fiscal 2005, but represented less than 10% of net revenue for each year and decreased as a percentage of net revenue in fiscal 2005 compared to fiscal 2004.</w:t>
      </w:r>
    </w:p>
    <w:p>
      <w:pPr>
        <w:spacing w:after="0" w:line="197"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We expect that revenue for fiscal 2006 will increase from the level of revenue we reported in fiscal 2005 due to increases in shipments and volume production of our storage SOCs into the PC desktop segment and increased adoption of our storage products in emerging consumer storage electronics. Also, we expect additional growth in fiscal 2006 compared to fiscal 2005 due to increases in shipments of our WLAN products from new design wins and our Gigabit Ethernet products for switching equipment.</w:t>
      </w:r>
    </w:p>
    <w:p>
      <w:pPr>
        <w:spacing w:after="0" w:line="197" w:lineRule="exact"/>
        <w:rPr>
          <w:sz w:val="20"/>
          <w:szCs w:val="20"/>
          <w:color w:val="auto"/>
        </w:rPr>
      </w:pPr>
    </w:p>
    <w:p>
      <w:pPr>
        <w:ind w:right="200" w:firstLine="341"/>
        <w:spacing w:after="0" w:line="256" w:lineRule="auto"/>
        <w:rPr>
          <w:sz w:val="20"/>
          <w:szCs w:val="20"/>
          <w:color w:val="auto"/>
        </w:rPr>
      </w:pPr>
      <w:r>
        <w:rPr>
          <w:rFonts w:ascii="Arial" w:cs="Arial" w:eastAsia="Arial" w:hAnsi="Arial"/>
          <w:sz w:val="18"/>
          <w:szCs w:val="18"/>
          <w:color w:val="auto"/>
        </w:rPr>
        <w:t>A portion of our revenue is concentrated with a relatively small number of customers. For fiscal 2005, three customers each represented more than 10% of our net revenue for a combined total of 42% of our net revenue. For fiscal 2004, two customers each represented more than 10% of our net revenue for a combined total of 32% of our net revenue. In addition, one distributor accounted for approximately 13% and 11% of our net revenue in fiscal 2005 and 2004, respectively.</w:t>
      </w:r>
    </w:p>
    <w:p>
      <w:pPr>
        <w:spacing w:after="0" w:line="197" w:lineRule="exact"/>
        <w:rPr>
          <w:sz w:val="20"/>
          <w:szCs w:val="20"/>
          <w:color w:val="auto"/>
        </w:rPr>
      </w:pPr>
    </w:p>
    <w:p>
      <w:pPr>
        <w:ind w:right="100" w:firstLine="351"/>
        <w:spacing w:after="0" w:line="306"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93% and 90% of our net revenue in fiscal 2005 and 2004, respectively. The rest of our sales are to customers located in the United States and other geographic regions.</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Cost of Goods Sold</w:t>
      </w:r>
    </w:p>
    <w:p>
      <w:pPr>
        <w:spacing w:after="0" w:line="221" w:lineRule="exact"/>
        <w:rPr>
          <w:sz w:val="20"/>
          <w:szCs w:val="20"/>
          <w:color w:val="auto"/>
        </w:rPr>
      </w:pPr>
    </w:p>
    <w:tbl>
      <w:tblPr>
        <w:tblLayout w:type="fixed"/>
        <w:tblInd w:w="12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9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14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140" w:type="dxa"/>
            <w:vAlign w:val="bottom"/>
          </w:tcPr>
          <w:p>
            <w:pPr>
              <w:spacing w:after="0"/>
              <w:rPr>
                <w:sz w:val="8"/>
                <w:szCs w:val="8"/>
                <w:color w:val="auto"/>
              </w:rPr>
            </w:pPr>
          </w:p>
        </w:tc>
        <w:tc>
          <w:tcPr>
            <w:tcW w:w="1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jc w:val="right"/>
              <w:ind w:right="360"/>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jc w:val="right"/>
              <w:ind w:right="377"/>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1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14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14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581,757</w:t>
            </w: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382,206</w:t>
            </w:r>
          </w:p>
        </w:tc>
        <w:tc>
          <w:tcPr>
            <w:tcW w:w="2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40" w:type="dxa"/>
            <w:vAlign w:val="bottom"/>
          </w:tcPr>
          <w:p>
            <w:pPr>
              <w:spacing w:after="0"/>
              <w:rPr>
                <w:sz w:val="20"/>
                <w:szCs w:val="20"/>
                <w:color w:val="auto"/>
              </w:rPr>
            </w:pPr>
            <w:r>
              <w:rPr>
                <w:rFonts w:ascii="Arial" w:cs="Arial" w:eastAsia="Arial" w:hAnsi="Arial"/>
                <w:sz w:val="18"/>
                <w:szCs w:val="18"/>
                <w:color w:val="auto"/>
              </w:rPr>
              <w:t>% of net revenue</w:t>
            </w:r>
          </w:p>
        </w:tc>
        <w:tc>
          <w:tcPr>
            <w:tcW w:w="1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47.5%</w:t>
            </w:r>
          </w:p>
        </w:tc>
        <w:tc>
          <w:tcPr>
            <w:tcW w:w="26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46.6%</w:t>
            </w: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8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52.5%</w:t>
            </w:r>
          </w:p>
        </w:tc>
        <w:tc>
          <w:tcPr>
            <w:tcW w:w="2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53.4%</w:t>
            </w: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5586095</wp:posOffset>
            </wp:positionH>
            <wp:positionV relativeFrom="paragraph">
              <wp:posOffset>-741045</wp:posOffset>
            </wp:positionV>
            <wp:extent cx="1270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-741045</wp:posOffset>
            </wp:positionV>
            <wp:extent cx="127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6383655</wp:posOffset>
            </wp:positionH>
            <wp:positionV relativeFrom="paragraph">
              <wp:posOffset>-492760</wp:posOffset>
            </wp:positionV>
            <wp:extent cx="1270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-492760</wp:posOffset>
            </wp:positionV>
            <wp:extent cx="1270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-492760</wp:posOffset>
            </wp:positionV>
            <wp:extent cx="1270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-492760</wp:posOffset>
            </wp:positionV>
            <wp:extent cx="1270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5586095</wp:posOffset>
            </wp:positionH>
            <wp:positionV relativeFrom="paragraph">
              <wp:posOffset>-492760</wp:posOffset>
            </wp:positionV>
            <wp:extent cx="1270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-492760</wp:posOffset>
            </wp:positionV>
            <wp:extent cx="1270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right="200" w:firstLine="351"/>
        <w:spacing w:after="0" w:line="302" w:lineRule="auto"/>
        <w:rPr>
          <w:sz w:val="20"/>
          <w:szCs w:val="20"/>
          <w:color w:val="auto"/>
        </w:rPr>
      </w:pPr>
      <w:r>
        <w:rPr>
          <w:rFonts w:ascii="Arial" w:cs="Arial" w:eastAsia="Arial" w:hAnsi="Arial"/>
          <w:sz w:val="15"/>
          <w:szCs w:val="15"/>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decrease in gross margin in fiscal 2005 compared to fiscal 2004 was primarily due to higher period costs related to an increase in inventory excess and obsolescence charges of $11.9 million for older, slow-moving products as well as increased royalties of</w:t>
      </w:r>
    </w:p>
    <w:p>
      <w:pPr>
        <w:spacing w:after="0" w:line="3" w:lineRule="exact"/>
        <w:rPr>
          <w:sz w:val="20"/>
          <w:szCs w:val="20"/>
          <w:color w:val="auto"/>
        </w:rPr>
      </w:pPr>
    </w:p>
    <w:p>
      <w:pPr>
        <w:spacing w:after="0"/>
        <w:rPr>
          <w:sz w:val="20"/>
          <w:szCs w:val="20"/>
          <w:color w:val="auto"/>
        </w:rPr>
      </w:pPr>
      <w:r>
        <w:rPr>
          <w:rFonts w:ascii="Arial" w:cs="Arial" w:eastAsia="Arial" w:hAnsi="Arial"/>
          <w:sz w:val="16"/>
          <w:szCs w:val="16"/>
          <w:color w:val="auto"/>
        </w:rPr>
        <w:t>$6.4 million, partially offset by lower product costs. The primary factors that resulted in increased inventory excess and obsolescence charges in fiscal 2005 were</w:t>
      </w:r>
    </w:p>
    <w:p>
      <w:pPr>
        <w:spacing w:after="0" w:line="32" w:lineRule="exact"/>
        <w:rPr>
          <w:sz w:val="20"/>
          <w:szCs w:val="20"/>
          <w:color w:val="auto"/>
        </w:rPr>
      </w:pPr>
    </w:p>
    <w:p>
      <w:pPr>
        <w:ind w:firstLine="8"/>
        <w:spacing w:after="0" w:line="287" w:lineRule="auto"/>
        <w:tabs>
          <w:tab w:leader="none" w:pos="21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an increase in mature products for which there was lower forecasted demand, and (ii) the build up of inventory levels in response to longer lead times, capacity constraints at our foundries and increased demand from customers. The decrease in product costs as a percentage of revenue in fiscal 2005 compared to fiscal 2004 was due primarily to a product mix change, which included a higher mix of revenue from our storage SOCs and Gigabit Ethernet PHY transceivers relative to other products. The increase in royalties in fiscal 2005 compared to fiscal 2004 was due to higher sales of products that integrated licensed technology. The costs associated with contracted development work are included in research and development expense. Our gross margins are primarily driven by product mix; however, our margins may fluctuate in future periods due to, among other things, changes in the mix of products sold, the timing of production ramps of new products, increased pricing pressures from our customers and competitors particularly in the consumer markets we are targeting, charges for obsolete or potentially excess inventory, changes in the costs charged by our manufacturing and test subcontractors and changes in the amount of development revenue recognized.</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37" w:name="page38"/>
    <w:bookmarkEnd w:id="37"/>
    <w:p>
      <w:pPr>
        <w:ind w:left="540"/>
        <w:spacing w:after="0"/>
        <w:rPr>
          <w:sz w:val="20"/>
          <w:szCs w:val="20"/>
          <w:color w:val="auto"/>
        </w:rPr>
      </w:pPr>
      <w:r>
        <w:rPr>
          <w:rFonts w:ascii="Arial" w:cs="Arial" w:eastAsia="Arial" w:hAnsi="Arial"/>
          <w:sz w:val="18"/>
          <w:szCs w:val="18"/>
          <w:i w:val="1"/>
          <w:iCs w:val="1"/>
          <w:color w:val="auto"/>
        </w:rPr>
        <w:t>Research and Development</w:t>
      </w:r>
    </w:p>
    <w:p>
      <w:pPr>
        <w:spacing w:after="0" w:line="221" w:lineRule="exact"/>
        <w:rPr>
          <w:sz w:val="20"/>
          <w:szCs w:val="20"/>
          <w:color w:val="auto"/>
        </w:rPr>
      </w:pPr>
    </w:p>
    <w:tbl>
      <w:tblPr>
        <w:tblLayout w:type="fixed"/>
        <w:tblInd w:w="12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2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Years Ended January 31,</w:t>
            </w:r>
          </w:p>
        </w:tc>
        <w:tc>
          <w:tcPr>
            <w:tcW w:w="9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20" w:type="dxa"/>
            <w:vAlign w:val="bottom"/>
          </w:tcPr>
          <w:p>
            <w:pPr>
              <w:spacing w:after="0"/>
              <w:rPr>
                <w:sz w:val="9"/>
                <w:szCs w:val="9"/>
                <w:color w:val="auto"/>
              </w:rPr>
            </w:pPr>
          </w:p>
        </w:tc>
        <w:tc>
          <w:tcPr>
            <w:tcW w:w="15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420" w:type="dxa"/>
            <w:vAlign w:val="bottom"/>
          </w:tcPr>
          <w:p>
            <w:pPr>
              <w:spacing w:after="0"/>
              <w:rPr>
                <w:sz w:val="8"/>
                <w:szCs w:val="8"/>
                <w:color w:val="auto"/>
              </w:rPr>
            </w:pPr>
          </w:p>
        </w:tc>
        <w:tc>
          <w:tcPr>
            <w:tcW w:w="1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2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jc w:val="right"/>
              <w:ind w:right="362"/>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jc w:val="right"/>
              <w:ind w:right="379"/>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1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20" w:type="dxa"/>
            <w:vAlign w:val="bottom"/>
          </w:tcPr>
          <w:p>
            <w:pPr>
              <w:spacing w:after="0"/>
              <w:rPr>
                <w:sz w:val="9"/>
                <w:szCs w:val="9"/>
                <w:color w:val="auto"/>
              </w:rPr>
            </w:pPr>
          </w:p>
        </w:tc>
        <w:tc>
          <w:tcPr>
            <w:tcW w:w="15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20" w:type="dxa"/>
            <w:vAlign w:val="bottom"/>
          </w:tcPr>
          <w:p>
            <w:pPr>
              <w:spacing w:after="0"/>
              <w:rPr>
                <w:sz w:val="9"/>
                <w:szCs w:val="9"/>
                <w:color w:val="auto"/>
              </w:rPr>
            </w:pPr>
          </w:p>
        </w:tc>
        <w:tc>
          <w:tcPr>
            <w:tcW w:w="15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263,261</w:t>
            </w: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213,740</w:t>
            </w:r>
          </w:p>
        </w:tc>
        <w:tc>
          <w:tcPr>
            <w:tcW w:w="2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20" w:type="dxa"/>
            <w:vAlign w:val="bottom"/>
          </w:tcPr>
          <w:p>
            <w:pPr>
              <w:spacing w:after="0"/>
              <w:rPr>
                <w:sz w:val="20"/>
                <w:szCs w:val="20"/>
                <w:color w:val="auto"/>
              </w:rPr>
            </w:pPr>
            <w:r>
              <w:rPr>
                <w:rFonts w:ascii="Arial" w:cs="Arial" w:eastAsia="Arial" w:hAnsi="Arial"/>
                <w:sz w:val="18"/>
                <w:szCs w:val="18"/>
                <w:color w:val="auto"/>
              </w:rPr>
              <w:t>% of net revenue</w:t>
            </w:r>
          </w:p>
        </w:tc>
        <w:tc>
          <w:tcPr>
            <w:tcW w:w="1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21.5%</w:t>
            </w:r>
          </w:p>
        </w:tc>
        <w:tc>
          <w:tcPr>
            <w:tcW w:w="260" w:type="dxa"/>
            <w:vAlign w:val="bottom"/>
          </w:tcPr>
          <w:p>
            <w:pPr>
              <w:spacing w:after="0"/>
              <w:rPr>
                <w:sz w:val="19"/>
                <w:szCs w:val="19"/>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26.1%</w:t>
            </w:r>
          </w:p>
        </w:tc>
        <w:tc>
          <w:tcPr>
            <w:tcW w:w="9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5586095</wp:posOffset>
            </wp:positionH>
            <wp:positionV relativeFrom="paragraph">
              <wp:posOffset>-607695</wp:posOffset>
            </wp:positionV>
            <wp:extent cx="1270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-607695</wp:posOffset>
            </wp:positionV>
            <wp:extent cx="1270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6383655</wp:posOffset>
            </wp:positionH>
            <wp:positionV relativeFrom="paragraph">
              <wp:posOffset>-359410</wp:posOffset>
            </wp:positionV>
            <wp:extent cx="1270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-359410</wp:posOffset>
            </wp:positionV>
            <wp:extent cx="12700"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-359410</wp:posOffset>
            </wp:positionV>
            <wp:extent cx="12700" cy="88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5586095</wp:posOffset>
            </wp:positionH>
            <wp:positionV relativeFrom="paragraph">
              <wp:posOffset>-359410</wp:posOffset>
            </wp:positionV>
            <wp:extent cx="1270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-359410</wp:posOffset>
            </wp:positionV>
            <wp:extent cx="1270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fiscal 2005 compared to fiscal 2004 was primarily due to the net hiring of 88 additional development personnel and a full year's impact of personnel related to our acquisitions of RADLAN in June 2003 and Asica in November 2003, which together resulted in an increase in salary and related costs of $29.0 million. Included in the increase in salary and related costs for fiscal 2005 is approximately $1.0 million of compensation expense resulting from the accelerated vesting of stock options previously granted to an employee. Additionally, we incurred increased costs of $2.2 million for prototype and related product tape-out costs for new product initiatives, increased costs of $1.2 million for outside services to assist in new product initiatives, increased cost of $2.0 million for patent filing fees to protect newly developed intellectual property, increased depreciation and amortization expense of $6.9 million arising from purchases of property, equipment and technology licenses and other allocated expenses of $5.9 million related to our expanding operations.</w:t>
      </w:r>
    </w:p>
    <w:p>
      <w:pPr>
        <w:spacing w:after="0" w:line="174" w:lineRule="exact"/>
        <w:rPr>
          <w:sz w:val="20"/>
          <w:szCs w:val="20"/>
          <w:color w:val="auto"/>
        </w:rPr>
      </w:pPr>
    </w:p>
    <w:p>
      <w:pPr>
        <w:ind w:right="140" w:firstLine="348"/>
        <w:spacing w:after="0" w:line="259"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Selling and Marketing</w:t>
      </w:r>
    </w:p>
    <w:p>
      <w:pPr>
        <w:spacing w:after="0" w:line="221"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6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w w:val="98"/>
              </w:rPr>
              <w:t>Years Ended January 31,</w:t>
            </w:r>
          </w:p>
        </w:tc>
        <w:tc>
          <w:tcPr>
            <w:tcW w:w="9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300" w:type="dxa"/>
            <w:vAlign w:val="bottom"/>
          </w:tcPr>
          <w:p>
            <w:pPr>
              <w:spacing w:after="0"/>
              <w:rPr>
                <w:sz w:val="8"/>
                <w:szCs w:val="8"/>
                <w:color w:val="auto"/>
              </w:rPr>
            </w:pPr>
          </w:p>
        </w:tc>
        <w:tc>
          <w:tcPr>
            <w:tcW w:w="17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302"/>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299"/>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1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30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76,570</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62,350</w:t>
            </w:r>
          </w:p>
        </w:tc>
        <w:tc>
          <w:tcPr>
            <w:tcW w:w="2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300" w:type="dxa"/>
            <w:vAlign w:val="bottom"/>
          </w:tcPr>
          <w:p>
            <w:pPr>
              <w:spacing w:after="0"/>
              <w:rPr>
                <w:sz w:val="20"/>
                <w:szCs w:val="20"/>
                <w:color w:val="auto"/>
              </w:rPr>
            </w:pPr>
            <w:r>
              <w:rPr>
                <w:rFonts w:ascii="Arial" w:cs="Arial" w:eastAsia="Arial" w:hAnsi="Arial"/>
                <w:sz w:val="18"/>
                <w:szCs w:val="18"/>
                <w:color w:val="auto"/>
              </w:rPr>
              <w:t>% of net revenue</w:t>
            </w:r>
          </w:p>
        </w:tc>
        <w:tc>
          <w:tcPr>
            <w:tcW w:w="17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6.2%</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7.6%</w:t>
            </w:r>
          </w:p>
        </w:tc>
        <w:tc>
          <w:tcPr>
            <w:tcW w:w="9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5542915</wp:posOffset>
            </wp:positionH>
            <wp:positionV relativeFrom="paragraph">
              <wp:posOffset>-607695</wp:posOffset>
            </wp:positionV>
            <wp:extent cx="1270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4067810</wp:posOffset>
            </wp:positionH>
            <wp:positionV relativeFrom="paragraph">
              <wp:posOffset>-607695</wp:posOffset>
            </wp:positionV>
            <wp:extent cx="1270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6315075</wp:posOffset>
            </wp:positionH>
            <wp:positionV relativeFrom="paragraph">
              <wp:posOffset>-359410</wp:posOffset>
            </wp:positionV>
            <wp:extent cx="1270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-359410</wp:posOffset>
            </wp:positionV>
            <wp:extent cx="1270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-359410</wp:posOffset>
            </wp:positionV>
            <wp:extent cx="1270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4067810</wp:posOffset>
            </wp:positionH>
            <wp:positionV relativeFrom="paragraph">
              <wp:posOffset>-359410</wp:posOffset>
            </wp:positionV>
            <wp:extent cx="1270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-359410</wp:posOffset>
            </wp:positionV>
            <wp:extent cx="1270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20" w:firstLine="351"/>
        <w:spacing w:after="0" w:line="289"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fiscal 2005 compared to fiscal 2004 was primarily due to the net hiring of 63 additional sales and marketing personnel, which all resulted in an increase in salary and related costs of $8.8 million. Additionally, we incurred higher commission costs of $1.7 million due primarily to the increase in sales as well as other costs of $2.5 million related to expanding our sales and marketing activities as we broaden our customer and product base and increased facility and other allocated expenses of $1.4 million related to our expanding operations. We expect that selling and marketing expense will increase in absolute dollars in future periods as we hire additional sales and marketing personnel and expand our sales and marketing efforts into emerging product markets such as power management and consumer applications for our WLAN and storage products.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8" w:name="page39"/>
    <w:bookmarkEnd w:id="38"/>
    <w:p>
      <w:pPr>
        <w:ind w:left="540"/>
        <w:spacing w:after="0"/>
        <w:rPr>
          <w:sz w:val="20"/>
          <w:szCs w:val="20"/>
          <w:color w:val="auto"/>
        </w:rPr>
      </w:pPr>
      <w:r>
        <w:rPr>
          <w:rFonts w:ascii="Arial" w:cs="Arial" w:eastAsia="Arial" w:hAnsi="Arial"/>
          <w:sz w:val="18"/>
          <w:szCs w:val="18"/>
          <w:i w:val="1"/>
          <w:iCs w:val="1"/>
          <w:color w:val="auto"/>
        </w:rPr>
        <w:t>General and Administrative</w:t>
      </w:r>
    </w:p>
    <w:p>
      <w:pPr>
        <w:spacing w:after="0" w:line="221"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6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w w:val="98"/>
              </w:rPr>
              <w:t>Years Ended January 31,</w:t>
            </w:r>
          </w:p>
        </w:tc>
        <w:tc>
          <w:tcPr>
            <w:tcW w:w="9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480" w:type="dxa"/>
            <w:vAlign w:val="bottom"/>
          </w:tcPr>
          <w:p>
            <w:pPr>
              <w:spacing w:after="0"/>
              <w:rPr>
                <w:sz w:val="8"/>
                <w:szCs w:val="8"/>
                <w:color w:val="auto"/>
              </w:rPr>
            </w:pPr>
          </w:p>
        </w:tc>
        <w:tc>
          <w:tcPr>
            <w:tcW w:w="1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302"/>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299"/>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1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32,220</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19,004</w:t>
            </w:r>
          </w:p>
        </w:tc>
        <w:tc>
          <w:tcPr>
            <w:tcW w:w="2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 of net revenue</w:t>
            </w:r>
          </w:p>
        </w:tc>
        <w:tc>
          <w:tcPr>
            <w:tcW w:w="15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2.6%</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2.3%</w:t>
            </w:r>
          </w:p>
        </w:tc>
        <w:tc>
          <w:tcPr>
            <w:tcW w:w="9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5542915</wp:posOffset>
            </wp:positionH>
            <wp:positionV relativeFrom="paragraph">
              <wp:posOffset>-607695</wp:posOffset>
            </wp:positionV>
            <wp:extent cx="1270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4067810</wp:posOffset>
            </wp:positionH>
            <wp:positionV relativeFrom="paragraph">
              <wp:posOffset>-607695</wp:posOffset>
            </wp:positionV>
            <wp:extent cx="1270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6315075</wp:posOffset>
            </wp:positionH>
            <wp:positionV relativeFrom="paragraph">
              <wp:posOffset>-359410</wp:posOffset>
            </wp:positionV>
            <wp:extent cx="1270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-359410</wp:posOffset>
            </wp:positionV>
            <wp:extent cx="1270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-359410</wp:posOffset>
            </wp:positionV>
            <wp:extent cx="1270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4067810</wp:posOffset>
            </wp:positionH>
            <wp:positionV relativeFrom="paragraph">
              <wp:posOffset>-359410</wp:posOffset>
            </wp:positionV>
            <wp:extent cx="1270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-359410</wp:posOffset>
            </wp:positionV>
            <wp:extent cx="1270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51"/>
        <w:spacing w:after="0" w:line="289"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fees for professional services and allocated occupancy costs for these operations. The increase in general and administrative expense in absolute dollars in fiscal 2005 compared to fiscal 2004 was primarily due to the net hiring of 32 additional administrative personnel, all of which resulted in an increase in salary and related costs of $4.7 million. Our expenses also increased due to higher professional fees of $3.8 million due to attorney fees associated with our on-going legal proceedings and $3.4 million due to higher professional fees as a result of our expanding operations and costs to comply with the regulatory requirements of the Sarbanes-Oxley Act of 2002. Although we expect that general and administrative expenses will increase in absolute dollars, we expect that the rate of increase in general and administrative expense will decrease next year, particularly related to attorney fees associated with our on-going legal proceedings and professional fees to comply with the regulatory requirements of the Sarbanes-Oxley Act of 2002.</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21" w:lineRule="exact"/>
        <w:rPr>
          <w:sz w:val="20"/>
          <w:szCs w:val="20"/>
          <w:color w:val="auto"/>
        </w:rPr>
      </w:pPr>
    </w:p>
    <w:tbl>
      <w:tblPr>
        <w:tblLayout w:type="fixed"/>
        <w:tblInd w:w="15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98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w w:val="90"/>
              </w:rPr>
              <w:t>Years Ended January 31,</w:t>
            </w:r>
          </w:p>
        </w:tc>
        <w:tc>
          <w:tcPr>
            <w:tcW w:w="10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50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80" w:type="dxa"/>
            <w:vAlign w:val="bottom"/>
          </w:tcPr>
          <w:p>
            <w:pPr>
              <w:jc w:val="right"/>
              <w:ind w:right="202"/>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jc w:val="right"/>
              <w:ind w:right="199"/>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5"/>
                <w:szCs w:val="15"/>
                <w:color w:val="auto"/>
              </w:rPr>
            </w:pP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stock-based compensation</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3,977</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4,943</w:t>
            </w:r>
          </w:p>
        </w:tc>
        <w:tc>
          <w:tcPr>
            <w:tcW w:w="1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19"/>
                <w:szCs w:val="19"/>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0.6%</w:t>
            </w:r>
          </w:p>
        </w:tc>
        <w:tc>
          <w:tcPr>
            <w:tcW w:w="10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5363210</wp:posOffset>
            </wp:positionH>
            <wp:positionV relativeFrom="paragraph">
              <wp:posOffset>-607695</wp:posOffset>
            </wp:positionV>
            <wp:extent cx="12700"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4170680</wp:posOffset>
            </wp:positionH>
            <wp:positionV relativeFrom="paragraph">
              <wp:posOffset>-607695</wp:posOffset>
            </wp:positionV>
            <wp:extent cx="1270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6160770</wp:posOffset>
            </wp:positionH>
            <wp:positionV relativeFrom="paragraph">
              <wp:posOffset>-359410</wp:posOffset>
            </wp:positionV>
            <wp:extent cx="12700" cy="88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-359410</wp:posOffset>
            </wp:positionV>
            <wp:extent cx="1270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4685665</wp:posOffset>
            </wp:positionH>
            <wp:positionV relativeFrom="paragraph">
              <wp:posOffset>-359410</wp:posOffset>
            </wp:positionV>
            <wp:extent cx="1270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4170680</wp:posOffset>
            </wp:positionH>
            <wp:positionV relativeFrom="paragraph">
              <wp:posOffset>-359410</wp:posOffset>
            </wp:positionV>
            <wp:extent cx="1270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-359410</wp:posOffset>
            </wp:positionV>
            <wp:extent cx="1270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-359410</wp:posOffset>
            </wp:positionV>
            <wp:extent cx="1270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48"/>
        <w:spacing w:after="0" w:line="291" w:lineRule="auto"/>
        <w:rPr>
          <w:sz w:val="20"/>
          <w:szCs w:val="20"/>
          <w:color w:val="auto"/>
        </w:rPr>
      </w:pPr>
      <w:r>
        <w:rPr>
          <w:rFonts w:ascii="Arial" w:cs="Arial" w:eastAsia="Arial" w:hAnsi="Arial"/>
          <w:sz w:val="16"/>
          <w:szCs w:val="16"/>
          <w:color w:val="auto"/>
        </w:rPr>
        <w:t>We have recorded deferred stock-based compensation in connection with the grant of stock options to our employees and directors prior to our initial public offering of common stock and in connection with the grant and assumption of stock options as a result of our acquisitions. Deferred stock-based compensation is being amortized using an accelerated method over the remaining option vesting period. The decrease in amortization expense in both absolute dollars and percentage of net revenue in fiscal 2005 compared to fiscal 2004 primarily resulted from a lower balance of deferred stock-based compensation being amortized in fiscal 2005 compared to fiscal 2004 as well as a result of the graded-vesting method which results in declining amortization expense in later periods. For a discussion of the effects of future expensing of stock options, see "Recent Accounting Pronouncements" below.</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220" w:type="dxa"/>
            <w:vAlign w:val="bottom"/>
          </w:tcPr>
          <w:p>
            <w:pPr>
              <w:spacing w:after="0"/>
              <w:rPr>
                <w:sz w:val="15"/>
                <w:szCs w:val="15"/>
                <w:color w:val="auto"/>
              </w:rPr>
            </w:pPr>
          </w:p>
        </w:tc>
        <w:tc>
          <w:tcPr>
            <w:tcW w:w="4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520" w:type="dxa"/>
            <w:vAlign w:val="bottom"/>
            <w:gridSpan w:val="6"/>
          </w:tcPr>
          <w:p>
            <w:pPr>
              <w:jc w:val="right"/>
              <w:ind w:right="800"/>
              <w:spacing w:after="0"/>
              <w:rPr>
                <w:sz w:val="20"/>
                <w:szCs w:val="20"/>
                <w:color w:val="auto"/>
              </w:rPr>
            </w:pPr>
            <w:r>
              <w:rPr>
                <w:rFonts w:ascii="Arial" w:cs="Arial" w:eastAsia="Arial" w:hAnsi="Arial"/>
                <w:sz w:val="14"/>
                <w:szCs w:val="14"/>
                <w:b w:val="1"/>
                <w:bCs w:val="1"/>
                <w:color w:val="auto"/>
              </w:rPr>
              <w:t>Years Ended January 31,</w:t>
            </w:r>
          </w:p>
        </w:tc>
        <w:tc>
          <w:tcPr>
            <w:tcW w:w="9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220" w:type="dxa"/>
            <w:vAlign w:val="bottom"/>
          </w:tcPr>
          <w:p>
            <w:pPr>
              <w:spacing w:after="0"/>
              <w:rPr>
                <w:sz w:val="9"/>
                <w:szCs w:val="9"/>
                <w:color w:val="auto"/>
              </w:rPr>
            </w:pPr>
          </w:p>
        </w:tc>
        <w:tc>
          <w:tcPr>
            <w:tcW w:w="4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8"/>
              </w:rPr>
              <w:t>% Change</w:t>
            </w: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1220" w:type="dxa"/>
            <w:vAlign w:val="bottom"/>
          </w:tcPr>
          <w:p>
            <w:pPr>
              <w:spacing w:after="0"/>
              <w:rPr>
                <w:sz w:val="8"/>
                <w:szCs w:val="8"/>
                <w:color w:val="auto"/>
              </w:rPr>
            </w:pPr>
          </w:p>
        </w:tc>
        <w:tc>
          <w:tcPr>
            <w:tcW w:w="4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20" w:type="dxa"/>
            <w:vAlign w:val="bottom"/>
          </w:tcPr>
          <w:p>
            <w:pPr>
              <w:spacing w:after="0"/>
              <w:rPr>
                <w:sz w:val="8"/>
                <w:szCs w:val="8"/>
                <w:color w:val="auto"/>
              </w:rPr>
            </w:pP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40" w:type="dxa"/>
            <w:vAlign w:val="bottom"/>
            <w:gridSpan w:val="2"/>
            <w:vMerge w:val="continue"/>
          </w:tcPr>
          <w:p>
            <w:pPr>
              <w:spacing w:after="0"/>
              <w:rPr>
                <w:sz w:val="8"/>
                <w:szCs w:val="8"/>
                <w:color w:val="auto"/>
              </w:rPr>
            </w:pPr>
          </w:p>
        </w:tc>
        <w:tc>
          <w:tcPr>
            <w:tcW w:w="1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1220" w:type="dxa"/>
            <w:vAlign w:val="bottom"/>
          </w:tcPr>
          <w:p>
            <w:pPr>
              <w:spacing w:after="0"/>
              <w:rPr>
                <w:sz w:val="15"/>
                <w:szCs w:val="15"/>
                <w:color w:val="auto"/>
              </w:rPr>
            </w:pPr>
          </w:p>
        </w:tc>
        <w:tc>
          <w:tcPr>
            <w:tcW w:w="4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jc w:val="right"/>
              <w:ind w:right="362"/>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jc w:val="right"/>
              <w:ind w:right="339"/>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1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2005</w:t>
            </w: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220" w:type="dxa"/>
            <w:vAlign w:val="bottom"/>
          </w:tcPr>
          <w:p>
            <w:pPr>
              <w:spacing w:after="0"/>
              <w:rPr>
                <w:sz w:val="9"/>
                <w:szCs w:val="9"/>
                <w:color w:val="auto"/>
              </w:rPr>
            </w:pPr>
          </w:p>
        </w:tc>
        <w:tc>
          <w:tcPr>
            <w:tcW w:w="4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220" w:type="dxa"/>
            <w:vAlign w:val="bottom"/>
            <w:vMerge w:val="restart"/>
          </w:tcPr>
          <w:p>
            <w:pPr>
              <w:spacing w:after="0"/>
              <w:rPr>
                <w:sz w:val="9"/>
                <w:szCs w:val="9"/>
                <w:color w:val="auto"/>
              </w:rPr>
            </w:pPr>
          </w:p>
        </w:tc>
        <w:tc>
          <w:tcPr>
            <w:tcW w:w="4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w w:val="93"/>
              </w:rPr>
              <w:t>Amortization and write-off of acquired intangible assets and other</w:t>
            </w:r>
          </w:p>
        </w:tc>
        <w:tc>
          <w:tcPr>
            <w:tcW w:w="4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102,534</w:t>
            </w:r>
          </w:p>
        </w:tc>
        <w:tc>
          <w:tcPr>
            <w:tcW w:w="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80,390</w:t>
            </w:r>
          </w:p>
        </w:tc>
        <w:tc>
          <w:tcPr>
            <w:tcW w:w="2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27.5%</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220" w:type="dxa"/>
            <w:vAlign w:val="bottom"/>
          </w:tcPr>
          <w:p>
            <w:pPr>
              <w:spacing w:after="0"/>
              <w:rPr>
                <w:sz w:val="19"/>
                <w:szCs w:val="19"/>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gridSpan w:val="2"/>
          </w:tcPr>
          <w:p>
            <w:pPr>
              <w:jc w:val="right"/>
              <w:ind w:right="80"/>
              <w:spacing w:after="0"/>
              <w:rPr>
                <w:sz w:val="20"/>
                <w:szCs w:val="20"/>
                <w:color w:val="auto"/>
              </w:rPr>
            </w:pPr>
            <w:r>
              <w:rPr>
                <w:rFonts w:ascii="Arial" w:cs="Arial" w:eastAsia="Arial" w:hAnsi="Arial"/>
                <w:sz w:val="18"/>
                <w:szCs w:val="18"/>
                <w:color w:val="auto"/>
              </w:rPr>
              <w:t>8.4%</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9.8%</w:t>
            </w:r>
          </w:p>
        </w:tc>
        <w:tc>
          <w:tcPr>
            <w:tcW w:w="9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6080" w:type="dxa"/>
            <w:vAlign w:val="bottom"/>
            <w:gridSpan w:val="2"/>
          </w:tcPr>
          <w:p>
            <w:pPr>
              <w:jc w:val="right"/>
              <w:ind w:right="192"/>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220" w:type="dxa"/>
            <w:vAlign w:val="bottom"/>
            <w:tcBorders>
              <w:bottom w:val="single" w:sz="8" w:color="808080"/>
            </w:tcBorders>
          </w:tcPr>
          <w:p>
            <w:pPr>
              <w:spacing w:after="0"/>
              <w:rPr>
                <w:sz w:val="19"/>
                <w:szCs w:val="19"/>
                <w:color w:val="auto"/>
              </w:rPr>
            </w:pPr>
          </w:p>
        </w:tc>
        <w:tc>
          <w:tcPr>
            <w:tcW w:w="48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8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5586095</wp:posOffset>
            </wp:positionH>
            <wp:positionV relativeFrom="paragraph">
              <wp:posOffset>-1035050</wp:posOffset>
            </wp:positionV>
            <wp:extent cx="1270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-1035050</wp:posOffset>
            </wp:positionV>
            <wp:extent cx="1270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6383655</wp:posOffset>
            </wp:positionH>
            <wp:positionV relativeFrom="paragraph">
              <wp:posOffset>-786130</wp:posOffset>
            </wp:positionV>
            <wp:extent cx="1270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-786130</wp:posOffset>
            </wp:positionV>
            <wp:extent cx="12700" cy="88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4728210</wp:posOffset>
            </wp:positionH>
            <wp:positionV relativeFrom="paragraph">
              <wp:posOffset>-786130</wp:posOffset>
            </wp:positionV>
            <wp:extent cx="12700"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-786130</wp:posOffset>
            </wp:positionV>
            <wp:extent cx="12700" cy="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5586095</wp:posOffset>
            </wp:positionH>
            <wp:positionV relativeFrom="paragraph">
              <wp:posOffset>-786130</wp:posOffset>
            </wp:positionV>
            <wp:extent cx="1270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-786130</wp:posOffset>
            </wp:positionV>
            <wp:extent cx="1270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9" w:name="page40"/>
    <w:bookmarkEnd w:id="39"/>
    <w:p>
      <w:pPr>
        <w:ind w:right="80" w:firstLine="351"/>
        <w:spacing w:after="0" w:line="298" w:lineRule="auto"/>
        <w:rPr>
          <w:sz w:val="20"/>
          <w:szCs w:val="20"/>
          <w:color w:val="auto"/>
        </w:rPr>
      </w:pPr>
      <w:r>
        <w:rPr>
          <w:rFonts w:ascii="Arial" w:cs="Arial" w:eastAsia="Arial" w:hAnsi="Arial"/>
          <w:sz w:val="16"/>
          <w:szCs w:val="16"/>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their estimated economic lives of two to five years. In connection with the acquisition of Asica, we recorded $360,000 of acquired intangible assets. The acquired intangible assets from the Asica acquisition are being amortized over their estimated economic life of five years.</w:t>
      </w:r>
    </w:p>
    <w:p>
      <w:pPr>
        <w:spacing w:after="0" w:line="167" w:lineRule="exact"/>
        <w:rPr>
          <w:sz w:val="20"/>
          <w:szCs w:val="20"/>
          <w:color w:val="auto"/>
        </w:rPr>
      </w:pPr>
    </w:p>
    <w:p>
      <w:pPr>
        <w:ind w:right="60" w:firstLine="351"/>
        <w:spacing w:after="0" w:line="305" w:lineRule="auto"/>
        <w:rPr>
          <w:sz w:val="20"/>
          <w:szCs w:val="20"/>
          <w:color w:val="auto"/>
        </w:rPr>
      </w:pPr>
      <w:r>
        <w:rPr>
          <w:rFonts w:ascii="Arial" w:cs="Arial" w:eastAsia="Arial" w:hAnsi="Arial"/>
          <w:sz w:val="15"/>
          <w:szCs w:val="15"/>
          <w:color w:val="auto"/>
        </w:rPr>
        <w:t>During the second quarter of fiscal 2005, we entered into a technology license and non-assert agreement with another company pursuant to which the parties agreed to not take action against each other relative to the use of certain technologies. Under this arrangement, we agreed to make a one-time payment of</w:t>
      </w:r>
    </w:p>
    <w:p>
      <w:pPr>
        <w:spacing w:after="0" w:line="288" w:lineRule="auto"/>
        <w:rPr>
          <w:sz w:val="20"/>
          <w:szCs w:val="20"/>
          <w:color w:val="auto"/>
        </w:rPr>
      </w:pPr>
      <w:r>
        <w:rPr>
          <w:rFonts w:ascii="Arial" w:cs="Arial" w:eastAsia="Arial" w:hAnsi="Arial"/>
          <w:sz w:val="16"/>
          <w:szCs w:val="16"/>
          <w:color w:val="auto"/>
        </w:rPr>
        <w:t>$25.0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During the first quarter of fiscal 2005, we entered into another technology license and non-assert agreement with a licensor pursuant to which the parties agreed to not take action against each other relative to the use of certain technologies. Under this arrangement, we agreed to make a one-time payment of $13.5 million, which is included in amortization and write-off of acquired intangible assets and other. The increase in amortization and write-off of acquired intangible assets and other in fiscal 2005 compared to fiscal 2004 was due to $23.5 million of charges for payments made on technology license and non-assert agreements partially offset by a charge of $1.9 million related to the recognition of pre-acquisition losses due to our prior investments in RADLAN in fiscal 2004.</w:t>
      </w:r>
    </w:p>
    <w:p>
      <w:pPr>
        <w:spacing w:after="0" w:line="17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Facilities Consolidation Charge</w:t>
      </w:r>
    </w:p>
    <w:p>
      <w:pPr>
        <w:spacing w:after="0" w:line="221" w:lineRule="exact"/>
        <w:rPr>
          <w:sz w:val="20"/>
          <w:szCs w:val="20"/>
          <w:color w:val="auto"/>
        </w:rPr>
      </w:pPr>
    </w:p>
    <w:tbl>
      <w:tblPr>
        <w:tblLayout w:type="fixed"/>
        <w:tblInd w:w="15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8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540" w:type="dxa"/>
            <w:vAlign w:val="bottom"/>
            <w:gridSpan w:val="3"/>
          </w:tcPr>
          <w:p>
            <w:pPr>
              <w:jc w:val="right"/>
              <w:spacing w:after="0"/>
              <w:rPr>
                <w:sz w:val="20"/>
                <w:szCs w:val="20"/>
                <w:color w:val="auto"/>
              </w:rPr>
            </w:pPr>
            <w:r>
              <w:rPr>
                <w:rFonts w:ascii="Arial" w:cs="Arial" w:eastAsia="Arial" w:hAnsi="Arial"/>
                <w:sz w:val="14"/>
                <w:szCs w:val="14"/>
                <w:b w:val="1"/>
                <w:bCs w:val="1"/>
                <w:color w:val="auto"/>
                <w:w w:val="89"/>
              </w:rPr>
              <w:t>Years Ended January 31,</w:t>
            </w:r>
          </w:p>
        </w:tc>
        <w:tc>
          <w:tcPr>
            <w:tcW w:w="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60" w:type="dxa"/>
            <w:vAlign w:val="bottom"/>
            <w:vMerge w:val="restart"/>
          </w:tcPr>
          <w:p>
            <w:pPr>
              <w:spacing w:after="0"/>
              <w:rPr>
                <w:sz w:val="9"/>
                <w:szCs w:val="9"/>
                <w:color w:val="auto"/>
              </w:rPr>
            </w:pPr>
          </w:p>
        </w:tc>
        <w:tc>
          <w:tcPr>
            <w:tcW w:w="12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580" w:type="dxa"/>
            <w:vAlign w:val="bottom"/>
          </w:tcPr>
          <w:p>
            <w:pPr>
              <w:spacing w:after="0"/>
              <w:rPr>
                <w:sz w:val="8"/>
                <w:szCs w:val="8"/>
                <w:color w:val="auto"/>
              </w:rPr>
            </w:pPr>
          </w:p>
        </w:tc>
        <w:tc>
          <w:tcPr>
            <w:tcW w:w="14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60" w:type="dxa"/>
            <w:vAlign w:val="bottom"/>
            <w:vMerge w:val="continue"/>
          </w:tcPr>
          <w:p>
            <w:pPr>
              <w:spacing w:after="0"/>
              <w:rPr>
                <w:sz w:val="8"/>
                <w:szCs w:val="8"/>
                <w:color w:val="auto"/>
              </w:rPr>
            </w:pPr>
          </w:p>
        </w:tc>
        <w:tc>
          <w:tcPr>
            <w:tcW w:w="12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8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60" w:type="dxa"/>
            <w:vAlign w:val="bottom"/>
          </w:tcPr>
          <w:p>
            <w:pPr>
              <w:jc w:val="right"/>
              <w:ind w:right="202"/>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15"/>
                <w:szCs w:val="15"/>
                <w:color w:val="auto"/>
              </w:rPr>
            </w:pPr>
          </w:p>
        </w:tc>
        <w:tc>
          <w:tcPr>
            <w:tcW w:w="640" w:type="dxa"/>
            <w:vAlign w:val="bottom"/>
          </w:tcPr>
          <w:p>
            <w:pPr>
              <w:jc w:val="right"/>
              <w:ind w:right="2"/>
              <w:spacing w:after="0"/>
              <w:rPr>
                <w:sz w:val="20"/>
                <w:szCs w:val="20"/>
                <w:color w:val="auto"/>
              </w:rPr>
            </w:pPr>
            <w:r>
              <w:rPr>
                <w:rFonts w:ascii="Arial" w:cs="Arial" w:eastAsia="Arial" w:hAnsi="Arial"/>
                <w:sz w:val="14"/>
                <w:szCs w:val="14"/>
                <w:b w:val="1"/>
                <w:bCs w:val="1"/>
                <w:color w:val="auto"/>
              </w:rPr>
              <w:t>2004</w:t>
            </w:r>
          </w:p>
        </w:tc>
        <w:tc>
          <w:tcPr>
            <w:tcW w:w="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8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Facilities consolidation charge</w:t>
            </w:r>
          </w:p>
        </w:tc>
        <w:tc>
          <w:tcPr>
            <w:tcW w:w="16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ind w:right="462"/>
              <w:spacing w:after="0"/>
              <w:rPr>
                <w:sz w:val="20"/>
                <w:szCs w:val="20"/>
                <w:color w:val="auto"/>
              </w:rPr>
            </w:pPr>
            <w:r>
              <w:rPr>
                <w:rFonts w:ascii="Arial" w:cs="Arial" w:eastAsia="Arial" w:hAnsi="Arial"/>
                <w:sz w:val="18"/>
                <w:szCs w:val="18"/>
                <w:color w:val="auto"/>
                <w:w w:val="79"/>
              </w:rPr>
              <w:t>$</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w w:val="77"/>
              </w:rPr>
              <w:t>—</w:t>
            </w:r>
          </w:p>
        </w:tc>
        <w:tc>
          <w:tcPr>
            <w:tcW w:w="2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w w:val="88"/>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0.2%</w:t>
            </w:r>
          </w:p>
        </w:tc>
        <w:tc>
          <w:tcPr>
            <w:tcW w:w="640" w:type="dxa"/>
            <w:vAlign w:val="bottom"/>
          </w:tcPr>
          <w:p>
            <w:pPr>
              <w:spacing w:after="0"/>
              <w:rPr>
                <w:sz w:val="19"/>
                <w:szCs w:val="19"/>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w w:val="77"/>
              </w:rPr>
              <w:t>—</w:t>
            </w:r>
          </w:p>
        </w:tc>
        <w:tc>
          <w:tcPr>
            <w:tcW w:w="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5354320</wp:posOffset>
            </wp:positionH>
            <wp:positionV relativeFrom="paragraph">
              <wp:posOffset>-607695</wp:posOffset>
            </wp:positionV>
            <wp:extent cx="1270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4162425</wp:posOffset>
            </wp:positionH>
            <wp:positionV relativeFrom="paragraph">
              <wp:posOffset>-607695</wp:posOffset>
            </wp:positionV>
            <wp:extent cx="1270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-359410</wp:posOffset>
            </wp:positionV>
            <wp:extent cx="1270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-359410</wp:posOffset>
            </wp:positionV>
            <wp:extent cx="1270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-359410</wp:posOffset>
            </wp:positionV>
            <wp:extent cx="12700" cy="88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4162425</wp:posOffset>
            </wp:positionH>
            <wp:positionV relativeFrom="paragraph">
              <wp:posOffset>-359410</wp:posOffset>
            </wp:positionV>
            <wp:extent cx="1270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-359410</wp:posOffset>
            </wp:positionV>
            <wp:extent cx="12700" cy="88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-359410</wp:posOffset>
            </wp:positionV>
            <wp:extent cx="12700" cy="88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51"/>
        <w:spacing w:after="0" w:line="290" w:lineRule="auto"/>
        <w:rPr>
          <w:sz w:val="20"/>
          <w:szCs w:val="20"/>
          <w:color w:val="auto"/>
        </w:rPr>
      </w:pPr>
      <w:r>
        <w:rPr>
          <w:rFonts w:ascii="Arial" w:cs="Arial" w:eastAsia="Arial" w:hAnsi="Arial"/>
          <w:sz w:val="16"/>
          <w:szCs w:val="16"/>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 travel time between facilities. As a result, we completed the consolidation of the majority of our Israel operations into one facility during the third quarter of fiscal 2005.</w:t>
      </w:r>
    </w:p>
    <w:p>
      <w:pPr>
        <w:spacing w:after="0" w:line="172" w:lineRule="exact"/>
        <w:rPr>
          <w:sz w:val="20"/>
          <w:szCs w:val="20"/>
          <w:color w:val="auto"/>
        </w:rPr>
      </w:pPr>
    </w:p>
    <w:p>
      <w:pPr>
        <w:ind w:right="160" w:firstLine="341"/>
        <w:spacing w:after="0" w:line="256" w:lineRule="auto"/>
        <w:rPr>
          <w:sz w:val="20"/>
          <w:szCs w:val="20"/>
          <w:color w:val="auto"/>
        </w:rPr>
      </w:pPr>
      <w:r>
        <w:rPr>
          <w:rFonts w:ascii="Arial" w:cs="Arial" w:eastAsia="Arial" w:hAnsi="Arial"/>
          <w:sz w:val="18"/>
          <w:szCs w:val="18"/>
          <w:color w:val="auto"/>
        </w:rPr>
        <w:t>At January 31, 2005, cash payments of $8.4 million, net of sublease income had been made in connection with the facilities consolidation charges recorded in fiscal 2003 and the third quarter of fiscal 2005. Approximately $5.1 million is accrued for the facilities consolidation charge as of January 31, 2005, of which $1.3 million is the current portion included in accrued liabilities while the long-term portion totaling $3.8 million is payable through 2010. The facilities consolidation charge is an estimate as of January 31, 2005.</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40" w:name="page41"/>
    <w:bookmarkEnd w:id="40"/>
    <w:p>
      <w:pPr>
        <w:ind w:left="540"/>
        <w:spacing w:after="0"/>
        <w:rPr>
          <w:sz w:val="20"/>
          <w:szCs w:val="20"/>
          <w:color w:val="auto"/>
        </w:rPr>
      </w:pPr>
      <w:r>
        <w:rPr>
          <w:rFonts w:ascii="Arial" w:cs="Arial" w:eastAsia="Arial" w:hAnsi="Arial"/>
          <w:sz w:val="18"/>
          <w:szCs w:val="18"/>
          <w:i w:val="1"/>
          <w:iCs w:val="1"/>
          <w:color w:val="auto"/>
        </w:rPr>
        <w:t>Interest and Other Income, Net</w:t>
      </w:r>
    </w:p>
    <w:p>
      <w:pPr>
        <w:spacing w:after="0" w:line="221" w:lineRule="exact"/>
        <w:rPr>
          <w:sz w:val="20"/>
          <w:szCs w:val="20"/>
          <w:color w:val="auto"/>
        </w:rPr>
      </w:pPr>
    </w:p>
    <w:tbl>
      <w:tblPr>
        <w:tblLayout w:type="fixed"/>
        <w:tblInd w:w="15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98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w w:val="89"/>
              </w:rPr>
              <w:t>Years Ended January 31,</w:t>
            </w:r>
          </w:p>
        </w:tc>
        <w:tc>
          <w:tcPr>
            <w:tcW w:w="10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2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560" w:type="dxa"/>
            <w:vAlign w:val="bottom"/>
          </w:tcPr>
          <w:p>
            <w:pPr>
              <w:spacing w:after="0"/>
              <w:rPr>
                <w:sz w:val="8"/>
                <w:szCs w:val="8"/>
                <w:color w:val="auto"/>
              </w:rPr>
            </w:pPr>
          </w:p>
        </w:tc>
        <w:tc>
          <w:tcPr>
            <w:tcW w:w="1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60" w:type="dxa"/>
            <w:vAlign w:val="bottom"/>
          </w:tcPr>
          <w:p>
            <w:pPr>
              <w:jc w:val="right"/>
              <w:ind w:right="202"/>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jc w:val="right"/>
              <w:ind w:right="179"/>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5"/>
                <w:szCs w:val="15"/>
                <w:color w:val="auto"/>
              </w:rPr>
            </w:pPr>
          </w:p>
        </w:tc>
        <w:tc>
          <w:tcPr>
            <w:tcW w:w="12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6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7,657</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6,223</w:t>
            </w:r>
          </w:p>
        </w:tc>
        <w:tc>
          <w:tcPr>
            <w:tcW w:w="2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0.6%</w:t>
            </w:r>
          </w:p>
        </w:tc>
        <w:tc>
          <w:tcPr>
            <w:tcW w:w="18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0.8%</w:t>
            </w:r>
          </w:p>
        </w:tc>
        <w:tc>
          <w:tcPr>
            <w:tcW w:w="10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5354320</wp:posOffset>
            </wp:positionH>
            <wp:positionV relativeFrom="paragraph">
              <wp:posOffset>-607695</wp:posOffset>
            </wp:positionV>
            <wp:extent cx="12700" cy="88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4162425</wp:posOffset>
            </wp:positionH>
            <wp:positionV relativeFrom="paragraph">
              <wp:posOffset>-607695</wp:posOffset>
            </wp:positionV>
            <wp:extent cx="1270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-359410</wp:posOffset>
            </wp:positionV>
            <wp:extent cx="12700" cy="88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-359410</wp:posOffset>
            </wp:positionV>
            <wp:extent cx="12700"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-359410</wp:posOffset>
            </wp:positionV>
            <wp:extent cx="12700"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4162425</wp:posOffset>
            </wp:positionH>
            <wp:positionV relativeFrom="paragraph">
              <wp:posOffset>-359410</wp:posOffset>
            </wp:positionV>
            <wp:extent cx="12700" cy="88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-359410</wp:posOffset>
            </wp:positionV>
            <wp:extent cx="12700"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-359410</wp:posOffset>
            </wp:positionV>
            <wp:extent cx="12700"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Interest and other income, net consists primarily of interest earned on cash, cash equivalents and short-term investment balances, and gains on the sale of marketable securities, offset by interest paid on capital lease obligations. The increase in interest and other income, net in fiscal 2005 compared to fiscal 2004 was primarily due to higher interest income on higher comparable invested cash balances and higher interest rates, partially offset by an increase of $0.2 million in interest expense on capital lease obligations as a result of new CAD software capital leases entered into in fiscal 2005, lower realized gains of $0.3 million on the sale of marketable securities in fiscal 2005 compared to $1.3 million of realized gains on the sale of marketable securities in fiscal 2004 and a $0.7 million loss on an equity method investment in fiscal 2004.</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Provision for Income Taxes</w:t>
      </w:r>
    </w:p>
    <w:p>
      <w:pPr>
        <w:spacing w:after="0" w:line="221" w:lineRule="exact"/>
        <w:rPr>
          <w:sz w:val="20"/>
          <w:szCs w:val="20"/>
          <w:color w:val="auto"/>
        </w:rPr>
      </w:pPr>
    </w:p>
    <w:tbl>
      <w:tblPr>
        <w:tblLayout w:type="fixed"/>
        <w:tblInd w:w="12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8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Years Ended January 31,</w:t>
            </w:r>
          </w:p>
        </w:tc>
        <w:tc>
          <w:tcPr>
            <w:tcW w:w="1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460" w:type="dxa"/>
            <w:vAlign w:val="bottom"/>
          </w:tcPr>
          <w:p>
            <w:pPr>
              <w:spacing w:after="0"/>
              <w:rPr>
                <w:sz w:val="8"/>
                <w:szCs w:val="8"/>
                <w:color w:val="auto"/>
              </w:rPr>
            </w:pPr>
          </w:p>
        </w:tc>
        <w:tc>
          <w:tcPr>
            <w:tcW w:w="1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jc w:val="right"/>
              <w:ind w:right="302"/>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5"/>
                <w:szCs w:val="15"/>
                <w:color w:val="auto"/>
              </w:rPr>
            </w:pPr>
          </w:p>
        </w:tc>
        <w:tc>
          <w:tcPr>
            <w:tcW w:w="12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2005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27,843</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17,842</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60" w:type="dxa"/>
            <w:vAlign w:val="bottom"/>
          </w:tcPr>
          <w:p>
            <w:pPr>
              <w:spacing w:after="0"/>
              <w:rPr>
                <w:sz w:val="20"/>
                <w:szCs w:val="20"/>
                <w:color w:val="auto"/>
              </w:rPr>
            </w:pPr>
            <w:r>
              <w:rPr>
                <w:rFonts w:ascii="Arial" w:cs="Arial" w:eastAsia="Arial" w:hAnsi="Arial"/>
                <w:sz w:val="18"/>
                <w:szCs w:val="18"/>
                <w:color w:val="auto"/>
              </w:rPr>
              <w:t>% of net revenue</w:t>
            </w:r>
          </w:p>
        </w:tc>
        <w:tc>
          <w:tcPr>
            <w:tcW w:w="15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2.3%</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2.2%</w:t>
            </w: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5508625</wp:posOffset>
            </wp:positionH>
            <wp:positionV relativeFrom="paragraph">
              <wp:posOffset>-607695</wp:posOffset>
            </wp:positionV>
            <wp:extent cx="12700" cy="88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4016375</wp:posOffset>
            </wp:positionH>
            <wp:positionV relativeFrom="paragraph">
              <wp:posOffset>-607695</wp:posOffset>
            </wp:positionV>
            <wp:extent cx="12700"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-359410</wp:posOffset>
            </wp:positionV>
            <wp:extent cx="12700"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-359410</wp:posOffset>
            </wp:positionV>
            <wp:extent cx="12700"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-359410</wp:posOffset>
            </wp:positionV>
            <wp:extent cx="12700" cy="88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4016375</wp:posOffset>
            </wp:positionH>
            <wp:positionV relativeFrom="paragraph">
              <wp:posOffset>-359410</wp:posOffset>
            </wp:positionV>
            <wp:extent cx="12700"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-359410</wp:posOffset>
            </wp:positionV>
            <wp:extent cx="12700" cy="88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-359410</wp:posOffset>
            </wp:positionV>
            <wp:extent cx="12700" cy="88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jc w:val="both"/>
        <w:ind w:right="140" w:firstLine="351"/>
        <w:spacing w:after="0" w:line="306" w:lineRule="auto"/>
        <w:rPr>
          <w:sz w:val="20"/>
          <w:szCs w:val="20"/>
          <w:color w:val="auto"/>
        </w:rPr>
      </w:pPr>
      <w:r>
        <w:rPr>
          <w:rFonts w:ascii="Arial" w:cs="Arial" w:eastAsia="Arial" w:hAnsi="Arial"/>
          <w:sz w:val="16"/>
          <w:szCs w:val="16"/>
          <w:color w:val="auto"/>
        </w:rPr>
        <w:t>Our effective tax rate was 16.4% for fiscal 2005 compared to 28.2% for fiscal 2004. For fiscal 2005 and 2004 the effective rates were affected primarily by an increase in the proportion of income earned in locations outside the U.S., which was taxed at lower income tax rates as well as by stock-based compensation and non-deductible expenses relating to our acquisitions, which were recorded as a result of using purchase accounting.</w:t>
      </w:r>
    </w:p>
    <w:p>
      <w:pPr>
        <w:spacing w:after="0" w:line="161" w:lineRule="exact"/>
        <w:rPr>
          <w:sz w:val="20"/>
          <w:szCs w:val="20"/>
          <w:color w:val="auto"/>
        </w:rPr>
      </w:pPr>
    </w:p>
    <w:p>
      <w:pPr>
        <w:ind w:right="320" w:firstLine="351"/>
        <w:spacing w:after="0" w:line="259"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the main U.S. subsidiary of Marvell Technology Group Ltd., for fiscal 2003, 2002 and 2001. The audit was completed in fiscal 2005 with no material adverse impact on our consolidated financial statements.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Years Ended January 31, 2004 and 2003</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Net Revenue</w:t>
      </w:r>
    </w:p>
    <w:p>
      <w:pPr>
        <w:spacing w:after="0" w:line="221"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020" w:type="dxa"/>
            <w:vAlign w:val="bottom"/>
          </w:tcPr>
          <w:p>
            <w:pPr>
              <w:spacing w:after="0"/>
              <w:rPr>
                <w:sz w:val="15"/>
                <w:szCs w:val="15"/>
                <w:color w:val="auto"/>
              </w:rPr>
            </w:pPr>
          </w:p>
        </w:tc>
        <w:tc>
          <w:tcPr>
            <w:tcW w:w="2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160" w:type="dxa"/>
            <w:vAlign w:val="bottom"/>
            <w:gridSpan w:val="4"/>
          </w:tcPr>
          <w:p>
            <w:pPr>
              <w:jc w:val="right"/>
              <w:ind w:right="402"/>
              <w:spacing w:after="0"/>
              <w:rPr>
                <w:sz w:val="20"/>
                <w:szCs w:val="20"/>
                <w:color w:val="auto"/>
              </w:rPr>
            </w:pPr>
            <w:r>
              <w:rPr>
                <w:rFonts w:ascii="Arial" w:cs="Arial" w:eastAsia="Arial" w:hAnsi="Arial"/>
                <w:sz w:val="14"/>
                <w:szCs w:val="14"/>
                <w:b w:val="1"/>
                <w:bCs w:val="1"/>
                <w:color w:val="auto"/>
              </w:rPr>
              <w:t>Years Ended January 31,</w:t>
            </w:r>
          </w:p>
        </w:tc>
        <w:tc>
          <w:tcPr>
            <w:tcW w:w="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20" w:type="dxa"/>
            <w:vAlign w:val="bottom"/>
          </w:tcPr>
          <w:p>
            <w:pPr>
              <w:spacing w:after="0"/>
              <w:rPr>
                <w:sz w:val="9"/>
                <w:szCs w:val="9"/>
                <w:color w:val="auto"/>
              </w:rPr>
            </w:pPr>
          </w:p>
        </w:tc>
        <w:tc>
          <w:tcPr>
            <w:tcW w:w="2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vMerge w:val="restart"/>
          </w:tcPr>
          <w:p>
            <w:pPr>
              <w:spacing w:after="0"/>
              <w:rPr>
                <w:sz w:val="9"/>
                <w:szCs w:val="9"/>
                <w:color w:val="auto"/>
              </w:rPr>
            </w:pPr>
          </w:p>
        </w:tc>
        <w:tc>
          <w:tcPr>
            <w:tcW w:w="134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020" w:type="dxa"/>
            <w:vAlign w:val="bottom"/>
          </w:tcPr>
          <w:p>
            <w:pPr>
              <w:spacing w:after="0"/>
              <w:rPr>
                <w:sz w:val="8"/>
                <w:szCs w:val="8"/>
                <w:color w:val="auto"/>
              </w:rPr>
            </w:pPr>
          </w:p>
        </w:tc>
        <w:tc>
          <w:tcPr>
            <w:tcW w:w="22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20" w:type="dxa"/>
            <w:vAlign w:val="bottom"/>
          </w:tcPr>
          <w:p>
            <w:pPr>
              <w:spacing w:after="0"/>
              <w:rPr>
                <w:sz w:val="15"/>
                <w:szCs w:val="15"/>
                <w:color w:val="auto"/>
              </w:rPr>
            </w:pPr>
          </w:p>
        </w:tc>
        <w:tc>
          <w:tcPr>
            <w:tcW w:w="2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60" w:type="dxa"/>
            <w:vAlign w:val="bottom"/>
          </w:tcPr>
          <w:p>
            <w:pPr>
              <w:jc w:val="right"/>
              <w:ind w:right="346"/>
              <w:spacing w:after="0"/>
              <w:rPr>
                <w:sz w:val="20"/>
                <w:szCs w:val="20"/>
                <w:color w:val="auto"/>
              </w:rPr>
            </w:pPr>
            <w:r>
              <w:rPr>
                <w:rFonts w:ascii="Arial" w:cs="Arial" w:eastAsia="Arial" w:hAnsi="Arial"/>
                <w:sz w:val="14"/>
                <w:szCs w:val="14"/>
                <w:b w:val="1"/>
                <w:bCs w:val="1"/>
                <w:color w:val="auto"/>
              </w:rPr>
              <w:t>2004</w:t>
            </w:r>
          </w:p>
        </w:tc>
        <w:tc>
          <w:tcPr>
            <w:tcW w:w="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jc w:val="right"/>
              <w:ind w:right="362"/>
              <w:spacing w:after="0"/>
              <w:rPr>
                <w:sz w:val="20"/>
                <w:szCs w:val="20"/>
                <w:color w:val="auto"/>
              </w:rPr>
            </w:pPr>
            <w:r>
              <w:rPr>
                <w:rFonts w:ascii="Arial" w:cs="Arial" w:eastAsia="Arial" w:hAnsi="Arial"/>
                <w:sz w:val="14"/>
                <w:szCs w:val="14"/>
                <w:b w:val="1"/>
                <w:bCs w:val="1"/>
                <w:color w:val="auto"/>
              </w:rPr>
              <w:t>2003</w:t>
            </w:r>
          </w:p>
        </w:tc>
        <w:tc>
          <w:tcPr>
            <w:tcW w:w="160" w:type="dxa"/>
            <w:vAlign w:val="bottom"/>
          </w:tcPr>
          <w:p>
            <w:pPr>
              <w:spacing w:after="0"/>
              <w:rPr>
                <w:sz w:val="15"/>
                <w:szCs w:val="15"/>
                <w:color w:val="auto"/>
              </w:rPr>
            </w:pPr>
          </w:p>
        </w:tc>
        <w:tc>
          <w:tcPr>
            <w:tcW w:w="13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20" w:type="dxa"/>
            <w:vAlign w:val="bottom"/>
          </w:tcPr>
          <w:p>
            <w:pPr>
              <w:spacing w:after="0"/>
              <w:rPr>
                <w:sz w:val="9"/>
                <w:szCs w:val="9"/>
                <w:color w:val="auto"/>
              </w:rPr>
            </w:pPr>
          </w:p>
        </w:tc>
        <w:tc>
          <w:tcPr>
            <w:tcW w:w="2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020" w:type="dxa"/>
            <w:vAlign w:val="bottom"/>
          </w:tcPr>
          <w:p>
            <w:pPr>
              <w:spacing w:after="0"/>
              <w:rPr>
                <w:sz w:val="9"/>
                <w:szCs w:val="9"/>
                <w:color w:val="auto"/>
              </w:rPr>
            </w:pPr>
          </w:p>
        </w:tc>
        <w:tc>
          <w:tcPr>
            <w:tcW w:w="2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819,762</w:t>
            </w:r>
          </w:p>
        </w:tc>
        <w:tc>
          <w:tcPr>
            <w:tcW w:w="4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505,285</w:t>
            </w:r>
          </w:p>
        </w:tc>
        <w:tc>
          <w:tcPr>
            <w:tcW w:w="15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62.2%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5560060</wp:posOffset>
            </wp:positionH>
            <wp:positionV relativeFrom="paragraph">
              <wp:posOffset>-466725</wp:posOffset>
            </wp:positionV>
            <wp:extent cx="12700"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-466725</wp:posOffset>
            </wp:positionV>
            <wp:extent cx="12700" cy="88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6400800</wp:posOffset>
            </wp:positionH>
            <wp:positionV relativeFrom="paragraph">
              <wp:posOffset>-217805</wp:posOffset>
            </wp:positionV>
            <wp:extent cx="12700" cy="88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-217805</wp:posOffset>
            </wp:positionV>
            <wp:extent cx="12700" cy="889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-217805</wp:posOffset>
            </wp:positionV>
            <wp:extent cx="12700"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-217805</wp:posOffset>
            </wp:positionV>
            <wp:extent cx="12700" cy="88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-217805</wp:posOffset>
            </wp:positionV>
            <wp:extent cx="12700" cy="88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-217805</wp:posOffset>
            </wp:positionV>
            <wp:extent cx="12700"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48"/>
        <w:spacing w:after="0" w:line="291" w:lineRule="auto"/>
        <w:rPr>
          <w:sz w:val="20"/>
          <w:szCs w:val="20"/>
          <w:color w:val="auto"/>
        </w:rPr>
      </w:pPr>
      <w:r>
        <w:rPr>
          <w:rFonts w:ascii="Arial" w:cs="Arial" w:eastAsia="Arial" w:hAnsi="Arial"/>
          <w:sz w:val="16"/>
          <w:szCs w:val="16"/>
          <w:color w:val="auto"/>
        </w:rPr>
        <w:t>The increases in net revenue reflect a significant increase in volume shipments of our storage and Gigabit Ethernet products during the fiscal 2004, primarily due to increased acceptance of our storage SOC products by hard disk drive manufacturers, increased market share gains in the PC desktop segment with our read channel and storage SOC products, the continued adoption of our Gigabit Ethernet products as a replacement for Fast Ethernet products, and volume shipments of WLAN products. Revenue from storage products was $447.7 million in fiscal 2004 compared to $280.0 million in fiscal 2003. Revenue from communication products was $372.1 million in fiscal 2004 compared to $225.2 million in fiscal 2003. Revenue derived from development contracts increased in fiscal 2004, but represented less than 10% of net revenue for each year and decreased as a percentage of net revenue in fiscal 2004 compared to fiscal 2003.</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41" w:name="page42"/>
    <w:bookmarkEnd w:id="41"/>
    <w:p>
      <w:pPr>
        <w:ind w:right="20" w:firstLine="341"/>
        <w:spacing w:after="0" w:line="335" w:lineRule="auto"/>
        <w:rPr>
          <w:sz w:val="20"/>
          <w:szCs w:val="20"/>
          <w:color w:val="auto"/>
        </w:rPr>
      </w:pPr>
      <w:r>
        <w:rPr>
          <w:rFonts w:ascii="Arial" w:cs="Arial" w:eastAsia="Arial" w:hAnsi="Arial"/>
          <w:sz w:val="15"/>
          <w:szCs w:val="15"/>
          <w:color w:val="auto"/>
        </w:rPr>
        <w:t>A portion of our revenue is concentrated with a relatively small number of customers. For fiscal 2004, two customers each represented more than 10% of our net revenue for a combined total of 32% of our net revenue. For fiscal 2003, five customers each represented more than 10% of our net revenue for a combined total of 67% of our net revenue. In addition, one distributor accounted for approximately 11% and 10% of our net revenue in fiscal 2004 and 2003, respectively.</w:t>
      </w:r>
    </w:p>
    <w:p>
      <w:pPr>
        <w:spacing w:after="0" w:line="142" w:lineRule="exact"/>
        <w:rPr>
          <w:sz w:val="20"/>
          <w:szCs w:val="20"/>
          <w:color w:val="auto"/>
        </w:rPr>
      </w:pPr>
    </w:p>
    <w:p>
      <w:pPr>
        <w:ind w:right="180" w:firstLine="351"/>
        <w:spacing w:after="0" w:line="259"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90% and 87% in fiscal 2004 and 2003, respectively. The rest of our sales are to customers located in the United States and other geographic regions.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Cost of Goods Sold</w:t>
      </w:r>
    </w:p>
    <w:p>
      <w:pPr>
        <w:spacing w:after="0" w:line="221"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60" w:type="dxa"/>
            <w:vAlign w:val="bottom"/>
          </w:tcPr>
          <w:p>
            <w:pPr>
              <w:spacing w:after="0"/>
              <w:rPr>
                <w:sz w:val="15"/>
                <w:szCs w:val="15"/>
                <w:color w:val="auto"/>
              </w:rPr>
            </w:pPr>
          </w:p>
        </w:tc>
        <w:tc>
          <w:tcPr>
            <w:tcW w:w="19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2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Years Ended January 31,</w:t>
            </w:r>
          </w:p>
        </w:tc>
        <w:tc>
          <w:tcPr>
            <w:tcW w:w="1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60" w:type="dxa"/>
            <w:vAlign w:val="bottom"/>
          </w:tcPr>
          <w:p>
            <w:pPr>
              <w:spacing w:after="0"/>
              <w:rPr>
                <w:sz w:val="9"/>
                <w:szCs w:val="9"/>
                <w:color w:val="auto"/>
              </w:rPr>
            </w:pPr>
          </w:p>
        </w:tc>
        <w:tc>
          <w:tcPr>
            <w:tcW w:w="19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34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260" w:type="dxa"/>
            <w:vAlign w:val="bottom"/>
          </w:tcPr>
          <w:p>
            <w:pPr>
              <w:spacing w:after="0"/>
              <w:rPr>
                <w:sz w:val="8"/>
                <w:szCs w:val="8"/>
                <w:color w:val="auto"/>
              </w:rPr>
            </w:pPr>
          </w:p>
        </w:tc>
        <w:tc>
          <w:tcPr>
            <w:tcW w:w="19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6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260" w:type="dxa"/>
            <w:vAlign w:val="bottom"/>
          </w:tcPr>
          <w:p>
            <w:pPr>
              <w:spacing w:after="0"/>
              <w:rPr>
                <w:sz w:val="15"/>
                <w:szCs w:val="15"/>
                <w:color w:val="auto"/>
              </w:rPr>
            </w:pPr>
          </w:p>
        </w:tc>
        <w:tc>
          <w:tcPr>
            <w:tcW w:w="19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2004</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jc w:val="right"/>
              <w:ind w:right="357"/>
              <w:spacing w:after="0"/>
              <w:rPr>
                <w:sz w:val="20"/>
                <w:szCs w:val="20"/>
                <w:color w:val="auto"/>
              </w:rPr>
            </w:pPr>
            <w:r>
              <w:rPr>
                <w:rFonts w:ascii="Arial" w:cs="Arial" w:eastAsia="Arial" w:hAnsi="Arial"/>
                <w:sz w:val="14"/>
                <w:szCs w:val="14"/>
                <w:b w:val="1"/>
                <w:bCs w:val="1"/>
                <w:color w:val="auto"/>
              </w:rPr>
              <w:t>2003</w:t>
            </w:r>
          </w:p>
        </w:tc>
        <w:tc>
          <w:tcPr>
            <w:tcW w:w="160" w:type="dxa"/>
            <w:vAlign w:val="bottom"/>
          </w:tcPr>
          <w:p>
            <w:pPr>
              <w:spacing w:after="0"/>
              <w:rPr>
                <w:sz w:val="15"/>
                <w:szCs w:val="15"/>
                <w:color w:val="auto"/>
              </w:rPr>
            </w:pPr>
          </w:p>
        </w:tc>
        <w:tc>
          <w:tcPr>
            <w:tcW w:w="13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60" w:type="dxa"/>
            <w:vAlign w:val="bottom"/>
          </w:tcPr>
          <w:p>
            <w:pPr>
              <w:spacing w:after="0"/>
              <w:rPr>
                <w:sz w:val="9"/>
                <w:szCs w:val="9"/>
                <w:color w:val="auto"/>
              </w:rPr>
            </w:pPr>
          </w:p>
        </w:tc>
        <w:tc>
          <w:tcPr>
            <w:tcW w:w="19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60" w:type="dxa"/>
            <w:vAlign w:val="bottom"/>
          </w:tcPr>
          <w:p>
            <w:pPr>
              <w:spacing w:after="0"/>
              <w:rPr>
                <w:sz w:val="9"/>
                <w:szCs w:val="9"/>
                <w:color w:val="auto"/>
              </w:rPr>
            </w:pPr>
          </w:p>
        </w:tc>
        <w:tc>
          <w:tcPr>
            <w:tcW w:w="19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382,206</w:t>
            </w:r>
          </w:p>
        </w:tc>
        <w:tc>
          <w:tcPr>
            <w:tcW w:w="1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233,039</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tcPr>
          <w:p>
            <w:pPr>
              <w:spacing w:after="0"/>
              <w:rPr>
                <w:sz w:val="20"/>
                <w:szCs w:val="20"/>
                <w:color w:val="auto"/>
              </w:rPr>
            </w:pPr>
            <w:r>
              <w:rPr>
                <w:rFonts w:ascii="Arial" w:cs="Arial" w:eastAsia="Arial" w:hAnsi="Arial"/>
                <w:sz w:val="18"/>
                <w:szCs w:val="18"/>
                <w:color w:val="auto"/>
              </w:rPr>
              <w:t>% of net revenue</w:t>
            </w:r>
          </w:p>
        </w:tc>
        <w:tc>
          <w:tcPr>
            <w:tcW w:w="1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46.6%</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46.1%</w:t>
            </w:r>
          </w:p>
        </w:tc>
        <w:tc>
          <w:tcPr>
            <w:tcW w:w="1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9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53.4%</w:t>
            </w: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53.9%</w:t>
            </w:r>
          </w:p>
        </w:tc>
        <w:tc>
          <w:tcPr>
            <w:tcW w:w="1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5560060</wp:posOffset>
            </wp:positionH>
            <wp:positionV relativeFrom="paragraph">
              <wp:posOffset>-741045</wp:posOffset>
            </wp:positionV>
            <wp:extent cx="12700" cy="88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-741045</wp:posOffset>
            </wp:positionV>
            <wp:extent cx="12700" cy="88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6400800</wp:posOffset>
            </wp:positionH>
            <wp:positionV relativeFrom="paragraph">
              <wp:posOffset>-492760</wp:posOffset>
            </wp:positionV>
            <wp:extent cx="12700" cy="889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-492760</wp:posOffset>
            </wp:positionV>
            <wp:extent cx="12700" cy="88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-492760</wp:posOffset>
            </wp:positionV>
            <wp:extent cx="12700" cy="889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-492760</wp:posOffset>
            </wp:positionV>
            <wp:extent cx="12700"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-492760</wp:posOffset>
            </wp:positionV>
            <wp:extent cx="12700" cy="88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-492760</wp:posOffset>
            </wp:positionV>
            <wp:extent cx="12700" cy="88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right="240" w:firstLine="348"/>
        <w:spacing w:after="0" w:line="290" w:lineRule="auto"/>
        <w:rPr>
          <w:sz w:val="20"/>
          <w:szCs w:val="20"/>
          <w:color w:val="auto"/>
        </w:rPr>
      </w:pPr>
      <w:r>
        <w:rPr>
          <w:rFonts w:ascii="Arial" w:cs="Arial" w:eastAsia="Arial" w:hAnsi="Arial"/>
          <w:sz w:val="16"/>
          <w:szCs w:val="16"/>
          <w:color w:val="auto"/>
        </w:rPr>
        <w:t>The decrease in gross margin in fiscal 2004 compared to fiscal 2003 was primarily due to a product mix change, which included production ramps of our storage SOCs and WLAN products in fiscal 2004 compared to fiscal 2003. Also contributing to the lower gross margins in fiscal 2004 were additional costs incurred to qualify other foundries to ensure alternative manufacturing sources. Partially offsetting the decreases in gross margins were lower period costs in fiscal 2004 compared to fiscal 2003 as a result of a $2.0 million reduction in inventory obsolescence reserve charges and decreased material costs due to cost cutting initiatives implemented at our contract manufacturers. Our gross margins are primarily driven by product mix; however, our margins may fluctuate in future periods due to, among other things, changes in the mix of products sold, increased pricing pressures from our customers and competitors, changes in the costs charged by our manufacturing and test subcontractors and changes in the amount of development revenue recognized.</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Research and Development</w:t>
      </w:r>
    </w:p>
    <w:p>
      <w:pPr>
        <w:spacing w:after="0" w:line="221"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4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2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Years Ended January 31,</w:t>
            </w:r>
          </w:p>
        </w:tc>
        <w:tc>
          <w:tcPr>
            <w:tcW w:w="1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40" w:type="dxa"/>
            <w:vAlign w:val="bottom"/>
          </w:tcPr>
          <w:p>
            <w:pPr>
              <w:spacing w:after="0"/>
              <w:rPr>
                <w:sz w:val="9"/>
                <w:szCs w:val="9"/>
                <w:color w:val="auto"/>
              </w:rPr>
            </w:pPr>
          </w:p>
        </w:tc>
        <w:tc>
          <w:tcPr>
            <w:tcW w:w="16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34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540" w:type="dxa"/>
            <w:vAlign w:val="bottom"/>
          </w:tcPr>
          <w:p>
            <w:pPr>
              <w:spacing w:after="0"/>
              <w:rPr>
                <w:sz w:val="8"/>
                <w:szCs w:val="8"/>
                <w:color w:val="auto"/>
              </w:rPr>
            </w:pPr>
          </w:p>
        </w:tc>
        <w:tc>
          <w:tcPr>
            <w:tcW w:w="1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86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 w:type="dxa"/>
            <w:vAlign w:val="bottom"/>
          </w:tcPr>
          <w:p>
            <w:pPr>
              <w:spacing w:after="0"/>
              <w:rPr>
                <w:sz w:val="8"/>
                <w:szCs w:val="8"/>
                <w:color w:val="auto"/>
              </w:rPr>
            </w:pPr>
          </w:p>
        </w:tc>
        <w:tc>
          <w:tcPr>
            <w:tcW w:w="260" w:type="dxa"/>
            <w:vAlign w:val="bottom"/>
          </w:tcPr>
          <w:p>
            <w:pPr>
              <w:spacing w:after="0"/>
              <w:rPr>
                <w:sz w:val="8"/>
                <w:szCs w:val="8"/>
                <w:color w:val="auto"/>
              </w:rPr>
            </w:pPr>
          </w:p>
        </w:tc>
        <w:tc>
          <w:tcPr>
            <w:tcW w:w="8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4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60" w:type="dxa"/>
            <w:vAlign w:val="bottom"/>
          </w:tcPr>
          <w:p>
            <w:pPr>
              <w:jc w:val="right"/>
              <w:ind w:right="342"/>
              <w:spacing w:after="0"/>
              <w:rPr>
                <w:sz w:val="20"/>
                <w:szCs w:val="20"/>
                <w:color w:val="auto"/>
              </w:rPr>
            </w:pPr>
            <w:r>
              <w:rPr>
                <w:rFonts w:ascii="Arial" w:cs="Arial" w:eastAsia="Arial" w:hAnsi="Arial"/>
                <w:sz w:val="14"/>
                <w:szCs w:val="14"/>
                <w:b w:val="1"/>
                <w:bCs w:val="1"/>
                <w:color w:val="auto"/>
              </w:rPr>
              <w:t>2004</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jc w:val="right"/>
              <w:ind w:right="359"/>
              <w:spacing w:after="0"/>
              <w:rPr>
                <w:sz w:val="20"/>
                <w:szCs w:val="20"/>
                <w:color w:val="auto"/>
              </w:rPr>
            </w:pPr>
            <w:r>
              <w:rPr>
                <w:rFonts w:ascii="Arial" w:cs="Arial" w:eastAsia="Arial" w:hAnsi="Arial"/>
                <w:sz w:val="14"/>
                <w:szCs w:val="14"/>
                <w:b w:val="1"/>
                <w:bCs w:val="1"/>
                <w:color w:val="auto"/>
              </w:rPr>
              <w:t>2003</w:t>
            </w:r>
          </w:p>
        </w:tc>
        <w:tc>
          <w:tcPr>
            <w:tcW w:w="160" w:type="dxa"/>
            <w:vAlign w:val="bottom"/>
          </w:tcPr>
          <w:p>
            <w:pPr>
              <w:spacing w:after="0"/>
              <w:rPr>
                <w:sz w:val="15"/>
                <w:szCs w:val="15"/>
                <w:color w:val="auto"/>
              </w:rPr>
            </w:pPr>
          </w:p>
        </w:tc>
        <w:tc>
          <w:tcPr>
            <w:tcW w:w="13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40" w:type="dxa"/>
            <w:vAlign w:val="bottom"/>
          </w:tcPr>
          <w:p>
            <w:pPr>
              <w:spacing w:after="0"/>
              <w:rPr>
                <w:sz w:val="9"/>
                <w:szCs w:val="9"/>
                <w:color w:val="auto"/>
              </w:rPr>
            </w:pPr>
          </w:p>
        </w:tc>
        <w:tc>
          <w:tcPr>
            <w:tcW w:w="16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40" w:type="dxa"/>
            <w:vAlign w:val="bottom"/>
          </w:tcPr>
          <w:p>
            <w:pPr>
              <w:spacing w:after="0"/>
              <w:rPr>
                <w:sz w:val="9"/>
                <w:szCs w:val="9"/>
                <w:color w:val="auto"/>
              </w:rPr>
            </w:pPr>
          </w:p>
        </w:tc>
        <w:tc>
          <w:tcPr>
            <w:tcW w:w="1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213,740</w:t>
            </w:r>
          </w:p>
        </w:tc>
        <w:tc>
          <w:tcPr>
            <w:tcW w:w="1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145,722</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40" w:type="dxa"/>
            <w:vAlign w:val="bottom"/>
          </w:tcPr>
          <w:p>
            <w:pPr>
              <w:spacing w:after="0"/>
              <w:rPr>
                <w:sz w:val="20"/>
                <w:szCs w:val="20"/>
                <w:color w:val="auto"/>
              </w:rPr>
            </w:pPr>
            <w:r>
              <w:rPr>
                <w:rFonts w:ascii="Arial" w:cs="Arial" w:eastAsia="Arial" w:hAnsi="Arial"/>
                <w:sz w:val="18"/>
                <w:szCs w:val="18"/>
                <w:color w:val="auto"/>
              </w:rPr>
              <w:t>% of net revenue</w:t>
            </w:r>
          </w:p>
        </w:tc>
        <w:tc>
          <w:tcPr>
            <w:tcW w:w="1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26.1%</w:t>
            </w:r>
          </w:p>
        </w:tc>
        <w:tc>
          <w:tcPr>
            <w:tcW w:w="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28.8%</w:t>
            </w:r>
          </w:p>
        </w:tc>
        <w:tc>
          <w:tcPr>
            <w:tcW w:w="1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5560060</wp:posOffset>
            </wp:positionH>
            <wp:positionV relativeFrom="paragraph">
              <wp:posOffset>-607695</wp:posOffset>
            </wp:positionV>
            <wp:extent cx="12700" cy="88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-607695</wp:posOffset>
            </wp:positionV>
            <wp:extent cx="12700"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6400800</wp:posOffset>
            </wp:positionH>
            <wp:positionV relativeFrom="paragraph">
              <wp:posOffset>-359410</wp:posOffset>
            </wp:positionV>
            <wp:extent cx="12700" cy="88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-359410</wp:posOffset>
            </wp:positionV>
            <wp:extent cx="12700" cy="88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-359410</wp:posOffset>
            </wp:positionV>
            <wp:extent cx="12700"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-359410</wp:posOffset>
            </wp:positionV>
            <wp:extent cx="12700" cy="889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-359410</wp:posOffset>
            </wp:positionV>
            <wp:extent cx="12700"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-359410</wp:posOffset>
            </wp:positionV>
            <wp:extent cx="12700" cy="88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jc w:val="center"/>
        <w:ind w:right="100"/>
        <w:spacing w:after="0"/>
        <w:rPr>
          <w:sz w:val="20"/>
          <w:szCs w:val="20"/>
          <w:color w:val="auto"/>
        </w:rPr>
      </w:pPr>
      <w:r>
        <w:rPr>
          <w:rFonts w:ascii="Arial" w:cs="Arial" w:eastAsia="Arial" w:hAnsi="Arial"/>
          <w:sz w:val="16"/>
          <w:szCs w:val="16"/>
          <w:color w:val="auto"/>
        </w:rPr>
        <w:t>The increase in research and development expense in absolute dollars in fiscal 2004 compared to fiscal 2003 was primarily due to the net hiring of 338</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additional development personnel and personnel related to our acquisition of RADLAN in June 2003 and the costs associated with a full year of operations from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SysKonnect acquisition in June 2002, which all resulted in an increase in salary and related costs of $31.0 million. Additionally, we incurred costs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$11.4 million for prototype and related product tape-out costs and $2.8 million of evaluation boards and engineering supplies arising from an increase in new</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product initiatives, many of which were at more costly lower process geometries. Our expenses also increased due to higher depreciation and amortization</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expense of $7.8 million arising from purchases of property, equipment and technology licenses for use in research and development activities, increased computer</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aided design software, or CAD, maintenance expenses of $1.8 million to support increased purchases of CAD software and facility and allocated expenses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$6.8 million related to our expanding operations.</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42" w:name="page43"/>
    <w:bookmarkEnd w:id="42"/>
    <w:p>
      <w:pPr>
        <w:ind w:left="540"/>
        <w:spacing w:after="0"/>
        <w:rPr>
          <w:sz w:val="20"/>
          <w:szCs w:val="20"/>
          <w:color w:val="auto"/>
        </w:rPr>
      </w:pPr>
      <w:r>
        <w:rPr>
          <w:rFonts w:ascii="Arial" w:cs="Arial" w:eastAsia="Arial" w:hAnsi="Arial"/>
          <w:sz w:val="18"/>
          <w:szCs w:val="18"/>
          <w:i w:val="1"/>
          <w:iCs w:val="1"/>
          <w:color w:val="auto"/>
        </w:rPr>
        <w:t>Selling and Marketing</w:t>
      </w:r>
    </w:p>
    <w:p>
      <w:pPr>
        <w:spacing w:after="0" w:line="221" w:lineRule="exact"/>
        <w:rPr>
          <w:sz w:val="20"/>
          <w:szCs w:val="20"/>
          <w:color w:val="auto"/>
        </w:rPr>
      </w:pPr>
    </w:p>
    <w:tbl>
      <w:tblPr>
        <w:tblLayout w:type="fixed"/>
        <w:tblInd w:w="1660" w:type="dxa"/>
        <w:tblCellMar>
          <w:top w:w="0" w:type="dxa"/>
          <w:left w:w="0" w:type="dxa"/>
          <w:bottom w:w="0" w:type="dxa"/>
          <w:right w:w="0" w:type="dxa"/>
        </w:tblCellMar>
      </w:tblPr>
      <w:tr>
        <w:trPr>
          <w:trHeight w:val="174"/>
        </w:trPr>
        <w:tc>
          <w:tcPr>
            <w:tcW w:w="298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0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w w:val="97"/>
              </w:rPr>
              <w:t>Years Ended January 31,</w:t>
            </w:r>
          </w:p>
        </w:tc>
        <w:tc>
          <w:tcPr>
            <w:tcW w:w="10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980" w:type="dxa"/>
            <w:vAlign w:val="bottom"/>
          </w:tcPr>
          <w:p>
            <w:pPr>
              <w:spacing w:after="0"/>
              <w:rPr>
                <w:sz w:val="9"/>
                <w:szCs w:val="9"/>
                <w:color w:val="auto"/>
              </w:rPr>
            </w:pPr>
          </w:p>
        </w:tc>
        <w:tc>
          <w:tcPr>
            <w:tcW w:w="14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92"/>
        </w:trPr>
        <w:tc>
          <w:tcPr>
            <w:tcW w:w="2980" w:type="dxa"/>
            <w:vAlign w:val="bottom"/>
          </w:tcPr>
          <w:p>
            <w:pPr>
              <w:spacing w:after="0"/>
              <w:rPr>
                <w:sz w:val="8"/>
                <w:szCs w:val="8"/>
                <w:color w:val="auto"/>
              </w:rPr>
            </w:pPr>
          </w:p>
        </w:tc>
        <w:tc>
          <w:tcPr>
            <w:tcW w:w="1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1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98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302"/>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jc w:val="right"/>
              <w:ind w:right="299"/>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5"/>
                <w:szCs w:val="15"/>
                <w:color w:val="auto"/>
              </w:rPr>
            </w:pPr>
          </w:p>
        </w:tc>
        <w:tc>
          <w:tcPr>
            <w:tcW w:w="11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980" w:type="dxa"/>
            <w:vAlign w:val="bottom"/>
          </w:tcPr>
          <w:p>
            <w:pPr>
              <w:spacing w:after="0"/>
              <w:rPr>
                <w:sz w:val="9"/>
                <w:szCs w:val="9"/>
                <w:color w:val="auto"/>
              </w:rPr>
            </w:pPr>
          </w:p>
        </w:tc>
        <w:tc>
          <w:tcPr>
            <w:tcW w:w="14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980" w:type="dxa"/>
            <w:vAlign w:val="bottom"/>
          </w:tcPr>
          <w:p>
            <w:pPr>
              <w:spacing w:after="0"/>
              <w:rPr>
                <w:sz w:val="9"/>
                <w:szCs w:val="9"/>
                <w:color w:val="auto"/>
              </w:rPr>
            </w:pPr>
          </w:p>
        </w:tc>
        <w:tc>
          <w:tcPr>
            <w:tcW w:w="1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6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62,350</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48,491</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28.6%</w:t>
            </w:r>
          </w:p>
        </w:tc>
        <w:tc>
          <w:tcPr>
            <w:tcW w:w="0" w:type="dxa"/>
            <w:vAlign w:val="bottom"/>
          </w:tcPr>
          <w:p>
            <w:pPr>
              <w:spacing w:after="0"/>
              <w:rPr>
                <w:sz w:val="1"/>
                <w:szCs w:val="1"/>
                <w:color w:val="auto"/>
              </w:rPr>
            </w:pPr>
          </w:p>
        </w:tc>
      </w:tr>
      <w:tr>
        <w:trPr>
          <w:trHeight w:val="222"/>
        </w:trPr>
        <w:tc>
          <w:tcPr>
            <w:tcW w:w="2980" w:type="dxa"/>
            <w:vAlign w:val="bottom"/>
          </w:tcPr>
          <w:p>
            <w:pPr>
              <w:spacing w:after="0"/>
              <w:rPr>
                <w:sz w:val="20"/>
                <w:szCs w:val="20"/>
                <w:color w:val="auto"/>
              </w:rPr>
            </w:pPr>
            <w:r>
              <w:rPr>
                <w:rFonts w:ascii="Arial" w:cs="Arial" w:eastAsia="Arial" w:hAnsi="Arial"/>
                <w:sz w:val="18"/>
                <w:szCs w:val="18"/>
                <w:color w:val="auto"/>
              </w:rPr>
              <w:t>% of net revenue</w:t>
            </w:r>
          </w:p>
        </w:tc>
        <w:tc>
          <w:tcPr>
            <w:tcW w:w="14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7.6%</w:t>
            </w:r>
          </w:p>
        </w:tc>
        <w:tc>
          <w:tcPr>
            <w:tcW w:w="220" w:type="dxa"/>
            <w:vAlign w:val="bottom"/>
          </w:tcPr>
          <w:p>
            <w:pPr>
              <w:spacing w:after="0"/>
              <w:rPr>
                <w:sz w:val="19"/>
                <w:szCs w:val="19"/>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9.6%</w:t>
            </w: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5285740</wp:posOffset>
            </wp:positionH>
            <wp:positionV relativeFrom="paragraph">
              <wp:posOffset>-607695</wp:posOffset>
            </wp:positionV>
            <wp:extent cx="12700"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3836670</wp:posOffset>
            </wp:positionH>
            <wp:positionV relativeFrom="paragraph">
              <wp:posOffset>-607695</wp:posOffset>
            </wp:positionV>
            <wp:extent cx="12700" cy="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6092190</wp:posOffset>
            </wp:positionH>
            <wp:positionV relativeFrom="paragraph">
              <wp:posOffset>-359410</wp:posOffset>
            </wp:positionV>
            <wp:extent cx="12700"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5440045</wp:posOffset>
            </wp:positionH>
            <wp:positionV relativeFrom="paragraph">
              <wp:posOffset>-359410</wp:posOffset>
            </wp:positionV>
            <wp:extent cx="12700" cy="889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4488180</wp:posOffset>
            </wp:positionH>
            <wp:positionV relativeFrom="paragraph">
              <wp:posOffset>-359410</wp:posOffset>
            </wp:positionV>
            <wp:extent cx="12700"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3836670</wp:posOffset>
            </wp:positionH>
            <wp:positionV relativeFrom="paragraph">
              <wp:posOffset>-359410</wp:posOffset>
            </wp:positionV>
            <wp:extent cx="12700"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5285740</wp:posOffset>
            </wp:positionH>
            <wp:positionV relativeFrom="paragraph">
              <wp:posOffset>-359410</wp:posOffset>
            </wp:positionV>
            <wp:extent cx="12700"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-359410</wp:posOffset>
            </wp:positionV>
            <wp:extent cx="12700" cy="88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80" w:firstLine="348"/>
        <w:spacing w:after="0" w:line="284" w:lineRule="auto"/>
        <w:rPr>
          <w:sz w:val="20"/>
          <w:szCs w:val="20"/>
          <w:color w:val="auto"/>
        </w:rPr>
      </w:pPr>
      <w:r>
        <w:rPr>
          <w:rFonts w:ascii="Arial" w:cs="Arial" w:eastAsia="Arial" w:hAnsi="Arial"/>
          <w:sz w:val="16"/>
          <w:szCs w:val="16"/>
          <w:color w:val="auto"/>
        </w:rPr>
        <w:t>The increase in selling and marketing expense in absolute dollars in fiscal 2004 compared to fiscal 2003 was primarily due to the net hiring of 71 additional sales and marketing personnel and personnel related to our acquisition of RADLAN in June 2003 and costs associated with a full year of operations from the SysKonnect acquisition in June 2002, which all resulted in an increase in salary and related costs of $7.8 million. Additionally, we incurred other costs of</w:t>
      </w:r>
    </w:p>
    <w:p>
      <w:pPr>
        <w:spacing w:after="0" w:line="1" w:lineRule="exact"/>
        <w:rPr>
          <w:sz w:val="20"/>
          <w:szCs w:val="20"/>
          <w:color w:val="auto"/>
        </w:rPr>
      </w:pPr>
    </w:p>
    <w:p>
      <w:pPr>
        <w:ind w:right="60"/>
        <w:spacing w:after="0" w:line="331" w:lineRule="auto"/>
        <w:rPr>
          <w:sz w:val="20"/>
          <w:szCs w:val="20"/>
          <w:color w:val="auto"/>
        </w:rPr>
      </w:pPr>
      <w:r>
        <w:rPr>
          <w:rFonts w:ascii="Arial" w:cs="Arial" w:eastAsia="Arial" w:hAnsi="Arial"/>
          <w:sz w:val="15"/>
          <w:szCs w:val="15"/>
          <w:color w:val="auto"/>
        </w:rPr>
        <w:t>$3.4 million related to expanding our sales and marketing activities as we broadened our customer and product base, and increased facility and other allocated expenses of $1.1 million related to our expanding operations. In fiscal 2004, we expanded our sales and marketing organizations by focusing efforts on emerging geographies and markets by opening sales offices in order to increase market awareness of our products and to better serve our existing customers worldwide.</w:t>
      </w:r>
    </w:p>
    <w:p>
      <w:pPr>
        <w:spacing w:after="0" w:line="14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General and Administrative</w:t>
      </w:r>
    </w:p>
    <w:p>
      <w:pPr>
        <w:spacing w:after="0" w:line="221" w:lineRule="exact"/>
        <w:rPr>
          <w:sz w:val="20"/>
          <w:szCs w:val="20"/>
          <w:color w:val="auto"/>
        </w:rPr>
      </w:pPr>
    </w:p>
    <w:tbl>
      <w:tblPr>
        <w:tblLayout w:type="fixed"/>
        <w:tblInd w:w="12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8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Years Ended January 31,</w:t>
            </w:r>
          </w:p>
        </w:tc>
        <w:tc>
          <w:tcPr>
            <w:tcW w:w="1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460" w:type="dxa"/>
            <w:vAlign w:val="bottom"/>
          </w:tcPr>
          <w:p>
            <w:pPr>
              <w:spacing w:after="0"/>
              <w:rPr>
                <w:sz w:val="8"/>
                <w:szCs w:val="8"/>
                <w:color w:val="auto"/>
              </w:rPr>
            </w:pPr>
          </w:p>
        </w:tc>
        <w:tc>
          <w:tcPr>
            <w:tcW w:w="1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jc w:val="right"/>
              <w:ind w:right="302"/>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jc w:val="right"/>
              <w:ind w:right="319"/>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5"/>
                <w:szCs w:val="15"/>
                <w:color w:val="auto"/>
              </w:rPr>
            </w:pPr>
          </w:p>
        </w:tc>
        <w:tc>
          <w:tcPr>
            <w:tcW w:w="12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60" w:type="dxa"/>
            <w:vAlign w:val="bottom"/>
          </w:tcPr>
          <w:p>
            <w:pPr>
              <w:spacing w:after="0"/>
              <w:rPr>
                <w:sz w:val="9"/>
                <w:szCs w:val="9"/>
                <w:color w:val="auto"/>
              </w:rPr>
            </w:pPr>
          </w:p>
        </w:tc>
        <w:tc>
          <w:tcPr>
            <w:tcW w:w="1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19,004</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14,303</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60" w:type="dxa"/>
            <w:vAlign w:val="bottom"/>
          </w:tcPr>
          <w:p>
            <w:pPr>
              <w:spacing w:after="0"/>
              <w:rPr>
                <w:sz w:val="20"/>
                <w:szCs w:val="20"/>
                <w:color w:val="auto"/>
              </w:rPr>
            </w:pPr>
            <w:r>
              <w:rPr>
                <w:rFonts w:ascii="Arial" w:cs="Arial" w:eastAsia="Arial" w:hAnsi="Arial"/>
                <w:sz w:val="18"/>
                <w:szCs w:val="18"/>
                <w:color w:val="auto"/>
              </w:rPr>
              <w:t>% of net revenue</w:t>
            </w:r>
          </w:p>
        </w:tc>
        <w:tc>
          <w:tcPr>
            <w:tcW w:w="15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2.3%</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2.8%</w:t>
            </w: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5508625</wp:posOffset>
            </wp:positionH>
            <wp:positionV relativeFrom="paragraph">
              <wp:posOffset>-607695</wp:posOffset>
            </wp:positionV>
            <wp:extent cx="12700"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4016375</wp:posOffset>
            </wp:positionH>
            <wp:positionV relativeFrom="paragraph">
              <wp:posOffset>-607695</wp:posOffset>
            </wp:positionV>
            <wp:extent cx="12700" cy="889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-359410</wp:posOffset>
            </wp:positionV>
            <wp:extent cx="12700" cy="88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-359410</wp:posOffset>
            </wp:positionV>
            <wp:extent cx="12700" cy="88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4676775</wp:posOffset>
            </wp:positionH>
            <wp:positionV relativeFrom="paragraph">
              <wp:posOffset>-359410</wp:posOffset>
            </wp:positionV>
            <wp:extent cx="12700" cy="889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4016375</wp:posOffset>
            </wp:positionH>
            <wp:positionV relativeFrom="paragraph">
              <wp:posOffset>-359410</wp:posOffset>
            </wp:positionV>
            <wp:extent cx="12700" cy="889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-359410</wp:posOffset>
            </wp:positionV>
            <wp:extent cx="12700" cy="88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-359410</wp:posOffset>
            </wp:positionV>
            <wp:extent cx="12700" cy="889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increase in general and administrative expense in absolute dollars in fiscal 2004 compared to fiscal 2003 was primarily due to the net hiring of 24 additional administrative personnel and personnel related to our acquisition of RADLAN in June 2003 and costs associated with a full year of operations from the SysKonnect acquisition in June 2002, all of which resulted in an increase in salary and related costs of $2.9 million. Our expenses also increased due to higher professional fees of $1.6 million due to our expanding operations and attorney fees associated with our ongoing legal proceedings.</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21" w:lineRule="exact"/>
        <w:rPr>
          <w:sz w:val="20"/>
          <w:szCs w:val="20"/>
          <w:color w:val="auto"/>
        </w:rPr>
      </w:pPr>
    </w:p>
    <w:tbl>
      <w:tblPr>
        <w:tblLayout w:type="fixed"/>
        <w:tblInd w:w="1440" w:type="dxa"/>
        <w:tblCellMar>
          <w:top w:w="0" w:type="dxa"/>
          <w:left w:w="0" w:type="dxa"/>
          <w:bottom w:w="0" w:type="dxa"/>
          <w:right w:w="0" w:type="dxa"/>
        </w:tblCellMar>
      </w:tblPr>
      <w:tr>
        <w:trPr>
          <w:trHeight w:val="174"/>
        </w:trPr>
        <w:tc>
          <w:tcPr>
            <w:tcW w:w="40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w w:val="90"/>
              </w:rPr>
              <w:t>Years Ended January 31,</w:t>
            </w: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404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3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40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3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40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80" w:type="dxa"/>
            <w:vAlign w:val="bottom"/>
          </w:tcPr>
          <w:p>
            <w:pPr>
              <w:jc w:val="right"/>
              <w:ind w:right="202"/>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40" w:type="dxa"/>
            <w:vAlign w:val="bottom"/>
          </w:tcPr>
          <w:p>
            <w:pPr>
              <w:jc w:val="right"/>
              <w:ind w:right="199"/>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5"/>
                <w:szCs w:val="15"/>
                <w:color w:val="auto"/>
              </w:rPr>
            </w:pPr>
          </w:p>
        </w:tc>
        <w:tc>
          <w:tcPr>
            <w:tcW w:w="13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2004</w:t>
            </w:r>
          </w:p>
        </w:tc>
        <w:tc>
          <w:tcPr>
            <w:tcW w:w="0" w:type="dxa"/>
            <w:vAlign w:val="bottom"/>
          </w:tcPr>
          <w:p>
            <w:pPr>
              <w:spacing w:after="0"/>
              <w:rPr>
                <w:sz w:val="1"/>
                <w:szCs w:val="1"/>
                <w:color w:val="auto"/>
              </w:rPr>
            </w:pPr>
          </w:p>
        </w:tc>
      </w:tr>
      <w:tr>
        <w:trPr>
          <w:trHeight w:val="105"/>
        </w:trPr>
        <w:tc>
          <w:tcPr>
            <w:tcW w:w="404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404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6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stock-based compensation</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4,943</w:t>
            </w: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7,491</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r>
        <w:trPr>
          <w:trHeight w:val="222"/>
        </w:trPr>
        <w:tc>
          <w:tcPr>
            <w:tcW w:w="4040" w:type="dxa"/>
            <w:vAlign w:val="bottom"/>
          </w:tcPr>
          <w:p>
            <w:pPr>
              <w:spacing w:after="0"/>
              <w:rPr>
                <w:sz w:val="20"/>
                <w:szCs w:val="20"/>
                <w:color w:val="auto"/>
              </w:rPr>
            </w:pPr>
            <w:r>
              <w:rPr>
                <w:rFonts w:ascii="Arial" w:cs="Arial" w:eastAsia="Arial" w:hAnsi="Arial"/>
                <w:sz w:val="18"/>
                <w:szCs w:val="18"/>
                <w:color w:val="auto"/>
              </w:rPr>
              <w:t>% of net revenue</w:t>
            </w:r>
          </w:p>
        </w:tc>
        <w:tc>
          <w:tcPr>
            <w:tcW w:w="1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0.6%</w:t>
            </w: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1.5%</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5337175</wp:posOffset>
            </wp:positionH>
            <wp:positionV relativeFrom="paragraph">
              <wp:posOffset>-607695</wp:posOffset>
            </wp:positionV>
            <wp:extent cx="12700" cy="88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-607695</wp:posOffset>
            </wp:positionV>
            <wp:extent cx="12700" cy="88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-359410</wp:posOffset>
            </wp:positionV>
            <wp:extent cx="12700" cy="889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-359410</wp:posOffset>
            </wp:positionV>
            <wp:extent cx="12700" cy="889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4651375</wp:posOffset>
            </wp:positionH>
            <wp:positionV relativeFrom="paragraph">
              <wp:posOffset>-359410</wp:posOffset>
            </wp:positionV>
            <wp:extent cx="12700" cy="889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-359410</wp:posOffset>
            </wp:positionV>
            <wp:extent cx="12700" cy="889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-359410</wp:posOffset>
            </wp:positionV>
            <wp:extent cx="12700" cy="889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0" w:firstLine="348"/>
        <w:spacing w:after="0" w:line="291" w:lineRule="auto"/>
        <w:rPr>
          <w:sz w:val="20"/>
          <w:szCs w:val="20"/>
          <w:color w:val="auto"/>
        </w:rPr>
      </w:pPr>
      <w:r>
        <w:rPr>
          <w:rFonts w:ascii="Arial" w:cs="Arial" w:eastAsia="Arial" w:hAnsi="Arial"/>
          <w:sz w:val="16"/>
          <w:szCs w:val="16"/>
          <w:color w:val="auto"/>
        </w:rPr>
        <w:t>We have recorded deferred stock-based compensation in connection with the grant of stock options to our employees and directors prior to our initial public offering of common stock and in connection with the grant and assumption of stock options as a result of our acquisitions. Deferred stock-based compensation is being amortized using an accelerated method over the remaining option vesting period. The decrease in amortization expense in both absolute dollars and percentage of net revenue of fiscal 2004 compared to fiscal 2003 primarily resulted from a lower balance of deferred stock-based compensation being amortized in fiscal 2004 compared to fiscal 2003, partially offset by increased amortization expense from deferred stock-based compensation of $7.6 million recorded in fiscal 2004 as a result of acquisitions completed in fiscal 2004.</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43" w:name="page44"/>
    <w:bookmarkEnd w:id="43"/>
    <w:p>
      <w:pPr>
        <w:ind w:left="54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21"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540" w:type="dxa"/>
            <w:vAlign w:val="bottom"/>
            <w:gridSpan w:val="6"/>
          </w:tcPr>
          <w:p>
            <w:pPr>
              <w:jc w:val="right"/>
              <w:ind w:right="800"/>
              <w:spacing w:after="0"/>
              <w:rPr>
                <w:sz w:val="20"/>
                <w:szCs w:val="20"/>
                <w:color w:val="auto"/>
              </w:rPr>
            </w:pPr>
            <w:r>
              <w:rPr>
                <w:rFonts w:ascii="Arial" w:cs="Arial" w:eastAsia="Arial" w:hAnsi="Arial"/>
                <w:sz w:val="14"/>
                <w:szCs w:val="14"/>
                <w:b w:val="1"/>
                <w:bCs w:val="1"/>
                <w:color w:val="auto"/>
              </w:rPr>
              <w:t>Years Ended January 31,</w:t>
            </w:r>
          </w:p>
        </w:tc>
        <w:tc>
          <w:tcPr>
            <w:tcW w:w="1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3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9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3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8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jc w:val="right"/>
              <w:ind w:right="342"/>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20" w:type="dxa"/>
            <w:vAlign w:val="bottom"/>
          </w:tcPr>
          <w:p>
            <w:pPr>
              <w:jc w:val="right"/>
              <w:ind w:right="379"/>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5"/>
                <w:szCs w:val="15"/>
                <w:color w:val="auto"/>
              </w:rPr>
            </w:pPr>
          </w:p>
        </w:tc>
        <w:tc>
          <w:tcPr>
            <w:tcW w:w="13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w w:val="92"/>
              </w:rPr>
              <w:t>Amortization and write-off of acquired intangible assets and other</w:t>
            </w:r>
          </w:p>
        </w:tc>
        <w:tc>
          <w:tcPr>
            <w:tcW w:w="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80,390</w:t>
            </w:r>
          </w:p>
        </w:tc>
        <w:tc>
          <w:tcPr>
            <w:tcW w:w="2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107,645</w:t>
            </w:r>
          </w:p>
        </w:tc>
        <w:tc>
          <w:tcPr>
            <w:tcW w:w="26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9.8%</w:t>
            </w:r>
          </w:p>
        </w:tc>
        <w:tc>
          <w:tcPr>
            <w:tcW w:w="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21.3%</w:t>
            </w:r>
          </w:p>
        </w:tc>
        <w:tc>
          <w:tcPr>
            <w:tcW w:w="10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5525770</wp:posOffset>
            </wp:positionH>
            <wp:positionV relativeFrom="paragraph">
              <wp:posOffset>-607695</wp:posOffset>
            </wp:positionV>
            <wp:extent cx="12700" cy="889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-607695</wp:posOffset>
            </wp:positionV>
            <wp:extent cx="12700" cy="889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6383655</wp:posOffset>
            </wp:positionH>
            <wp:positionV relativeFrom="paragraph">
              <wp:posOffset>-359410</wp:posOffset>
            </wp:positionV>
            <wp:extent cx="12700" cy="889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5706110</wp:posOffset>
            </wp:positionH>
            <wp:positionV relativeFrom="paragraph">
              <wp:posOffset>-359410</wp:posOffset>
            </wp:positionV>
            <wp:extent cx="12700" cy="889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4608195</wp:posOffset>
            </wp:positionH>
            <wp:positionV relativeFrom="paragraph">
              <wp:posOffset>-359410</wp:posOffset>
            </wp:positionV>
            <wp:extent cx="12700" cy="889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-359410</wp:posOffset>
            </wp:positionV>
            <wp:extent cx="12700" cy="889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-359410</wp:posOffset>
            </wp:positionV>
            <wp:extent cx="12700" cy="889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-359410</wp:posOffset>
            </wp:positionV>
            <wp:extent cx="12700" cy="889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80" w:firstLine="351"/>
        <w:spacing w:after="0" w:line="287" w:lineRule="auto"/>
        <w:rPr>
          <w:sz w:val="20"/>
          <w:szCs w:val="20"/>
          <w:color w:val="auto"/>
        </w:rPr>
      </w:pPr>
      <w:r>
        <w:rPr>
          <w:rFonts w:ascii="Arial" w:cs="Arial" w:eastAsia="Arial" w:hAnsi="Arial"/>
          <w:sz w:val="16"/>
          <w:szCs w:val="16"/>
          <w:color w:val="auto"/>
        </w:rPr>
        <w:t>In connection with the acquisition of MSIL in the fourth quarter of fiscal 2001, we recorded $1.7 billion of goodwill and $434.7 million of acquired intangible assets. Acquired intangible assets are being amortized over its estimated economic life of five years. In January 2003, we decided to no longer use the Galileo trade name in selling and marketing activities going forward. As a result, we wrote-off the remaining $22.4 million net book value of the trade name in the fourth quarter of fiscal 2003. In connection with the acquisition of RADLAN, we recorded $118.1 million of goodwill, $5.7 million of acquired intangible assets and a charge of $1.9 million related to the recognition of pre-acquisition losses due to our prior investments in RADLAN. The acquired intangible assets from the RADLAN acquisition are being amortized over their estimated economic lives of two to five years. In connection with the acquisition of Asica, we recorded $5.1 million of goodwill and $360,000 of acquired intangible assets. The acquired intangible assets from the Asica acquisition are being amortized over their estimated economic life of five years. The decrease in goodwill and acquired intangible assets amortization expense in absolute dollars and as a percentage of revenue in fiscal 2004 compared to fiscal 2003 was primarily due to the $22.4 million write-off of the trade name in fiscal 2003, as well as amortization of the trade name in fiscal 2003 until it was written-off.</w:t>
      </w:r>
    </w:p>
    <w:p>
      <w:pPr>
        <w:spacing w:after="0" w:line="17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Facilities Consolidation Charge</w:t>
      </w:r>
    </w:p>
    <w:p>
      <w:pPr>
        <w:spacing w:after="0" w:line="221"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420" w:type="dxa"/>
            <w:vAlign w:val="bottom"/>
            <w:gridSpan w:val="6"/>
          </w:tcPr>
          <w:p>
            <w:pPr>
              <w:jc w:val="right"/>
              <w:ind w:right="620"/>
              <w:spacing w:after="0"/>
              <w:rPr>
                <w:sz w:val="20"/>
                <w:szCs w:val="20"/>
                <w:color w:val="auto"/>
              </w:rPr>
            </w:pPr>
            <w:r>
              <w:rPr>
                <w:rFonts w:ascii="Arial" w:cs="Arial" w:eastAsia="Arial" w:hAnsi="Arial"/>
                <w:sz w:val="14"/>
                <w:szCs w:val="14"/>
                <w:b w:val="1"/>
                <w:bCs w:val="1"/>
                <w:color w:val="auto"/>
              </w:rPr>
              <w:t>Years Ended January 31,</w:t>
            </w:r>
          </w:p>
        </w:tc>
        <w:tc>
          <w:tcPr>
            <w:tcW w:w="10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26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600" w:type="dxa"/>
            <w:vAlign w:val="bottom"/>
          </w:tcPr>
          <w:p>
            <w:pPr>
              <w:spacing w:after="0"/>
              <w:rPr>
                <w:sz w:val="8"/>
                <w:szCs w:val="8"/>
                <w:color w:val="auto"/>
              </w:rPr>
            </w:pPr>
          </w:p>
        </w:tc>
        <w:tc>
          <w:tcPr>
            <w:tcW w:w="14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210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jc w:val="right"/>
              <w:ind w:right="299"/>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5"/>
                <w:szCs w:val="15"/>
                <w:color w:val="auto"/>
              </w:rPr>
            </w:pPr>
          </w:p>
        </w:tc>
        <w:tc>
          <w:tcPr>
            <w:tcW w:w="12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4"/>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6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6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Facilities consolidation charge</w:t>
            </w:r>
          </w:p>
        </w:tc>
        <w:tc>
          <w:tcPr>
            <w:tcW w:w="2100" w:type="dxa"/>
            <w:vAlign w:val="bottom"/>
            <w:gridSpan w:val="2"/>
            <w:shd w:val="clear" w:color="auto" w:fill="CCEEFF"/>
          </w:tcPr>
          <w:p>
            <w:pPr>
              <w:jc w:val="right"/>
              <w:ind w:right="472"/>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5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19,562</w:t>
            </w:r>
          </w:p>
        </w:tc>
        <w:tc>
          <w:tcPr>
            <w:tcW w:w="2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40" w:type="dxa"/>
            <w:vAlign w:val="bottom"/>
          </w:tcPr>
          <w:p>
            <w:pPr>
              <w:ind w:left="60"/>
              <w:spacing w:after="0"/>
              <w:rPr>
                <w:sz w:val="20"/>
                <w:szCs w:val="20"/>
                <w:color w:val="auto"/>
              </w:rPr>
            </w:pPr>
            <w:r>
              <w:rPr>
                <w:rFonts w:ascii="Arial" w:cs="Arial" w:eastAsia="Arial" w:hAnsi="Arial"/>
                <w:sz w:val="18"/>
                <w:szCs w:val="18"/>
                <w:color w:val="auto"/>
                <w:w w:val="88"/>
              </w:rPr>
              <w:t>—</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3.9%</w:t>
            </w:r>
          </w:p>
        </w:tc>
        <w:tc>
          <w:tcPr>
            <w:tcW w:w="10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5440045</wp:posOffset>
            </wp:positionH>
            <wp:positionV relativeFrom="paragraph">
              <wp:posOffset>-607695</wp:posOffset>
            </wp:positionV>
            <wp:extent cx="12700" cy="889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4076700</wp:posOffset>
            </wp:positionH>
            <wp:positionV relativeFrom="paragraph">
              <wp:posOffset>-607695</wp:posOffset>
            </wp:positionV>
            <wp:extent cx="12700" cy="88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-359410</wp:posOffset>
            </wp:positionV>
            <wp:extent cx="12700" cy="88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5611495</wp:posOffset>
            </wp:positionH>
            <wp:positionV relativeFrom="paragraph">
              <wp:posOffset>-359410</wp:posOffset>
            </wp:positionV>
            <wp:extent cx="12700" cy="88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4617085</wp:posOffset>
            </wp:positionH>
            <wp:positionV relativeFrom="paragraph">
              <wp:posOffset>-359410</wp:posOffset>
            </wp:positionV>
            <wp:extent cx="12700" cy="889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4076700</wp:posOffset>
            </wp:positionH>
            <wp:positionV relativeFrom="paragraph">
              <wp:posOffset>-359410</wp:posOffset>
            </wp:positionV>
            <wp:extent cx="12700" cy="889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5440045</wp:posOffset>
            </wp:positionH>
            <wp:positionV relativeFrom="paragraph">
              <wp:posOffset>-359410</wp:posOffset>
            </wp:positionV>
            <wp:extent cx="12700" cy="889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-359410</wp:posOffset>
            </wp:positionV>
            <wp:extent cx="12700" cy="889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During fiscal 2003, we recorded a $19.6 million charge associated with costs of the consolidation of our facilities. This charge included $12.6 million in lease abandonment charges relating to the consolidation of three facilities in Silicon Valley into one location. This charge includes the remaining lease commitments of these facilities reduced by the estimated sublease income throughout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facilities were that the lease on our main California facility expired in February 2002, a decline in the market lease rates in Silicon Valley from the prior years and a focus on improving employee productivity by minimizing travel between facilities. During fiscal 2003, we consolidated our operations in California into one 213,000 square foot building that is leased until March 16, 2006.</w:t>
      </w:r>
    </w:p>
    <w:p>
      <w:pPr>
        <w:spacing w:after="0" w:line="172" w:lineRule="exact"/>
        <w:rPr>
          <w:sz w:val="20"/>
          <w:szCs w:val="20"/>
          <w:color w:val="auto"/>
        </w:rPr>
      </w:pPr>
    </w:p>
    <w:p>
      <w:pPr>
        <w:ind w:right="120" w:firstLine="348"/>
        <w:spacing w:after="0" w:line="256" w:lineRule="auto"/>
        <w:rPr>
          <w:sz w:val="20"/>
          <w:szCs w:val="20"/>
          <w:color w:val="auto"/>
        </w:rPr>
      </w:pPr>
      <w:r>
        <w:rPr>
          <w:rFonts w:ascii="Arial" w:cs="Arial" w:eastAsia="Arial" w:hAnsi="Arial"/>
          <w:sz w:val="18"/>
          <w:szCs w:val="18"/>
          <w:color w:val="auto"/>
        </w:rPr>
        <w:t>The facilities consolidation charge also includes $6.0 million associated with property and leasehold improvements relating to the abandoned facilities. The full carrying value of the property and leasehold improvements was written down as the assets were abandoned along with the leased facilities. We also incurred charges of $1.0 million through April 30, 2002 as a result of duplicate lease and other costs associated with the dual occupation of our current and abandoned facilities.</w:t>
      </w:r>
    </w:p>
    <w:p>
      <w:pPr>
        <w:spacing w:after="0" w:line="197" w:lineRule="exact"/>
        <w:rPr>
          <w:sz w:val="20"/>
          <w:szCs w:val="20"/>
          <w:color w:val="auto"/>
        </w:rPr>
      </w:pPr>
    </w:p>
    <w:p>
      <w:pPr>
        <w:ind w:right="60" w:firstLine="348"/>
        <w:spacing w:after="0" w:line="332" w:lineRule="auto"/>
        <w:rPr>
          <w:sz w:val="20"/>
          <w:szCs w:val="20"/>
          <w:color w:val="auto"/>
        </w:rPr>
      </w:pPr>
      <w:r>
        <w:rPr>
          <w:rFonts w:ascii="Arial" w:cs="Arial" w:eastAsia="Arial" w:hAnsi="Arial"/>
          <w:sz w:val="16"/>
          <w:szCs w:val="16"/>
          <w:color w:val="auto"/>
        </w:rPr>
        <w:t>We believe the consolidation of our California facilities has improved employee productivity by decreasing time and costs that were spent traveling between facilities and increasing the frequency of employee meetings between departments that were previously geographically dispersed. During the</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44" w:name="page45"/>
    <w:bookmarkEnd w:id="44"/>
    <w:p>
      <w:pPr>
        <w:spacing w:after="0" w:line="259" w:lineRule="auto"/>
        <w:rPr>
          <w:sz w:val="20"/>
          <w:szCs w:val="20"/>
          <w:color w:val="auto"/>
        </w:rPr>
      </w:pPr>
      <w:r>
        <w:rPr>
          <w:rFonts w:ascii="Arial" w:cs="Arial" w:eastAsia="Arial" w:hAnsi="Arial"/>
          <w:sz w:val="18"/>
          <w:szCs w:val="18"/>
          <w:color w:val="auto"/>
        </w:rPr>
        <w:t>quarter ended July 31, 2003, we subleased the abandoned facilities. Actual sublease income approximated the estimated sublease income. As of January 31, 2004, cash payments of $6.1 million, net of sublease income, had been made in connection with this charge, and $7.4 million had been accrued and is payable through 2010.</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Interest and Other Income, Net</w:t>
      </w:r>
    </w:p>
    <w:p>
      <w:pPr>
        <w:spacing w:after="0" w:line="221" w:lineRule="exact"/>
        <w:rPr>
          <w:sz w:val="20"/>
          <w:szCs w:val="20"/>
          <w:color w:val="auto"/>
        </w:rPr>
      </w:pPr>
    </w:p>
    <w:tbl>
      <w:tblPr>
        <w:tblLayout w:type="fixed"/>
        <w:tblInd w:w="1440" w:type="dxa"/>
        <w:tblCellMar>
          <w:top w:w="0" w:type="dxa"/>
          <w:left w:w="0" w:type="dxa"/>
          <w:bottom w:w="0" w:type="dxa"/>
          <w:right w:w="0" w:type="dxa"/>
        </w:tblCellMar>
      </w:tblPr>
      <w:tr>
        <w:trPr>
          <w:trHeight w:val="174"/>
        </w:trPr>
        <w:tc>
          <w:tcPr>
            <w:tcW w:w="35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w w:val="90"/>
              </w:rPr>
              <w:t>Years Ended January 31,</w:t>
            </w: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358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3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3580" w:type="dxa"/>
            <w:vAlign w:val="bottom"/>
          </w:tcPr>
          <w:p>
            <w:pPr>
              <w:spacing w:after="0"/>
              <w:rPr>
                <w:sz w:val="8"/>
                <w:szCs w:val="8"/>
                <w:color w:val="auto"/>
              </w:rPr>
            </w:pPr>
          </w:p>
        </w:tc>
        <w:tc>
          <w:tcPr>
            <w:tcW w:w="1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3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35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80" w:type="dxa"/>
            <w:vAlign w:val="bottom"/>
          </w:tcPr>
          <w:p>
            <w:pPr>
              <w:jc w:val="right"/>
              <w:ind w:right="202"/>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40" w:type="dxa"/>
            <w:vAlign w:val="bottom"/>
          </w:tcPr>
          <w:p>
            <w:pPr>
              <w:jc w:val="right"/>
              <w:ind w:right="199"/>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5"/>
                <w:szCs w:val="15"/>
                <w:color w:val="auto"/>
              </w:rPr>
            </w:pPr>
          </w:p>
        </w:tc>
        <w:tc>
          <w:tcPr>
            <w:tcW w:w="13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2004</w:t>
            </w:r>
          </w:p>
        </w:tc>
        <w:tc>
          <w:tcPr>
            <w:tcW w:w="0" w:type="dxa"/>
            <w:vAlign w:val="bottom"/>
          </w:tcPr>
          <w:p>
            <w:pPr>
              <w:spacing w:after="0"/>
              <w:rPr>
                <w:sz w:val="1"/>
                <w:szCs w:val="1"/>
                <w:color w:val="auto"/>
              </w:rPr>
            </w:pPr>
          </w:p>
        </w:tc>
      </w:tr>
      <w:tr>
        <w:trPr>
          <w:trHeight w:val="105"/>
        </w:trPr>
        <w:tc>
          <w:tcPr>
            <w:tcW w:w="358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58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6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6,223</w:t>
            </w: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7,318</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2"/>
        </w:trPr>
        <w:tc>
          <w:tcPr>
            <w:tcW w:w="3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0.8%</w:t>
            </w: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5337175</wp:posOffset>
            </wp:positionH>
            <wp:positionV relativeFrom="paragraph">
              <wp:posOffset>-607695</wp:posOffset>
            </wp:positionV>
            <wp:extent cx="12700" cy="889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-607695</wp:posOffset>
            </wp:positionV>
            <wp:extent cx="12700" cy="889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-359410</wp:posOffset>
            </wp:positionV>
            <wp:extent cx="12700" cy="88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-359410</wp:posOffset>
            </wp:positionV>
            <wp:extent cx="12700" cy="889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4651375</wp:posOffset>
            </wp:positionH>
            <wp:positionV relativeFrom="paragraph">
              <wp:posOffset>-359410</wp:posOffset>
            </wp:positionV>
            <wp:extent cx="12700" cy="88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-359410</wp:posOffset>
            </wp:positionV>
            <wp:extent cx="12700" cy="889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-359410</wp:posOffset>
            </wp:positionV>
            <wp:extent cx="12700" cy="88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0" w:firstLine="351"/>
        <w:spacing w:after="0" w:line="254"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and gains on the sale of marketable securities, offset by interest paid on capital lease obligations. The decrease in interest and other income, net in fiscal 2004 compared to fiscal 2003 was primarily due to an increase of $457,000 in interest expense on capital lease obligations as a result of new CAD software capital leases entered into in fiscal 2004, and lower realized gains of $1.3 million on the sale of marketable securities in fiscal 2004 compared to $1.6 million of realized gains on the sale of marketable securities in fiscal 2003, partially offset by higher interest income in fiscal 2004 due to higher average cash balances in fiscal 2004 compared to fiscal 2003.</w:t>
      </w:r>
    </w:p>
    <w:p>
      <w:pPr>
        <w:spacing w:after="0" w:line="198"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Provision for Income Taxes</w:t>
      </w:r>
    </w:p>
    <w:p>
      <w:pPr>
        <w:spacing w:after="0" w:line="221" w:lineRule="exact"/>
        <w:rPr>
          <w:sz w:val="20"/>
          <w:szCs w:val="20"/>
          <w:color w:val="auto"/>
        </w:rPr>
      </w:pPr>
    </w:p>
    <w:tbl>
      <w:tblPr>
        <w:tblLayout w:type="fixed"/>
        <w:tblInd w:w="13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18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w w:val="94"/>
              </w:rPr>
              <w:t>Years Ended January 31,</w:t>
            </w:r>
          </w:p>
        </w:tc>
        <w:tc>
          <w:tcPr>
            <w:tcW w:w="10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6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3460" w:type="dxa"/>
            <w:vAlign w:val="bottom"/>
          </w:tcPr>
          <w:p>
            <w:pPr>
              <w:spacing w:after="0"/>
              <w:rPr>
                <w:sz w:val="8"/>
                <w:szCs w:val="8"/>
                <w:color w:val="auto"/>
              </w:rPr>
            </w:pPr>
          </w:p>
        </w:tc>
        <w:tc>
          <w:tcPr>
            <w:tcW w:w="1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6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jc w:val="right"/>
              <w:ind w:right="302"/>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jc w:val="right"/>
              <w:ind w:right="219"/>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5"/>
                <w:szCs w:val="15"/>
                <w:color w:val="auto"/>
              </w:rPr>
            </w:pPr>
          </w:p>
        </w:tc>
        <w:tc>
          <w:tcPr>
            <w:tcW w:w="12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60" w:type="dxa"/>
            <w:vAlign w:val="bottom"/>
          </w:tcPr>
          <w:p>
            <w:pPr>
              <w:spacing w:after="0"/>
              <w:rPr>
                <w:sz w:val="9"/>
                <w:szCs w:val="9"/>
                <w:color w:val="auto"/>
              </w:rPr>
            </w:pPr>
          </w:p>
        </w:tc>
        <w:tc>
          <w:tcPr>
            <w:tcW w:w="16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60" w:type="dxa"/>
            <w:vAlign w:val="bottom"/>
          </w:tcPr>
          <w:p>
            <w:pPr>
              <w:spacing w:after="0"/>
              <w:rPr>
                <w:sz w:val="9"/>
                <w:szCs w:val="9"/>
                <w:color w:val="auto"/>
              </w:rPr>
            </w:pPr>
          </w:p>
        </w:tc>
        <w:tc>
          <w:tcPr>
            <w:tcW w:w="1620" w:type="dxa"/>
            <w:vAlign w:val="bottom"/>
          </w:tcPr>
          <w:p>
            <w:pPr>
              <w:spacing w:after="0"/>
              <w:rPr>
                <w:sz w:val="9"/>
                <w:szCs w:val="9"/>
                <w:color w:val="auto"/>
              </w:rPr>
            </w:pPr>
          </w:p>
        </w:tc>
        <w:tc>
          <w:tcPr>
            <w:tcW w:w="20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17,842</w:t>
            </w:r>
          </w:p>
        </w:tc>
        <w:tc>
          <w:tcPr>
            <w:tcW w:w="2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8,524</w:t>
            </w:r>
          </w:p>
        </w:tc>
        <w:tc>
          <w:tcPr>
            <w:tcW w:w="2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109.3%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60" w:type="dxa"/>
            <w:vAlign w:val="bottom"/>
          </w:tcPr>
          <w:p>
            <w:pPr>
              <w:spacing w:after="0"/>
              <w:rPr>
                <w:sz w:val="20"/>
                <w:szCs w:val="20"/>
                <w:color w:val="auto"/>
              </w:rPr>
            </w:pPr>
            <w:r>
              <w:rPr>
                <w:rFonts w:ascii="Arial" w:cs="Arial" w:eastAsia="Arial" w:hAnsi="Arial"/>
                <w:sz w:val="18"/>
                <w:szCs w:val="18"/>
                <w:color w:val="auto"/>
              </w:rPr>
              <w:t>% of net revenue</w:t>
            </w:r>
          </w:p>
        </w:tc>
        <w:tc>
          <w:tcPr>
            <w:tcW w:w="1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2.2%</w:t>
            </w: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1.7%</w:t>
            </w:r>
          </w:p>
        </w:tc>
        <w:tc>
          <w:tcPr>
            <w:tcW w:w="10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5457190</wp:posOffset>
            </wp:positionH>
            <wp:positionV relativeFrom="paragraph">
              <wp:posOffset>-607695</wp:posOffset>
            </wp:positionV>
            <wp:extent cx="12700" cy="889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-607695</wp:posOffset>
            </wp:positionV>
            <wp:extent cx="12700" cy="889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-359410</wp:posOffset>
            </wp:positionV>
            <wp:extent cx="12700" cy="889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5628640</wp:posOffset>
            </wp:positionH>
            <wp:positionV relativeFrom="paragraph">
              <wp:posOffset>-359410</wp:posOffset>
            </wp:positionV>
            <wp:extent cx="12700" cy="88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4754245</wp:posOffset>
            </wp:positionH>
            <wp:positionV relativeFrom="paragraph">
              <wp:posOffset>-359410</wp:posOffset>
            </wp:positionV>
            <wp:extent cx="12700" cy="889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-359410</wp:posOffset>
            </wp:positionV>
            <wp:extent cx="12700" cy="88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-359410</wp:posOffset>
            </wp:positionV>
            <wp:extent cx="12700" cy="889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4925695</wp:posOffset>
            </wp:positionH>
            <wp:positionV relativeFrom="paragraph">
              <wp:posOffset>-359410</wp:posOffset>
            </wp:positionV>
            <wp:extent cx="12700" cy="8890"/>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40" w:firstLine="351"/>
        <w:spacing w:after="0" w:line="306" w:lineRule="auto"/>
        <w:rPr>
          <w:sz w:val="20"/>
          <w:szCs w:val="20"/>
          <w:color w:val="auto"/>
        </w:rPr>
      </w:pPr>
      <w:r>
        <w:rPr>
          <w:rFonts w:ascii="Arial" w:cs="Arial" w:eastAsia="Arial" w:hAnsi="Arial"/>
          <w:sz w:val="16"/>
          <w:szCs w:val="16"/>
          <w:color w:val="auto"/>
        </w:rPr>
        <w:t>Our effective tax rate was 28.2% for fiscal 2004 compared to (13.4)% for fiscal 2003. For fiscals 2004 and 2003 the effective rates were both affected by stock-based compensation and non-deductible expenses relating to our acquisitions, which were recorded as a result of using purchase accounting. Additionally, in fiscal 2004 and 2003, income earned in locations outside the U.S. was taxed at lower income tax rates.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260" w:firstLine="351"/>
        <w:spacing w:after="0" w:line="370" w:lineRule="auto"/>
        <w:rPr>
          <w:sz w:val="20"/>
          <w:szCs w:val="20"/>
          <w:color w:val="auto"/>
        </w:rPr>
      </w:pPr>
      <w:r>
        <w:rPr>
          <w:rFonts w:ascii="Arial" w:cs="Arial" w:eastAsia="Arial" w:hAnsi="Arial"/>
          <w:sz w:val="15"/>
          <w:szCs w:val="15"/>
          <w:color w:val="auto"/>
        </w:rPr>
        <w:t>Our principal source of liquidity as of January 31, 2005 consisted of $660.0 million of cash, cash equivalents and short-term investments. Since our inception, we have financed our operations through a combination of sales of equity securities, cash generated by operations and cash assumed in acquisitions.</w:t>
      </w:r>
    </w:p>
    <w:p>
      <w:pPr>
        <w:spacing w:after="0" w:line="11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Net cash provided by operating activities was $221.5 million for fiscal 2005 compared to $149.8 million for fiscal 2004 and $40.8 million for fiscal 2003. The cash inflow from operations in fiscal 2005 was primarily the result of our generation of income during the period and changes in working capital. Non-cash charges in fiscal 2005 included $79.0 million related to amortization of acquired intangible assets and other, $44.3 million of depreciation and amortization expense, $5.4 million related to the tax benefit from employee stock transactions, $4.0 million of amortization of stock-based compensation and $2.4 million for a charge in connection with a facilities consolidation. Significant working capital changes contributing to positive cash flow in fiscal 2005 included an increase of $25.3 in income tax payable resulting from taxable income for fiscal 2005, an increase of $11.2 million in accrued compensation primarily related to an increase in the number of employee contributions under the employee stock purchase plan and higher benefit related obligations as a result of the increase in number of employees and an increase of $8.5 million in accounts payable resulting primarily from amounts due to our suppliers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45" w:name="page46"/>
    <w:bookmarkEnd w:id="45"/>
    <w:p>
      <w:pPr>
        <w:spacing w:after="0"/>
        <w:rPr>
          <w:sz w:val="20"/>
          <w:szCs w:val="20"/>
          <w:color w:val="auto"/>
        </w:rPr>
      </w:pPr>
      <w:r>
        <w:rPr>
          <w:rFonts w:ascii="Arial" w:cs="Arial" w:eastAsia="Arial" w:hAnsi="Arial"/>
          <w:sz w:val="18"/>
          <w:szCs w:val="18"/>
          <w:color w:val="auto"/>
        </w:rPr>
        <w:t>relating to increased inventory purchases during fiscal 2005 as well as higher overall spending activity related to our expanding operations.</w:t>
      </w:r>
    </w:p>
    <w:p>
      <w:pPr>
        <w:spacing w:after="0" w:line="225"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Significant working capital changes offsetting positive cash flows in fiscal 2005 included an increase in accounts receivable of $64.4 million primarily due to higher net revenue in fiscal 2005 as compared to fiscal 2004. Although accounts receivable has increased, the days sales outstanding metric, or DSO, which is calculated on a quarterly basis, remained reasonably consistent at the end of fiscal 2005 as compared to the end of fiscal 2004 in the range of 49 to 54 days. Many of our larger customers have regularly scheduled payment dates with some of the dates falling immediately before or after our fiscal year-end. As a result, our accounts receivable balance and DSO may fluctuate depending on the timing of large payments made by our customers. Inventory increased by $37.1 million primarily as a result of increased volumes of purchase orders received from our customers and associated purchases of inventory required to meet customer demand. The number of days of inventory which is calculated on a quarterly basis, has remained reasonably consistent at 71 days at the end of both fiscal 2005 and 2004. We continue to effectively manage our inventory levels in response to longer production lead times.</w:t>
      </w:r>
    </w:p>
    <w:p>
      <w:pPr>
        <w:spacing w:after="0" w:line="172" w:lineRule="exact"/>
        <w:rPr>
          <w:sz w:val="20"/>
          <w:szCs w:val="20"/>
          <w:color w:val="auto"/>
        </w:rPr>
      </w:pPr>
    </w:p>
    <w:p>
      <w:pPr>
        <w:ind w:right="140" w:firstLine="351"/>
        <w:spacing w:after="0" w:line="289" w:lineRule="auto"/>
        <w:rPr>
          <w:sz w:val="20"/>
          <w:szCs w:val="20"/>
          <w:color w:val="auto"/>
        </w:rPr>
      </w:pPr>
      <w:r>
        <w:rPr>
          <w:rFonts w:ascii="Arial" w:cs="Arial" w:eastAsia="Arial" w:hAnsi="Arial"/>
          <w:sz w:val="16"/>
          <w:szCs w:val="16"/>
          <w:color w:val="auto"/>
        </w:rPr>
        <w:t>During fiscal 2004, net cash provided by operating activities was $149.8 million. The cash inflow from operations in fiscal 2004 was primarily the result of our generation of income during the period and changes in working capital. Non-cash charges in fiscal 2004 included $80.4 million related to the amortization and write-off of goodwill and acquired intangible assets and other, $33.7 million of depreciation and amortization expense and $4.9 million of amortization of stock-based compensation. Significant working capital changes contributing to positive cash inflow in fiscal 2004 included an increase of $71.9 million in accounts payable resulting primarily from amounts due to our suppliers related to increased inventory purchases during fiscal 2004, and higher overall spending activity related to our expanding operations and an increase of $8.3 million relating to accrued employee compensation, primarily as the result of increased withholding taxes from the exercise of stock options by employees and increased accrued paid time-off due primarily to the increase in number of employees in fiscal 2004 compared to fiscal 2003.</w:t>
      </w:r>
    </w:p>
    <w:p>
      <w:pPr>
        <w:spacing w:after="0" w:line="172" w:lineRule="exact"/>
        <w:rPr>
          <w:sz w:val="20"/>
          <w:szCs w:val="20"/>
          <w:color w:val="auto"/>
        </w:rPr>
      </w:pPr>
    </w:p>
    <w:p>
      <w:pPr>
        <w:ind w:right="40" w:firstLine="351"/>
        <w:spacing w:after="0" w:line="291" w:lineRule="auto"/>
        <w:rPr>
          <w:sz w:val="20"/>
          <w:szCs w:val="20"/>
          <w:color w:val="auto"/>
        </w:rPr>
      </w:pPr>
      <w:r>
        <w:rPr>
          <w:rFonts w:ascii="Arial" w:cs="Arial" w:eastAsia="Arial" w:hAnsi="Arial"/>
          <w:sz w:val="16"/>
          <w:szCs w:val="16"/>
          <w:color w:val="auto"/>
        </w:rPr>
        <w:t>Significant working capital changes offsetting positive cash flow in fiscal 2004 included a $50.2 million increase in accounts receivable, which was primarily due to increases in our net revenue in fiscal 2004 as compared to fiscal 2003. Although accounts receivable has increased, DSO remained reasonably consistent at the end of fiscal 2004 in the range of 48 to 50 days. Inventory increased by $52.1 million, primarily as a result of increased volumes of purchase orders received from our customers and associated purchases of inventory required to meet such customer demand. The number of days of inventory, increased at the end of fiscal 2004 to 71 days compared to 51 days at the end of fiscal 2003 as we began to build buffer inventory in the second half of fiscal 2004 in anticipation of longer production lead times and tighter capacity constraints at our foundries.</w:t>
      </w:r>
    </w:p>
    <w:p>
      <w:pPr>
        <w:spacing w:after="0" w:line="174"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color w:val="auto"/>
        </w:rPr>
        <w:t>During fiscal 2003, net cash provided by operating activities was $40.8 million. The cash inflow from operations in fiscal 2003 was primarily the result of our generation of income during the period and changes in working capital. Non-cash charges in fiscal 2003 included $107.6 million related to the amortization and write-off of goodwill and intangible assets, $22.4 million of depreciation and amortization expense, $7.5 million of amortization of stock-based compensation and $6.0 million related to facilities consolidation. Significant working capital changes contributing to positive cash inflow in fiscal 2003 included an increase of $16.3 million in accounts payable resulting primarily from amounts due to our suppliers related to increased inventory purchases during fiscal 2003, an increase of $10.3 million relating to an accrued facilities consolidation charge recorded during fiscal 2003 as a result of the consolidation of our facilities and an increase of $8.1 million in income taxes payable resulting from effective tax rates that were affected by stock-based compensation expense and non-deductible expenses related to our acquisition of MSIL in the fourth quarter of fiscal 2001.</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46" w:name="page47"/>
    <w:bookmarkEnd w:id="46"/>
    <w:p>
      <w:pPr>
        <w:ind w:right="280" w:firstLine="351"/>
        <w:spacing w:after="0" w:line="256" w:lineRule="auto"/>
        <w:rPr>
          <w:sz w:val="20"/>
          <w:szCs w:val="20"/>
          <w:color w:val="auto"/>
        </w:rPr>
      </w:pPr>
      <w:r>
        <w:rPr>
          <w:rFonts w:ascii="Arial" w:cs="Arial" w:eastAsia="Arial" w:hAnsi="Arial"/>
          <w:sz w:val="18"/>
          <w:szCs w:val="18"/>
          <w:color w:val="auto"/>
        </w:rPr>
        <w:t>Significant working capital changes offsetting positive cash flow in fiscal 2003 included a $42.6 million increase in accounts receivable, which was primarily due to increases in our net revenue in fiscal 2003 as compared to fiscal 2002. Inventory increased by $14.3 million, primarily as a result of increased volumes of purchase orders received from customers and associated purchases of inventory required to meet such customer demand. Prepaid and other assets increased by $7.3 million primarily due to prepayment of a royalty to a customer.</w:t>
      </w:r>
    </w:p>
    <w:p>
      <w:pPr>
        <w:spacing w:after="0" w:line="197" w:lineRule="exact"/>
        <w:rPr>
          <w:sz w:val="20"/>
          <w:szCs w:val="20"/>
          <w:color w:val="auto"/>
        </w:rPr>
      </w:pPr>
    </w:p>
    <w:p>
      <w:pPr>
        <w:ind w:right="220" w:firstLine="351"/>
        <w:spacing w:after="0" w:line="289"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Net cash used in investing activities was $348.1 million for the fiscal 2005 compared to net cash used in investing activities of $168.0 million for fiscal 2004 and net cash used in investing activities of $55.8 million for fiscal 2003. The net cash used in investing activities in fiscal 2005 was primarily due to purchases of short-term investments of $433.2 million, purchases of property and equipment of $45.8 million, and purchases of technology licenses of $16.2 million, partially offset by the proceeds from the sales and maturities of short-term investments of $149.3 million. The net cash used in investing activities in fiscal 2004 was primarily due to purchases of short-term investments of $216.3 million, purchases of property and equipment of $95.2 million and loan advances of $10.2 million, partially offset by the proceeds from the sales and maturities of short-term investments of $155.6 million. In fiscal 2004, the significant increase in purchases of property and equipment is primarily due to our purchase of six buildings on 33.8 acres of land in Santa Clara, California for a total cost of $63.9 million. The net cash used in investing activities in fiscal 2003 was primarily due to purchases of short-term investments of $94.5 million, equity investments in other companies of $18.3 million and purchases of property and equipment of $28.8 million, partially offset by the proceeds from the sale and maturities of short-term investments of $85.2 million.</w:t>
      </w:r>
    </w:p>
    <w:p>
      <w:pPr>
        <w:spacing w:after="0" w:line="17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40" w:firstLine="351"/>
        <w:spacing w:after="0" w:line="287" w:lineRule="auto"/>
        <w:rPr>
          <w:sz w:val="20"/>
          <w:szCs w:val="20"/>
          <w:color w:val="auto"/>
        </w:rPr>
      </w:pPr>
      <w:r>
        <w:rPr>
          <w:rFonts w:ascii="Arial" w:cs="Arial" w:eastAsia="Arial" w:hAnsi="Arial"/>
          <w:sz w:val="16"/>
          <w:szCs w:val="16"/>
          <w:color w:val="auto"/>
        </w:rPr>
        <w:t>Net cash provided by financing activities was $119.1 million for fiscal 2005 compared to $80.0 million for fiscal 2004 and $20.3 million for fiscal 2003. In fiscal 2005, net cash provided by financing activities was attributable to proceeds from the issuance of common stock under our stock option and employee stock purchase plans, partially offset by principal payments on capital lease obligations. The increase in proceeds from the issuance of common stock is primarily due to the exercises of stock options as a result of the increase in our stock price. The increase in capital lease obligations is due to additional CAD software licenses, which we have acquired for use in our research and development activities. In fiscal 2004, net cash provided by financing activities was attributable to proceeds from the issuance of common stock under our stock option and employee stock purchase plans, partially offset by principal payments on capital lease obligations. The increase in proceeds from the issuance of common stock is due to exercises of stock options by employees as a result of the increase in our stock price. The increase in capital lease obligations is due to additional CAD software licenses, which we have acquired for use in our research and development activities. In fiscal 2003, net cash provided by financing activities was attributable to proceeds from the issuance of common stock under our stock option plans and our employee stock purchase plan.</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7" w:name="page48"/>
    <w:bookmarkEnd w:id="47"/>
    <w:p>
      <w:pPr>
        <w:ind w:left="54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31" w:lineRule="exact"/>
        <w:rPr>
          <w:sz w:val="20"/>
          <w:szCs w:val="20"/>
          <w:color w:val="auto"/>
        </w:rPr>
      </w:pPr>
    </w:p>
    <w:p>
      <w:pPr>
        <w:ind w:right="60" w:firstLine="351"/>
        <w:spacing w:after="0" w:line="335" w:lineRule="auto"/>
        <w:rPr>
          <w:sz w:val="20"/>
          <w:szCs w:val="20"/>
          <w:color w:val="auto"/>
        </w:rPr>
      </w:pPr>
      <w:r>
        <w:rPr>
          <w:rFonts w:ascii="Arial" w:cs="Arial" w:eastAsia="Arial" w:hAnsi="Arial"/>
          <w:sz w:val="15"/>
          <w:szCs w:val="15"/>
          <w:color w:val="auto"/>
        </w:rPr>
        <w:t>Our relationships with our foundries allow us to cancel all outstanding purchase orders, provided we pay the foundries for all expenses they have incurred in connection with our purchase orders through the date of cancellation. As of January 31, 2005, foundries had incurred approximately $65.6 million of manufacturing expenses on our outstanding purchase orders. The purchase obligations are included in outstanding purchase commitments as of January 31, 2005.</w:t>
      </w:r>
    </w:p>
    <w:p>
      <w:pPr>
        <w:spacing w:after="0" w:line="142" w:lineRule="exact"/>
        <w:rPr>
          <w:sz w:val="20"/>
          <w:szCs w:val="20"/>
          <w:color w:val="auto"/>
        </w:rPr>
      </w:pPr>
    </w:p>
    <w:p>
      <w:pPr>
        <w:ind w:right="180" w:firstLine="351"/>
        <w:spacing w:after="0" w:line="259"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July 1, 2005. In return, we agreed to pay the foundry $106.0 million in fiscal 2006 and $68.2 million in fiscal 2007.</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5"/>
          <w:szCs w:val="15"/>
          <w:color w:val="auto"/>
        </w:rPr>
        <w:t>In October 2001, we entered into a lease agreement with Yahoo! Inc. to lease a building in Sunnyvale, California consisting of approximately 213,000 square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feet. The lease commenced on January 1, 2002 and continues through March 16, 2006. Total rent payments over the term of the lease will be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$19.4 million. In February 2002, we consolidated our three existing facilities in California into this new building. The lease on one of our former facilities expired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February 2002, but we have ongoing, non-cancelable leases for the two other facilities. During fiscal 2003, we recorded a $19.6 million charge associated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costs of consolidation of our facilities. This charge included $12.6 million in lease abandonment charges relating to the consolidation of our three facilities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into one location. This charge included the remaining lease commitments of these facilities reduced by the estimated sublease income for the duration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the lease term. During the second quarter of fiscal 2004, we obtained subleases for the abandoned facilities. Actual sublease income approximated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estimated sublease income, but is less than our actual lease commitments, resulting in negative cash flow over the remaining term of the subleases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$5.1 million. At January 31, 2005, cash payments of $8.4 million, net of sublease income had been made in connection with this charge.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$5.1 million is accrued for this facilities consolidation charge as of January 31, 2005 of which $1.3 million is the current portion included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accrued liabilities while the long-term portion totaling $3.8 million is payable through 2010.</w:t>
      </w:r>
    </w:p>
    <w:p>
      <w:pPr>
        <w:spacing w:after="0" w:line="219" w:lineRule="exact"/>
        <w:rPr>
          <w:sz w:val="20"/>
          <w:szCs w:val="20"/>
          <w:color w:val="auto"/>
        </w:rPr>
      </w:pPr>
    </w:p>
    <w:p>
      <w:pPr>
        <w:ind w:right="180" w:firstLine="351"/>
        <w:spacing w:after="0" w:line="294" w:lineRule="auto"/>
        <w:rPr>
          <w:sz w:val="20"/>
          <w:szCs w:val="20"/>
          <w:color w:val="auto"/>
        </w:rPr>
      </w:pPr>
      <w:r>
        <w:rPr>
          <w:rFonts w:ascii="Arial" w:cs="Arial" w:eastAsia="Arial" w:hAnsi="Arial"/>
          <w:sz w:val="16"/>
          <w:szCs w:val="16"/>
          <w:color w:val="auto"/>
        </w:rPr>
        <w:t>During the third quarter of fiscal 2005,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We completed the consolidation of the majority of our Israel operations into one facility during the third quarter of fiscal 2005. Approximately $0.1 million is accrued for this facilities consolidation charge as of January 31, 2005 and is included in accrued liabilities.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June 27, 2003, we completed the acquisition of RADLAN. Upon the closing, we issued a total of 2,635,284 shares of common stock (valued at</w:t>
      </w:r>
    </w:p>
    <w:p>
      <w:pPr>
        <w:spacing w:after="0" w:line="38"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$24.0 million) and assumed 313,926 of vested options (valued at $2.9 million). In addition, we issued warrants to purchase 1,086,366 shares of our common stock at an exercise price of $9.21 per share (valued at $7.5 million). On October 6, 2003, we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our common stock were reserved for future issuance over a one-year period to former RADLAN shareholders, which was dependent upon our revenues from certain products for the year ended January 31, 2005 compared to the year ended January 31, 2004. As of January 31, 2005, all 1,023,256 shares reserved for future issuance to former RADLAN shareholders were earned based on our achievement of revenues from certain products during fiscal 2005. Certificates for 614,624 shares earned through August 1, 2004 were issued on December 28, 2004. The remaining 408,632 shares earned subsequent to August 1, 2004 are to be issued approximately 24 months from the closing date.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48" w:name="page49"/>
    <w:bookmarkEnd w:id="48"/>
    <w:p>
      <w:pPr>
        <w:ind w:right="20" w:firstLine="351"/>
        <w:spacing w:after="0" w:line="312" w:lineRule="auto"/>
        <w:rPr>
          <w:sz w:val="20"/>
          <w:szCs w:val="20"/>
          <w:color w:val="auto"/>
        </w:rPr>
      </w:pPr>
      <w:r>
        <w:rPr>
          <w:rFonts w:ascii="Arial" w:cs="Arial" w:eastAsia="Arial" w:hAnsi="Arial"/>
          <w:sz w:val="15"/>
          <w:szCs w:val="15"/>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 significant commitments and incur costs to improve the buildings over the next twelve to eighteen months. Based upon our current forecasts, we currently expect to spend approximately $50.0 million to $60.0 million for building improvements over the next twelve to eighteen months, of which $35.0 million has been committed in the form of non-cancelable purchase orders.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59" w:lineRule="exact"/>
        <w:rPr>
          <w:sz w:val="20"/>
          <w:szCs w:val="20"/>
          <w:color w:val="auto"/>
        </w:rPr>
      </w:pPr>
    </w:p>
    <w:p>
      <w:pPr>
        <w:ind w:right="120" w:firstLine="348"/>
        <w:spacing w:after="0" w:line="288"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74" w:lineRule="exact"/>
        <w:rPr>
          <w:sz w:val="20"/>
          <w:szCs w:val="20"/>
          <w:color w:val="auto"/>
        </w:rPr>
      </w:pPr>
    </w:p>
    <w:p>
      <w:pPr>
        <w:ind w:right="140" w:firstLine="348"/>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31, 2005 and the effect that such obligations are expected to have on our liquidity and cash flow in future periods (in thousands):</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60" w:type="dxa"/>
            <w:vAlign w:val="bottom"/>
            <w:gridSpan w:val="6"/>
          </w:tcPr>
          <w:p>
            <w:pPr>
              <w:jc w:val="right"/>
              <w:ind w:right="120"/>
              <w:spacing w:after="0"/>
              <w:rPr>
                <w:sz w:val="20"/>
                <w:szCs w:val="20"/>
                <w:color w:val="auto"/>
              </w:rPr>
            </w:pPr>
            <w:r>
              <w:rPr>
                <w:rFonts w:ascii="Arial" w:cs="Arial" w:eastAsia="Arial" w:hAnsi="Arial"/>
                <w:sz w:val="14"/>
                <w:szCs w:val="14"/>
                <w:b w:val="1"/>
                <w:bCs w:val="1"/>
                <w:color w:val="auto"/>
              </w:rPr>
              <w:t>Payments Due by Period</w:t>
            </w: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00" w:type="dxa"/>
            <w:vAlign w:val="bottom"/>
          </w:tcPr>
          <w:p>
            <w:pPr>
              <w:jc w:val="right"/>
              <w:ind w:right="356"/>
              <w:spacing w:after="0"/>
              <w:rPr>
                <w:sz w:val="20"/>
                <w:szCs w:val="20"/>
                <w:color w:val="auto"/>
              </w:rPr>
            </w:pPr>
            <w:r>
              <w:rPr>
                <w:rFonts w:ascii="Arial" w:cs="Arial" w:eastAsia="Arial" w:hAnsi="Arial"/>
                <w:sz w:val="14"/>
                <w:szCs w:val="14"/>
                <w:b w:val="1"/>
                <w:bCs w:val="1"/>
                <w:color w:val="auto"/>
              </w:rPr>
              <w:t>2006</w:t>
            </w: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20" w:type="dxa"/>
            <w:vAlign w:val="bottom"/>
          </w:tcPr>
          <w:p>
            <w:pPr>
              <w:jc w:val="right"/>
              <w:ind w:right="316"/>
              <w:spacing w:after="0"/>
              <w:rPr>
                <w:sz w:val="20"/>
                <w:szCs w:val="20"/>
                <w:color w:val="auto"/>
              </w:rPr>
            </w:pPr>
            <w:r>
              <w:rPr>
                <w:rFonts w:ascii="Arial" w:cs="Arial" w:eastAsia="Arial" w:hAnsi="Arial"/>
                <w:sz w:val="14"/>
                <w:szCs w:val="14"/>
                <w:b w:val="1"/>
                <w:bCs w:val="1"/>
                <w:color w:val="auto"/>
              </w:rPr>
              <w:t>2007</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258"/>
              <w:spacing w:after="0"/>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256"/>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00" w:type="dxa"/>
            <w:vAlign w:val="bottom"/>
          </w:tcPr>
          <w:p>
            <w:pPr>
              <w:jc w:val="right"/>
              <w:ind w:right="236"/>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60" w:type="dxa"/>
            <w:vAlign w:val="bottom"/>
          </w:tcPr>
          <w:p>
            <w:pPr>
              <w:jc w:val="right"/>
              <w:ind w:right="176"/>
              <w:spacing w:after="0"/>
              <w:rPr>
                <w:sz w:val="20"/>
                <w:szCs w:val="20"/>
                <w:color w:val="auto"/>
              </w:rPr>
            </w:pPr>
            <w:r>
              <w:rPr>
                <w:rFonts w:ascii="Arial" w:cs="Arial" w:eastAsia="Arial" w:hAnsi="Arial"/>
                <w:sz w:val="14"/>
                <w:szCs w:val="14"/>
                <w:b w:val="1"/>
                <w:bCs w:val="1"/>
                <w:color w:val="auto"/>
                <w:w w:val="99"/>
              </w:rPr>
              <w:t>Thereafter</w:t>
            </w:r>
          </w:p>
        </w:tc>
        <w:tc>
          <w:tcPr>
            <w:tcW w:w="10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780" w:type="dxa"/>
            <w:vAlign w:val="bottom"/>
          </w:tcPr>
          <w:p>
            <w:pPr>
              <w:jc w:val="right"/>
              <w:ind w:right="276"/>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260" w:type="dxa"/>
            <w:vAlign w:val="bottom"/>
            <w:shd w:val="clear" w:color="auto" w:fill="CCEEFF"/>
          </w:tcPr>
          <w:p>
            <w:pPr>
              <w:spacing w:after="0"/>
              <w:rPr>
                <w:sz w:val="18"/>
                <w:szCs w:val="18"/>
                <w:color w:val="auto"/>
              </w:rPr>
            </w:pPr>
          </w:p>
        </w:tc>
        <w:tc>
          <w:tcPr>
            <w:tcW w:w="900" w:type="dxa"/>
            <w:vAlign w:val="bottom"/>
            <w:tcBorders>
              <w:right w:val="single" w:sz="8" w:color="CCEEFF"/>
            </w:tcBorders>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Operating leases</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11,401</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4,981</w:t>
            </w:r>
          </w:p>
        </w:tc>
        <w:tc>
          <w:tcPr>
            <w:tcW w:w="3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3,783</w:t>
            </w:r>
          </w:p>
        </w:tc>
        <w:tc>
          <w:tcPr>
            <w:tcW w:w="120" w:type="dxa"/>
            <w:vAlign w:val="bottom"/>
          </w:tcPr>
          <w:p>
            <w:pPr>
              <w:spacing w:after="0"/>
              <w:rPr>
                <w:sz w:val="18"/>
                <w:szCs w:val="18"/>
                <w:color w:val="auto"/>
              </w:rPr>
            </w:pP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3,064</w:t>
            </w: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2,466</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6,754</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32,449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Capital lease obligations</w:t>
            </w:r>
          </w:p>
        </w:tc>
        <w:tc>
          <w:tcPr>
            <w:tcW w:w="260" w:type="dxa"/>
            <w:vAlign w:val="bottom"/>
            <w:shd w:val="clear" w:color="auto" w:fill="CCEEFF"/>
          </w:tcPr>
          <w:p>
            <w:pPr>
              <w:spacing w:after="0"/>
              <w:rPr>
                <w:sz w:val="18"/>
                <w:szCs w:val="18"/>
                <w:color w:val="auto"/>
              </w:rPr>
            </w:pPr>
          </w:p>
        </w:tc>
        <w:tc>
          <w:tcPr>
            <w:tcW w:w="9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14,023</w:t>
            </w: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7,307</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2,798</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2,002</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tcPr>
          <w:p>
            <w:pPr>
              <w:ind w:left="220"/>
              <w:spacing w:after="0"/>
              <w:rPr>
                <w:sz w:val="20"/>
                <w:szCs w:val="20"/>
                <w:color w:val="auto"/>
              </w:rPr>
            </w:pPr>
            <w:r>
              <w:rPr>
                <w:rFonts w:ascii="Arial" w:cs="Arial" w:eastAsia="Arial" w:hAnsi="Arial"/>
                <w:sz w:val="18"/>
                <w:szCs w:val="18"/>
                <w:color w:val="auto"/>
              </w:rPr>
              <w:t>Purchase commitments to foundries</w:t>
            </w:r>
          </w:p>
        </w:tc>
        <w:tc>
          <w:tcPr>
            <w:tcW w:w="2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65,641</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65,641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Capital purchase obligations</w:t>
            </w:r>
          </w:p>
        </w:tc>
        <w:tc>
          <w:tcPr>
            <w:tcW w:w="260" w:type="dxa"/>
            <w:vAlign w:val="bottom"/>
            <w:shd w:val="clear" w:color="auto" w:fill="CCEEFF"/>
          </w:tcPr>
          <w:p>
            <w:pPr>
              <w:spacing w:after="0"/>
              <w:rPr>
                <w:sz w:val="18"/>
                <w:szCs w:val="18"/>
                <w:color w:val="auto"/>
              </w:rPr>
            </w:pPr>
          </w:p>
        </w:tc>
        <w:tc>
          <w:tcPr>
            <w:tcW w:w="9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38,329</w:t>
            </w:r>
          </w:p>
        </w:tc>
        <w:tc>
          <w:tcPr>
            <w:tcW w:w="12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38,329</w:t>
            </w:r>
          </w:p>
        </w:tc>
        <w:tc>
          <w:tcPr>
            <w:tcW w:w="0" w:type="dxa"/>
            <w:vAlign w:val="bottom"/>
          </w:tcPr>
          <w:p>
            <w:pPr>
              <w:spacing w:after="0"/>
              <w:rPr>
                <w:sz w:val="1"/>
                <w:szCs w:val="1"/>
                <w:color w:val="auto"/>
              </w:rPr>
            </w:pPr>
          </w:p>
        </w:tc>
      </w:tr>
      <w:tr>
        <w:trPr>
          <w:trHeight w:val="118"/>
        </w:trPr>
        <w:tc>
          <w:tcPr>
            <w:tcW w:w="3680" w:type="dxa"/>
            <w:vAlign w:val="bottom"/>
            <w:gridSpan w:val="2"/>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7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72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7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680" w:type="dxa"/>
            <w:vAlign w:val="bottom"/>
            <w:gridSpan w:val="2"/>
          </w:tcPr>
          <w:p>
            <w:pPr>
              <w:spacing w:after="0"/>
              <w:rPr>
                <w:sz w:val="20"/>
                <w:szCs w:val="20"/>
                <w:color w:val="auto"/>
              </w:rPr>
            </w:pPr>
            <w:r>
              <w:rPr>
                <w:rFonts w:ascii="Arial" w:cs="Arial" w:eastAsia="Arial" w:hAnsi="Arial"/>
                <w:sz w:val="18"/>
                <w:szCs w:val="18"/>
                <w:color w:val="auto"/>
              </w:rPr>
              <w:t>Total contractual cash obligations</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129,394</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12,288</w:t>
            </w:r>
          </w:p>
        </w:tc>
        <w:tc>
          <w:tcPr>
            <w:tcW w:w="3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6,581</w:t>
            </w:r>
          </w:p>
        </w:tc>
        <w:tc>
          <w:tcPr>
            <w:tcW w:w="120" w:type="dxa"/>
            <w:vAlign w:val="bottom"/>
          </w:tcPr>
          <w:p>
            <w:pPr>
              <w:spacing w:after="0"/>
              <w:rPr>
                <w:sz w:val="24"/>
                <w:szCs w:val="24"/>
                <w:color w:val="auto"/>
              </w:rPr>
            </w:pP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5,066</w:t>
            </w: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2,466</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6,754</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162,549</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66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00" w:type="dxa"/>
            <w:vAlign w:val="bottom"/>
            <w:tcBorders>
              <w:right w:val="single" w:sz="8" w:color="808080"/>
            </w:tcBorders>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-1412240</wp:posOffset>
            </wp:positionV>
            <wp:extent cx="12700" cy="889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2335530</wp:posOffset>
            </wp:positionH>
            <wp:positionV relativeFrom="paragraph">
              <wp:posOffset>-1412240</wp:posOffset>
            </wp:positionV>
            <wp:extent cx="12700" cy="889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3056255</wp:posOffset>
            </wp:positionH>
            <wp:positionV relativeFrom="paragraph">
              <wp:posOffset>-1163320</wp:posOffset>
            </wp:positionV>
            <wp:extent cx="12700" cy="889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2335530</wp:posOffset>
            </wp:positionH>
            <wp:positionV relativeFrom="paragraph">
              <wp:posOffset>-1163320</wp:posOffset>
            </wp:positionV>
            <wp:extent cx="12700" cy="889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3793490</wp:posOffset>
            </wp:positionH>
            <wp:positionV relativeFrom="paragraph">
              <wp:posOffset>-1163320</wp:posOffset>
            </wp:positionV>
            <wp:extent cx="12700" cy="889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3141980</wp:posOffset>
            </wp:positionH>
            <wp:positionV relativeFrom="paragraph">
              <wp:posOffset>-1163320</wp:posOffset>
            </wp:positionV>
            <wp:extent cx="12700" cy="889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4453890</wp:posOffset>
            </wp:positionH>
            <wp:positionV relativeFrom="paragraph">
              <wp:posOffset>-1163320</wp:posOffset>
            </wp:positionV>
            <wp:extent cx="12700" cy="889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-1163320</wp:posOffset>
            </wp:positionV>
            <wp:extent cx="12700" cy="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-1163320</wp:posOffset>
            </wp:positionV>
            <wp:extent cx="1270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-1163320</wp:posOffset>
            </wp:positionV>
            <wp:extent cx="12700" cy="889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5748655</wp:posOffset>
            </wp:positionH>
            <wp:positionV relativeFrom="paragraph">
              <wp:posOffset>-1163320</wp:posOffset>
            </wp:positionV>
            <wp:extent cx="12700" cy="889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-1163320</wp:posOffset>
            </wp:positionV>
            <wp:extent cx="12700" cy="889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-1163320</wp:posOffset>
            </wp:positionV>
            <wp:extent cx="12700" cy="88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5826125</wp:posOffset>
            </wp:positionH>
            <wp:positionV relativeFrom="paragraph">
              <wp:posOffset>-1163320</wp:posOffset>
            </wp:positionV>
            <wp:extent cx="12700" cy="889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-1163320</wp:posOffset>
            </wp:positionV>
            <wp:extent cx="12700" cy="889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-1163320</wp:posOffset>
            </wp:positionV>
            <wp:extent cx="12700" cy="889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3056255</wp:posOffset>
            </wp:positionH>
            <wp:positionV relativeFrom="paragraph">
              <wp:posOffset>-323215</wp:posOffset>
            </wp:positionV>
            <wp:extent cx="12700" cy="889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2335530</wp:posOffset>
            </wp:positionH>
            <wp:positionV relativeFrom="paragraph">
              <wp:posOffset>-323215</wp:posOffset>
            </wp:positionV>
            <wp:extent cx="12700" cy="889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3793490</wp:posOffset>
            </wp:positionH>
            <wp:positionV relativeFrom="paragraph">
              <wp:posOffset>-323215</wp:posOffset>
            </wp:positionV>
            <wp:extent cx="12700" cy="88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3141980</wp:posOffset>
            </wp:positionH>
            <wp:positionV relativeFrom="paragraph">
              <wp:posOffset>-323215</wp:posOffset>
            </wp:positionV>
            <wp:extent cx="12700"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4453890</wp:posOffset>
            </wp:positionH>
            <wp:positionV relativeFrom="paragraph">
              <wp:posOffset>-323215</wp:posOffset>
            </wp:positionV>
            <wp:extent cx="12700" cy="889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-323215</wp:posOffset>
            </wp:positionV>
            <wp:extent cx="12700" cy="889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-323215</wp:posOffset>
            </wp:positionV>
            <wp:extent cx="12700" cy="889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-323215</wp:posOffset>
            </wp:positionV>
            <wp:extent cx="12700" cy="889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5748655</wp:posOffset>
            </wp:positionH>
            <wp:positionV relativeFrom="paragraph">
              <wp:posOffset>-323215</wp:posOffset>
            </wp:positionV>
            <wp:extent cx="12700" cy="889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-323215</wp:posOffset>
            </wp:positionV>
            <wp:extent cx="12700" cy="889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-323215</wp:posOffset>
            </wp:positionV>
            <wp:extent cx="12700" cy="889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5826125</wp:posOffset>
            </wp:positionH>
            <wp:positionV relativeFrom="paragraph">
              <wp:posOffset>-323215</wp:posOffset>
            </wp:positionV>
            <wp:extent cx="12700" cy="889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-323215</wp:posOffset>
            </wp:positionV>
            <wp:extent cx="12700" cy="889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-323215</wp:posOffset>
            </wp:positionV>
            <wp:extent cx="12700" cy="889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140" w:firstLine="341"/>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31, 2005, we are not involved in any unconsolidated SPE transactions.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Inflation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impact of inflation on our business has not been material for fiscal 2005, 2004 and 2003.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right="20" w:firstLine="351"/>
        <w:spacing w:after="0" w:line="291" w:lineRule="auto"/>
        <w:rPr>
          <w:sz w:val="20"/>
          <w:szCs w:val="20"/>
          <w:color w:val="auto"/>
        </w:rPr>
      </w:pPr>
      <w:r>
        <w:rPr>
          <w:rFonts w:ascii="Arial" w:cs="Arial" w:eastAsia="Arial" w:hAnsi="Arial"/>
          <w:sz w:val="16"/>
          <w:szCs w:val="16"/>
          <w:color w:val="auto"/>
        </w:rPr>
        <w:t>In September 2004, the Emerging Issues Task Force ("EITF") delayed the effective date for the recognition and measurement guidance previously discussed under EITF Issue No. 03-01, "The Meaning of Other-Than-Temporary Impairment and Its Application to Certain Investments" ("EITF 03-01"). EITF 03-01 clarifies the meaning of other-than-temporary impairment and its application to investments in debt and equity securities, in particular investments within the scope of Financial Accounting Standards Board ("FASB") Statement No. 115, "Accounting for Certain Investments in Debt and Equity Securities," and investments accounted for under the cost method. We are complying with the disclosure requirements. We do not believe that EITF 03-01 will have a material impact on our consolidated results of operations when EITF 03-01 becomes effective.</w:t>
      </w:r>
    </w:p>
    <w:p>
      <w:pPr>
        <w:spacing w:after="0" w:line="174" w:lineRule="exact"/>
        <w:rPr>
          <w:sz w:val="20"/>
          <w:szCs w:val="20"/>
          <w:color w:val="auto"/>
        </w:rPr>
      </w:pPr>
    </w:p>
    <w:p>
      <w:pPr>
        <w:ind w:right="80" w:firstLine="351"/>
        <w:spacing w:after="0" w:line="291" w:lineRule="auto"/>
        <w:rPr>
          <w:sz w:val="20"/>
          <w:szCs w:val="20"/>
          <w:color w:val="auto"/>
        </w:rPr>
      </w:pPr>
      <w:r>
        <w:rPr>
          <w:rFonts w:ascii="Arial" w:cs="Arial" w:eastAsia="Arial" w:hAnsi="Arial"/>
          <w:sz w:val="16"/>
          <w:szCs w:val="16"/>
          <w:color w:val="auto"/>
        </w:rPr>
        <w:t>In November 2004, the FASB issued Statement of Financial Accounting Standards No. 151 ("SFAS 151"), Inventory Costs, an amendment of ARB 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periods beginning after June 15, 2005. Earlier application is permitted for inventory costs incurred during fiscal periods beginning after November 24, 2004. We are currently evaluating the impact of adoption of SFAS 151 on our financial position and results of operations.</w:t>
      </w:r>
    </w:p>
    <w:p>
      <w:pPr>
        <w:spacing w:after="0" w:line="174" w:lineRule="exact"/>
        <w:rPr>
          <w:sz w:val="20"/>
          <w:szCs w:val="20"/>
          <w:color w:val="auto"/>
        </w:rPr>
      </w:pPr>
    </w:p>
    <w:p>
      <w:pPr>
        <w:ind w:firstLine="351"/>
        <w:spacing w:after="0" w:line="305" w:lineRule="auto"/>
        <w:rPr>
          <w:sz w:val="20"/>
          <w:szCs w:val="20"/>
          <w:color w:val="auto"/>
        </w:rPr>
      </w:pPr>
      <w:r>
        <w:rPr>
          <w:rFonts w:ascii="Arial" w:cs="Arial" w:eastAsia="Arial" w:hAnsi="Arial"/>
          <w:sz w:val="15"/>
          <w:szCs w:val="15"/>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our consolidated statement of income. The statement requires companies to assess the most appropriate model to calculate the value of the options. We currently use the Black-Scholes option pricing model to value options and are currently assessing which model we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our consolidated financial statements is the quarter ended October 31, 2005.</w:t>
      </w:r>
    </w:p>
    <w:p>
      <w:pPr>
        <w:spacing w:after="0" w:line="16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84" w:right="299" w:bottom="1440" w:gutter="0" w:footer="0" w:header="0"/>
        </w:sectPr>
      </w:pPr>
    </w:p>
    <w:bookmarkStart w:id="50" w:name="page51"/>
    <w:bookmarkEnd w:id="50"/>
    <w:p>
      <w:pPr>
        <w:ind w:firstLine="351"/>
        <w:spacing w:after="0" w:line="290" w:lineRule="auto"/>
        <w:rPr>
          <w:sz w:val="20"/>
          <w:szCs w:val="20"/>
          <w:color w:val="auto"/>
        </w:rPr>
      </w:pPr>
      <w:r>
        <w:rPr>
          <w:rFonts w:ascii="Arial" w:cs="Arial" w:eastAsia="Arial" w:hAnsi="Arial"/>
          <w:sz w:val="16"/>
          <w:szCs w:val="16"/>
          <w:color w:val="auto"/>
        </w:rPr>
        <w:t>Upon adoption, this statement will have a significant impact on our consolidated financial statements because we will be required to expense the fair value of our stock option grants and stock purchases under our employee stock purchase plan rather than disclose the impact on our consolidated net income within our footnotes as is our current practice (see Note 1 of the Notes to Consolidated Financial Statements contained herein). The amounts disclosed within our footnotes are not necessarily indicative of the amounts that will be expensed upon the adoption of FAS 123R. Compensation expense calculated under FAS 123R may differ from amounts currently disclosed within our footnotes based on changes in the fair value of our common stock, changes in the number of options granted or the terms of such options, the treatment of tax benefits and changes in interest rates or other factors. In addition, upon adoption of FAS 123R we may choose to use a different valuation model to value the compensation expense associated with employee stock options.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31" w:lineRule="exact"/>
        <w:rPr>
          <w:sz w:val="20"/>
          <w:szCs w:val="20"/>
          <w:color w:val="auto"/>
        </w:rPr>
      </w:pPr>
    </w:p>
    <w:p>
      <w:pPr>
        <w:ind w:right="80" w:firstLine="351"/>
        <w:spacing w:after="0" w:line="255" w:lineRule="auto"/>
        <w:rPr>
          <w:sz w:val="20"/>
          <w:szCs w:val="20"/>
          <w:color w:val="auto"/>
        </w:rPr>
      </w:pPr>
      <w:r>
        <w:rPr>
          <w:rFonts w:ascii="Arial" w:cs="Arial" w:eastAsia="Arial" w:hAnsi="Arial"/>
          <w:sz w:val="18"/>
          <w:szCs w:val="18"/>
          <w:color w:val="auto"/>
        </w:rPr>
        <w:t>During fiscal 2005 and 2004, we incurred approximately $0.6 million and $0.4 million, respectively of expenses from an unrelated third-party entity, ACM Aviation, Inc. ("ACM") for charter aircraft services provided to MSI. The aircraft provided by ACM to us for such services is owned by Estopia Air LLC ("Estopia Air"). Our President and Chief Executive Officer, Dr. Sehat Sutardja, Ph.D, and Executive Vice President, Weili Dai, through their control and ownership in Estopia Air, own the aircraft provided by ACM. The $0.6 million and $0.4 million of expenses were the result of our use of the aircraft for business travel purposes. The pricing was based on values determined to be market prices.</w:t>
      </w:r>
    </w:p>
    <w:p>
      <w:pPr>
        <w:spacing w:after="0" w:line="197"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On February 19, 2005, through our subsidiaries MSI and Marvell Asia Pte. Ltd. ("MAPL"), we entered into a development agreement with MagnetoX ("MagnetoX"). Although no revenue has been recognized yet, we expect to recognize $1.0 million of revenue from the development agreement. This development agreement is on substantially similar terms as other development agreements with other third parties. Herbert Chang, one of our directors, is a shareholder of MagnetoX. Estopia Air is also a shareholder of MagnetoX. Dr. Sehat Sutardja, Ph.D., our Chairman, President and Chief Executive Officer and Weili Dai, our Director, Secretary and Executive Vice President, through their ownership and control of Estopia Air, are indirect shareholders of MagnetoX.</w:t>
      </w:r>
    </w:p>
    <w:p>
      <w:pPr>
        <w:spacing w:after="0" w:line="170" w:lineRule="exact"/>
        <w:rPr>
          <w:sz w:val="20"/>
          <w:szCs w:val="20"/>
          <w:color w:val="auto"/>
        </w:rPr>
      </w:pPr>
    </w:p>
    <w:p>
      <w:pPr>
        <w:jc w:val="both"/>
        <w:ind w:right="300" w:firstLine="351"/>
        <w:spacing w:after="0" w:line="284" w:lineRule="auto"/>
        <w:rPr>
          <w:sz w:val="20"/>
          <w:szCs w:val="20"/>
          <w:color w:val="auto"/>
        </w:rPr>
      </w:pPr>
      <w:r>
        <w:rPr>
          <w:rFonts w:ascii="Arial" w:cs="Arial" w:eastAsia="Arial" w:hAnsi="Arial"/>
          <w:sz w:val="16"/>
          <w:szCs w:val="16"/>
          <w:color w:val="auto"/>
        </w:rPr>
        <w:t>In October 2001, we entered into a lease agreement with a privately-held design technology firm for certain computer-aided design software. One of the officers of the design technology firm is the brother of an officer and director of Marvell and is also a shareholder of Marvell. The design technology firm was acquired by Cadence Design Systems in December 2001 and the lease agreement was subsequently amended in June 2002. Total principal, interest and</w:t>
      </w:r>
    </w:p>
    <w:p>
      <w:pPr>
        <w:spacing w:after="0" w:line="1" w:lineRule="exact"/>
        <w:rPr>
          <w:sz w:val="20"/>
          <w:szCs w:val="20"/>
          <w:color w:val="auto"/>
        </w:rPr>
      </w:pPr>
    </w:p>
    <w:p>
      <w:pPr>
        <w:ind w:right="580"/>
        <w:spacing w:after="0" w:line="209" w:lineRule="auto"/>
        <w:rPr>
          <w:sz w:val="20"/>
          <w:szCs w:val="20"/>
          <w:color w:val="auto"/>
        </w:rPr>
      </w:pPr>
      <w:r>
        <w:rPr>
          <w:rFonts w:ascii="Arial" w:cs="Arial" w:eastAsia="Arial" w:hAnsi="Arial"/>
          <w:sz w:val="18"/>
          <w:szCs w:val="18"/>
          <w:color w:val="auto"/>
        </w:rPr>
        <w:t>maintenance payments over the 3</w:t>
      </w:r>
      <w:r>
        <w:rPr>
          <w:rFonts w:ascii="Arial" w:cs="Arial" w:eastAsia="Arial" w:hAnsi="Arial"/>
          <w:sz w:val="29"/>
          <w:szCs w:val="29"/>
          <w:color w:val="auto"/>
          <w:vertAlign w:val="superscript"/>
        </w:rPr>
        <w:t>1</w:t>
      </w:r>
      <w:r>
        <w:rPr>
          <w:rFonts w:ascii="Arial" w:cs="Arial" w:eastAsia="Arial" w:hAnsi="Arial"/>
          <w:sz w:val="18"/>
          <w:szCs w:val="18"/>
          <w:color w:val="auto"/>
        </w:rPr>
        <w:t>/</w:t>
      </w:r>
      <w:r>
        <w:rPr>
          <w:rFonts w:ascii="Arial" w:cs="Arial" w:eastAsia="Arial" w:hAnsi="Arial"/>
          <w:sz w:val="14"/>
          <w:szCs w:val="14"/>
          <w:color w:val="auto"/>
        </w:rPr>
        <w:t>2</w:t>
      </w:r>
      <w:r>
        <w:rPr>
          <w:rFonts w:ascii="Arial" w:cs="Arial" w:eastAsia="Arial" w:hAnsi="Arial"/>
          <w:sz w:val="18"/>
          <w:szCs w:val="18"/>
          <w:color w:val="auto"/>
        </w:rPr>
        <w:t>-year term of the lease will be $20.7 million. The remaining lease payments of $3.1 million as of January 31, 2005 are included in the capital lease commitment table in Note 11 to the Consolidated Financial Statements.</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ind w:right="360" w:firstLine="351"/>
        <w:spacing w:after="0" w:line="259"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jc w:val="both"/>
        <w:ind w:right="600" w:firstLine="348"/>
        <w:spacing w:after="0" w:line="306"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51" w:name="page52"/>
    <w:bookmarkEnd w:id="51"/>
    <w:p>
      <w:pPr>
        <w:ind w:right="120"/>
        <w:spacing w:after="0" w:line="256" w:lineRule="auto"/>
        <w:rPr>
          <w:sz w:val="20"/>
          <w:szCs w:val="20"/>
          <w:color w:val="auto"/>
        </w:rPr>
      </w:pPr>
      <w:r>
        <w:rPr>
          <w:rFonts w:ascii="Arial" w:cs="Arial" w:eastAsia="Arial" w:hAnsi="Arial"/>
          <w:sz w:val="18"/>
          <w:szCs w:val="18"/>
          <w:color w:val="auto"/>
        </w:rPr>
        <w:t>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97"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94"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In fiscal 2005, approximately 42%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10%. Additionally, Wintech, a distributor, accounted for approximately 13% of our net revenue during fiscal 2005.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87" w:lineRule="exact"/>
        <w:rPr>
          <w:sz w:val="20"/>
          <w:szCs w:val="20"/>
          <w:color w:val="auto"/>
        </w:rPr>
      </w:pPr>
    </w:p>
    <w:p>
      <w:pPr>
        <w:ind w:left="1080" w:right="620" w:hanging="532"/>
        <w:spacing w:after="0" w:line="268"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52" w:name="page53"/>
    <w:bookmarkEnd w:id="52"/>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 xml:space="preserve">In December 2004, the FASB issued SFAS No. 123R, "Share-Based Payment." SFAS No. 123R requires employee stock options and rights to purchase shares under stock participation plans to be accounted for under the 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periods beginning after June 15, 2005. Such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6"/>
          <w:szCs w:val="16"/>
          <w:i w:val="1"/>
          <w:iCs w:val="1"/>
          <w:color w:val="auto"/>
        </w:rPr>
        <w:t>Accounting for Stock Issued to Employees</w:t>
      </w:r>
      <w:r>
        <w:rPr>
          <w:rFonts w:ascii="Arial" w:cs="Arial" w:eastAsia="Arial" w:hAnsi="Arial"/>
          <w:sz w:val="16"/>
          <w:szCs w:val="16"/>
          <w:color w:val="auto"/>
        </w:rPr>
        <w:t>, and have adopted the disclosure-only alternative to SFAS 123. When we are required to expense employee stock options in the quarter ended October 31, 2005, this change in accounting treatment will materially and adversely affect our reported results of operations because the stock-based compensation expense would be charged directly against our reported earnings. For an illustration of the effect of such a change in our recent results of operations, see Note 1 in Notes to Consolidated Financial Statements.</w:t>
      </w:r>
    </w:p>
    <w:p>
      <w:pPr>
        <w:spacing w:after="0" w:line="177"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right="40" w:firstLine="351"/>
        <w:spacing w:after="0" w:line="294"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39" w:lineRule="exact"/>
        <w:rPr>
          <w:sz w:val="20"/>
          <w:szCs w:val="20"/>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53" w:name="page54"/>
    <w:bookmarkEnd w:id="53"/>
    <w:p>
      <w:pPr>
        <w:ind w:firstLine="351"/>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8"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80" w:firstLine="348"/>
        <w:spacing w:after="0" w:line="288"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five third-party foundries to produce substantially all of our integrated circuit products. We also currently rely on several third-party assembly and test subcontractors to assemble, package and test our products. The resurgence of severe acute respiratory syndrome, or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7" w:lineRule="exact"/>
        <w:rPr>
          <w:sz w:val="20"/>
          <w:szCs w:val="20"/>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vendor;</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firstLine="348"/>
        <w:spacing w:after="0" w:line="286" w:lineRule="auto"/>
        <w:rPr>
          <w:sz w:val="20"/>
          <w:szCs w:val="20"/>
          <w:color w:val="auto"/>
        </w:rPr>
      </w:pPr>
      <w:r>
        <w:rPr>
          <w:rFonts w:ascii="Arial" w:cs="Arial" w:eastAsia="Arial" w:hAnsi="Arial"/>
          <w:sz w:val="16"/>
          <w:szCs w:val="16"/>
          <w:color w:val="auto"/>
        </w:rPr>
        <w:t>We currently have a long-term supply contract with one of our third-party vendors however we do not have long-term supply contracts with any of our other third-party vendors. Therefore, with the exception of one significant third-party vendor, our other vendors are not obligated to perform services or supply products to us for any specific period, in any specific quantities, or at any specific price, except as may be provided in a particular purchase order. Other than one third-party foundry vendor with which we have a long-term supply contract that will guarantee us a certain level of production capacity at specified prices over a specific period,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54" w:name="page55"/>
    <w:bookmarkEnd w:id="54"/>
    <w:p>
      <w:pPr>
        <w:spacing w:after="0"/>
        <w:rPr>
          <w:sz w:val="20"/>
          <w:szCs w:val="20"/>
          <w:color w:val="auto"/>
        </w:rPr>
      </w:pPr>
      <w:r>
        <w:rPr>
          <w:rFonts w:ascii="Arial" w:cs="Arial" w:eastAsia="Arial" w:hAnsi="Arial"/>
          <w:sz w:val="16"/>
          <w:szCs w:val="16"/>
          <w:color w:val="auto"/>
        </w:rPr>
        <w:t>require the approval of our customers, which would take time to effect and could cause our customers to cancel orders or fail to place new orders.</w:t>
      </w:r>
    </w:p>
    <w:p>
      <w:pPr>
        <w:spacing w:after="0" w:line="248"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86" w:lineRule="exact"/>
        <w:rPr>
          <w:sz w:val="20"/>
          <w:szCs w:val="20"/>
          <w:color w:val="auto"/>
        </w:rPr>
      </w:pPr>
    </w:p>
    <w:p>
      <w:pPr>
        <w:jc w:val="both"/>
        <w:ind w:right="480" w:firstLine="351"/>
        <w:spacing w:after="0" w:line="298" w:lineRule="auto"/>
        <w:rPr>
          <w:sz w:val="20"/>
          <w:szCs w:val="20"/>
          <w:color w:val="auto"/>
        </w:rPr>
      </w:pPr>
      <w:r>
        <w:rPr>
          <w:rFonts w:ascii="Arial" w:cs="Arial" w:eastAsia="Arial" w:hAnsi="Arial"/>
          <w:sz w:val="16"/>
          <w:szCs w:val="16"/>
          <w:color w:val="auto"/>
        </w:rPr>
        <w:t>In recent years, worldwide economic conditions have been volatile with concerns about inflation, increased reliance on consumer confidence and the situation in Iraq. The events of September 11, 2001, the continuing international conflicts and terrorist acts and the possibility of an extended United States presence in Iraq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6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ind w:right="60" w:firstLine="348"/>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4" w:lineRule="exact"/>
        <w:rPr>
          <w:sz w:val="20"/>
          <w:szCs w:val="20"/>
          <w:color w:val="auto"/>
        </w:rPr>
      </w:pPr>
    </w:p>
    <w:p>
      <w:pPr>
        <w:ind w:right="20" w:firstLine="351"/>
        <w:spacing w:after="0" w:line="256" w:lineRule="auto"/>
        <w:rPr>
          <w:sz w:val="20"/>
          <w:szCs w:val="20"/>
          <w:color w:val="auto"/>
        </w:rPr>
      </w:pPr>
      <w:r>
        <w:rPr>
          <w:rFonts w:ascii="Arial" w:cs="Arial" w:eastAsia="Arial" w:hAnsi="Arial"/>
          <w:sz w:val="18"/>
          <w:szCs w:val="18"/>
          <w:color w:val="auto"/>
        </w:rPr>
        <w:t>In the power management markets, we face competition from a number of additional competitors who have a longer history of serving these markets. Many of these competitors have more-established reputations in these markets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86" w:lineRule="exact"/>
        <w:rPr>
          <w:sz w:val="20"/>
          <w:szCs w:val="20"/>
          <w:color w:val="auto"/>
        </w:rPr>
      </w:pPr>
    </w:p>
    <w:p>
      <w:pPr>
        <w:ind w:right="80" w:firstLine="348"/>
        <w:spacing w:after="0" w:line="298"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For the past three years, we have been able to report significant sequential quarterly growth in revenues; however, our revenues have grown at a slower sequential rate in the third and fourth quarters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55" w:name="page56"/>
    <w:bookmarkEnd w:id="55"/>
    <w:p>
      <w:pPr>
        <w:spacing w:after="0"/>
        <w:rPr>
          <w:sz w:val="20"/>
          <w:szCs w:val="20"/>
          <w:color w:val="auto"/>
        </w:rPr>
      </w:pPr>
      <w:r>
        <w:rPr>
          <w:rFonts w:ascii="Arial" w:cs="Arial" w:eastAsia="Arial" w:hAnsi="Arial"/>
          <w:sz w:val="16"/>
          <w:szCs w:val="16"/>
          <w:color w:val="auto"/>
        </w:rPr>
        <w:t>the current market. Accordingly, investors should not rely on the results of any prior quarterly or annual periods as an indication of our future performance.</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ind w:right="42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56" w:name="page57"/>
    <w:bookmarkEnd w:id="56"/>
    <w:p>
      <w:pPr>
        <w:ind w:right="38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80" w:firstLine="341"/>
        <w:spacing w:after="0" w:line="306" w:lineRule="auto"/>
        <w:rPr>
          <w:sz w:val="20"/>
          <w:szCs w:val="20"/>
          <w:color w:val="auto"/>
        </w:rPr>
      </w:pPr>
      <w:r>
        <w:rPr>
          <w:rFonts w:ascii="Arial" w:cs="Arial" w:eastAsia="Arial" w:hAnsi="Arial"/>
          <w:sz w:val="15"/>
          <w:szCs w:val="15"/>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them. This reallocation could impair our ability to secure the supply of components that we need. Although we use five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66" w:lineRule="exact"/>
        <w:rPr>
          <w:sz w:val="20"/>
          <w:szCs w:val="20"/>
          <w:color w:val="auto"/>
        </w:rPr>
      </w:pPr>
    </w:p>
    <w:p>
      <w:pPr>
        <w:ind w:right="240" w:firstLine="351"/>
        <w:spacing w:after="0" w:line="268"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99" w:lineRule="exact"/>
        <w:rPr>
          <w:sz w:val="20"/>
          <w:szCs w:val="20"/>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option payments or other additional prepayments to a foundry;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jc w:val="both"/>
        <w:ind w:firstLine="348"/>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ind w:right="70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94"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57" w:name="page58"/>
    <w:bookmarkEnd w:id="57"/>
    <w:p>
      <w:pPr>
        <w:spacing w:after="0" w:line="289" w:lineRule="auto"/>
        <w:rPr>
          <w:sz w:val="20"/>
          <w:szCs w:val="20"/>
          <w:color w:val="auto"/>
        </w:rPr>
      </w:pPr>
      <w:r>
        <w:rPr>
          <w:rFonts w:ascii="Arial" w:cs="Arial" w:eastAsia="Arial" w:hAnsi="Arial"/>
          <w:sz w:val="16"/>
          <w:szCs w:val="16"/>
          <w:color w:val="auto"/>
        </w:rPr>
        <w:t>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2"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86"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77"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If our internal control over financial reporting do not comply with the requirements of the Sarbanes-Oxley Act, our business, reputation and stock price could be adversely affected.</w:t>
      </w:r>
    </w:p>
    <w:p>
      <w:pPr>
        <w:spacing w:after="0" w:line="186" w:lineRule="exact"/>
        <w:rPr>
          <w:sz w:val="20"/>
          <w:szCs w:val="20"/>
          <w:color w:val="auto"/>
        </w:rPr>
      </w:pPr>
    </w:p>
    <w:p>
      <w:pPr>
        <w:jc w:val="both"/>
        <w:ind w:right="80" w:firstLine="351"/>
        <w:spacing w:after="0" w:line="256"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beginning in fiscal 2005, and to include a management report assessing the effectiveness of our internal control over financial reporting in all annual reports beginning with this Form 10-K. Section 404 also requires our independent registered public accounting firm to attest to, and report on, management's assessment of our internal control over financial reporting.</w:t>
      </w:r>
    </w:p>
    <w:p>
      <w:pPr>
        <w:spacing w:after="0" w:line="197" w:lineRule="exact"/>
        <w:rPr>
          <w:sz w:val="20"/>
          <w:szCs w:val="20"/>
          <w:color w:val="auto"/>
        </w:rPr>
      </w:pPr>
    </w:p>
    <w:p>
      <w:pPr>
        <w:ind w:right="260" w:firstLine="341"/>
        <w:spacing w:after="0" w:line="318" w:lineRule="auto"/>
        <w:rPr>
          <w:sz w:val="20"/>
          <w:szCs w:val="20"/>
          <w:color w:val="auto"/>
        </w:rPr>
      </w:pPr>
      <w:r>
        <w:rPr>
          <w:rFonts w:ascii="Arial" w:cs="Arial" w:eastAsia="Arial" w:hAnsi="Arial"/>
          <w:sz w:val="15"/>
          <w:szCs w:val="15"/>
          <w:color w:val="auto"/>
        </w:rPr>
        <w:t>Although our management has determined, and our independent registered public accounting firm has attested, that our internal control over financial reporting was effective as of January 31, 2005, we cannot assure you that we or our independent registered public accounting firm will not identify a material weakness in our internal controls in the future. A material weakness in our internal controls over financial reporting would require management and our independent registered public accounting firm to evaluate our internal control over financial reporting as ineffective. If our internal control over financial reporting are not considered adequate, we may experience a loss of public confidence, which could have an adverse effect on our business and our stock price.</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58" w:name="page59"/>
    <w:bookmarkEnd w:id="58"/>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40" w:firstLine="348"/>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firstLine="341"/>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99" w:lineRule="exact"/>
        <w:rPr>
          <w:sz w:val="20"/>
          <w:szCs w:val="20"/>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38" w:lineRule="exact"/>
        <w:rPr>
          <w:rFonts w:ascii="Arial" w:cs="Arial" w:eastAsia="Arial" w:hAnsi="Arial"/>
          <w:sz w:val="18"/>
          <w:szCs w:val="18"/>
          <w:color w:val="auto"/>
        </w:rPr>
      </w:pPr>
    </w:p>
    <w:p>
      <w:pPr>
        <w:ind w:left="1080" w:right="100" w:hanging="532"/>
        <w:spacing w:after="0" w:line="268"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212" w:lineRule="exact"/>
        <w:rPr>
          <w:rFonts w:ascii="Arial" w:cs="Arial" w:eastAsia="Arial" w:hAnsi="Arial"/>
          <w:sz w:val="18"/>
          <w:szCs w:val="18"/>
          <w:color w:val="auto"/>
        </w:rPr>
      </w:pPr>
    </w:p>
    <w:p>
      <w:pPr>
        <w:ind w:left="1080" w:right="120" w:hanging="532"/>
        <w:spacing w:after="0" w:line="268"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firstLine="341"/>
        <w:spacing w:after="0" w:line="254"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8"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59" w:name="page60"/>
    <w:bookmarkEnd w:id="59"/>
    <w:p>
      <w:pPr>
        <w:ind w:right="60"/>
        <w:spacing w:after="0" w:line="294" w:lineRule="auto"/>
        <w:rPr>
          <w:sz w:val="20"/>
          <w:szCs w:val="20"/>
          <w:color w:val="auto"/>
        </w:rPr>
      </w:pPr>
      <w:r>
        <w:rPr>
          <w:rFonts w:ascii="Arial" w:cs="Arial" w:eastAsia="Arial" w:hAnsi="Arial"/>
          <w:sz w:val="16"/>
          <w:szCs w:val="16"/>
          <w:color w:val="auto"/>
        </w:rPr>
        <w:t>or other intangible assets may not be recoverable, we will be required to perform impairment reviews of these assets, which have carrying values of approximately $1.6 billion as of January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74" w:lineRule="exact"/>
        <w:rPr>
          <w:sz w:val="20"/>
          <w:szCs w:val="20"/>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52" w:lineRule="exact"/>
        <w:rPr>
          <w:rFonts w:ascii="Arial" w:cs="Arial" w:eastAsia="Arial" w:hAnsi="Arial"/>
          <w:sz w:val="18"/>
          <w:szCs w:val="18"/>
          <w:color w:val="auto"/>
        </w:rPr>
      </w:pPr>
    </w:p>
    <w:p>
      <w:pPr>
        <w:ind w:left="1080" w:right="360" w:hanging="532"/>
        <w:spacing w:after="0" w:line="268"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52" w:lineRule="exact"/>
        <w:rPr>
          <w:rFonts w:ascii="Arial" w:cs="Arial" w:eastAsia="Arial" w:hAnsi="Arial"/>
          <w:sz w:val="18"/>
          <w:szCs w:val="18"/>
          <w:color w:val="auto"/>
        </w:rPr>
      </w:pPr>
    </w:p>
    <w:p>
      <w:pPr>
        <w:ind w:left="1080" w:right="280" w:hanging="532"/>
        <w:spacing w:after="0" w:line="268"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firstLine="348"/>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74" w:lineRule="exact"/>
        <w:rPr>
          <w:sz w:val="20"/>
          <w:szCs w:val="20"/>
          <w:color w:val="auto"/>
        </w:rPr>
      </w:pPr>
    </w:p>
    <w:p>
      <w:pPr>
        <w:jc w:val="both"/>
        <w:ind w:right="100" w:firstLine="348"/>
        <w:spacing w:after="0" w:line="306" w:lineRule="auto"/>
        <w:rPr>
          <w:sz w:val="20"/>
          <w:szCs w:val="20"/>
          <w:color w:val="auto"/>
        </w:rPr>
      </w:pPr>
      <w:r>
        <w:rPr>
          <w:rFonts w:ascii="Arial" w:cs="Arial" w:eastAsia="Arial" w:hAnsi="Arial"/>
          <w:sz w:val="16"/>
          <w:szCs w:val="16"/>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60" w:name="page61"/>
    <w:bookmarkEnd w:id="60"/>
    <w:p>
      <w:pPr>
        <w:ind w:right="80"/>
        <w:spacing w:after="0" w:line="268" w:lineRule="auto"/>
        <w:rPr>
          <w:sz w:val="20"/>
          <w:szCs w:val="20"/>
          <w:color w:val="auto"/>
        </w:rPr>
      </w:pPr>
      <w:r>
        <w:rPr>
          <w:rFonts w:ascii="Arial" w:cs="Arial" w:eastAsia="Arial" w:hAnsi="Arial"/>
          <w:sz w:val="18"/>
          <w:szCs w:val="18"/>
          <w:color w:val="auto"/>
        </w:rPr>
        <w:t>significant asset and serve as the source of our technological and product innovations. We may not be successful in attracting and retaining sufficient numbers of technical personnel to support our anticipated growth.</w:t>
      </w:r>
    </w:p>
    <w:p>
      <w:pPr>
        <w:spacing w:after="0" w:line="186" w:lineRule="exact"/>
        <w:rPr>
          <w:sz w:val="20"/>
          <w:szCs w:val="20"/>
          <w:color w:val="auto"/>
        </w:rPr>
      </w:pPr>
    </w:p>
    <w:p>
      <w:pPr>
        <w:ind w:right="100" w:firstLine="351"/>
        <w:spacing w:after="0" w:line="294" w:lineRule="auto"/>
        <w:rPr>
          <w:sz w:val="20"/>
          <w:szCs w:val="20"/>
          <w:color w:val="auto"/>
        </w:rPr>
      </w:pPr>
      <w:r>
        <w:rPr>
          <w:rFonts w:ascii="Arial" w:cs="Arial" w:eastAsia="Arial" w:hAnsi="Arial"/>
          <w:sz w:val="16"/>
          <w:szCs w:val="16"/>
          <w:color w:val="auto"/>
        </w:rPr>
        <w:t>Stock options generally comprise a significant portion of our compensation packages for all employees. The FASB requirement to expense the fair value of stock options awarded to employees beginning in the third quarter of our fiscal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could each have an adverse effect on our business, financial condition and results of operations.</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94" w:lineRule="exact"/>
        <w:rPr>
          <w:sz w:val="20"/>
          <w:szCs w:val="20"/>
          <w:color w:val="auto"/>
        </w:rPr>
      </w:pPr>
    </w:p>
    <w:p>
      <w:pPr>
        <w:ind w:right="160" w:firstLine="341"/>
        <w:spacing w:after="0" w:line="253" w:lineRule="auto"/>
        <w:rPr>
          <w:sz w:val="20"/>
          <w:szCs w:val="20"/>
          <w:color w:val="auto"/>
        </w:rPr>
      </w:pPr>
      <w:r>
        <w:rPr>
          <w:rFonts w:ascii="Arial" w:cs="Arial" w:eastAsia="Arial" w:hAnsi="Arial"/>
          <w:sz w:val="18"/>
          <w:szCs w:val="18"/>
          <w:color w:val="auto"/>
        </w:rPr>
        <w:t>As of March 31, 2005, our executive officers and directors beneficially owned or controlled, directly or indirectly, approximately 23% of the outstanding shares our common stock. Additionally, Sehat Sutardja Ph.D. and Weili Dai are husband and wife and Sehat Sutardja Ph.D. and Pantas Sutardja Ph.D. are brothers. All three are directors and together they held approximately 22% of our outstanding common stock as of March 31, 2005.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99"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80" w:firstLine="351"/>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61" w:name="page62"/>
    <w:bookmarkEnd w:id="61"/>
    <w:p>
      <w:pPr>
        <w:ind w:right="60" w:firstLine="348"/>
        <w:spacing w:after="0" w:line="294" w:lineRule="auto"/>
        <w:rPr>
          <w:sz w:val="20"/>
          <w:szCs w:val="20"/>
          <w:color w:val="auto"/>
        </w:rPr>
      </w:pPr>
      <w:r>
        <w:rPr>
          <w:rFonts w:ascii="Arial" w:cs="Arial" w:eastAsia="Arial" w:hAnsi="Arial"/>
          <w:sz w:val="16"/>
          <w:szCs w:val="16"/>
          <w:color w:val="auto"/>
        </w:rPr>
        <w:t>We have recently completed the implementation and integration of certain modules of the ERP system for subsidiaries that we recently acquired. We are currently implementing, and also plan to implement, new modules of the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0"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60" w:firstLine="341"/>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93% of our net revenue in fiscal 2005, and represented 90% and 87% of our net revenue in fiscal 2004 and 2003, respectively.</w:t>
      </w:r>
    </w:p>
    <w:p>
      <w:pPr>
        <w:spacing w:after="0" w:line="170" w:lineRule="exact"/>
        <w:rPr>
          <w:sz w:val="20"/>
          <w:szCs w:val="20"/>
          <w:color w:val="auto"/>
        </w:rPr>
      </w:pPr>
    </w:p>
    <w:p>
      <w:pPr>
        <w:ind w:right="500" w:firstLine="348"/>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3" w:lineRule="exact"/>
        <w:rPr>
          <w:sz w:val="20"/>
          <w:szCs w:val="20"/>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261" w:lineRule="exact"/>
        <w:rPr>
          <w:rFonts w:ascii="Arial" w:cs="Arial" w:eastAsia="Arial" w:hAnsi="Arial"/>
          <w:sz w:val="16"/>
          <w:szCs w:val="16"/>
          <w:color w:val="auto"/>
        </w:rPr>
      </w:pPr>
    </w:p>
    <w:p>
      <w:pPr>
        <w:ind w:left="1080" w:hanging="532"/>
        <w:spacing w:after="0" w:line="268"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jc w:val="both"/>
        <w:ind w:right="40" w:firstLine="341"/>
        <w:spacing w:after="0" w:line="259" w:lineRule="auto"/>
        <w:rPr>
          <w:sz w:val="20"/>
          <w:szCs w:val="20"/>
          <w:color w:val="auto"/>
        </w:rPr>
      </w:pPr>
      <w:r>
        <w:rPr>
          <w:rFonts w:ascii="Arial" w:cs="Arial" w:eastAsia="Arial" w:hAnsi="Arial"/>
          <w:sz w:val="18"/>
          <w:szCs w:val="18"/>
          <w:color w:val="auto"/>
        </w:rPr>
        <w:t>Additionally, our operations may be impacted by a resurgence of SARS, including,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94" w:lineRule="exact"/>
        <w:rPr>
          <w:sz w:val="20"/>
          <w:szCs w:val="20"/>
          <w:color w:val="auto"/>
        </w:rPr>
      </w:pPr>
    </w:p>
    <w:p>
      <w:pPr>
        <w:ind w:right="60" w:firstLine="351"/>
        <w:spacing w:after="0" w:line="298" w:lineRule="auto"/>
        <w:rPr>
          <w:sz w:val="20"/>
          <w:szCs w:val="20"/>
          <w:color w:val="auto"/>
        </w:rPr>
      </w:pPr>
      <w:r>
        <w:rPr>
          <w:rFonts w:ascii="Arial" w:cs="Arial" w:eastAsia="Arial" w:hAnsi="Arial"/>
          <w:sz w:val="16"/>
          <w:szCs w:val="16"/>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590" w:right="319" w:bottom="1440" w:gutter="0" w:footer="0" w:header="0"/>
        </w:sectPr>
      </w:pPr>
    </w:p>
    <w:bookmarkStart w:id="62" w:name="page63"/>
    <w:bookmarkEnd w:id="62"/>
    <w:p>
      <w:pPr>
        <w:ind w:right="8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7"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120" w:firstLine="348"/>
        <w:spacing w:after="0" w:line="287" w:lineRule="auto"/>
        <w:rPr>
          <w:sz w:val="20"/>
          <w:szCs w:val="20"/>
          <w:color w:val="auto"/>
        </w:rPr>
      </w:pPr>
      <w:r>
        <w:rPr>
          <w:rFonts w:ascii="Arial" w:cs="Arial" w:eastAsia="Arial" w:hAnsi="Arial"/>
          <w:sz w:val="16"/>
          <w:szCs w:val="16"/>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right="120" w:firstLine="348"/>
        <w:spacing w:after="0" w:line="291"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WLAN and other products into consumer application markets, which are highly competitive and cost sensitive.</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63" w:name="page64"/>
    <w:bookmarkEnd w:id="63"/>
    <w:p>
      <w:pPr>
        <w:ind w:right="320" w:firstLine="341"/>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right="40" w:firstLine="351"/>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right="20" w:firstLine="341"/>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right="180" w:firstLine="348"/>
        <w:spacing w:after="0" w:line="290"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just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4" w:name="page65"/>
    <w:bookmarkEnd w:id="64"/>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80" w:firstLine="348"/>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many of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40" w:firstLine="348"/>
        <w:spacing w:after="0" w:line="291"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Gigabit Ethernet technology is relatively new compared to the more established 10 and 100 Megabit per second Fast Ethernet technologies. If Gigabit Ethernet technology does not achieve widespread market acceptance, our revenue and operating results may be harmed. We have also made a significant investment in the development of wireless LAN products based on the IEEE 802.11a, 802.11b and 802.11g standards. Wireless LAN technologies are relatively new and many competing standards, such as Bluetooth™, as well as proposed standards such as IEEE 802.11n, exist. If the 802.11 standards do not achieve widespread market acceptance, our revenue and operating results may be harmed.</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348"/>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86"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5" w:name="page66"/>
    <w:bookmarkEnd w:id="65"/>
    <w:p>
      <w:pPr>
        <w:ind w:right="460"/>
        <w:spacing w:after="0" w:line="268" w:lineRule="auto"/>
        <w:rPr>
          <w:sz w:val="20"/>
          <w:szCs w:val="20"/>
          <w:color w:val="auto"/>
        </w:rPr>
      </w:pPr>
      <w:r>
        <w:rPr>
          <w:rFonts w:ascii="Arial" w:cs="Arial" w:eastAsia="Arial" w:hAnsi="Arial"/>
          <w:sz w:val="18"/>
          <w:szCs w:val="18"/>
          <w:color w:val="auto"/>
        </w:rPr>
        <w:t>which, in turn, could subject us to significant liability for damages. Any potential intellectual property litigation also could force us to do one or more of the following:</w:t>
      </w:r>
    </w:p>
    <w:p>
      <w:pPr>
        <w:spacing w:after="0" w:line="199" w:lineRule="exact"/>
        <w:rPr>
          <w:sz w:val="20"/>
          <w:szCs w:val="20"/>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attempt to obtain a license to the relevant intellectual property, which license may not be available on reasonable terms or at all; and</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97"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348"/>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6" w:name="page67"/>
    <w:bookmarkEnd w:id="66"/>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140" w:firstLine="351"/>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61"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2" w:lineRule="exact"/>
        <w:rPr>
          <w:sz w:val="20"/>
          <w:szCs w:val="20"/>
          <w:color w:val="auto"/>
        </w:rPr>
      </w:pPr>
    </w:p>
    <w:p>
      <w:pPr>
        <w:ind w:right="180" w:firstLine="348"/>
        <w:spacing w:after="0" w:line="256"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97"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right="60" w:firstLine="351"/>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7" w:name="page68"/>
    <w:bookmarkEnd w:id="67"/>
    <w:p>
      <w:pPr>
        <w:spacing w:after="0" w:line="305" w:lineRule="auto"/>
        <w:rPr>
          <w:sz w:val="20"/>
          <w:szCs w:val="20"/>
          <w:color w:val="auto"/>
        </w:rPr>
      </w:pPr>
      <w:r>
        <w:rPr>
          <w:rFonts w:ascii="Arial" w:cs="Arial" w:eastAsia="Arial" w:hAnsi="Arial"/>
          <w:sz w:val="15"/>
          <w:szCs w:val="15"/>
          <w:color w:val="auto"/>
        </w:rPr>
        <w:t>order that may issue should the proposed settlement be finally approved must be limited to the express wording of 15 U.S.C. section 78u-4(f)(7)(A). The court scheduled a further conference for April 13, 2005, for the purposes of (a) making a final determination as to the form, substance and program of class notice, and</w:t>
      </w:r>
    </w:p>
    <w:p>
      <w:pPr>
        <w:ind w:right="80" w:firstLine="8"/>
        <w:spacing w:after="0" w:line="261" w:lineRule="auto"/>
        <w:tabs>
          <w:tab w:leader="none" w:pos="249" w:val="left"/>
        </w:tabs>
        <w:numPr>
          <w:ilvl w:val="0"/>
          <w:numId w:val="25"/>
        </w:numPr>
        <w:rPr>
          <w:rFonts w:ascii="Arial" w:cs="Arial" w:eastAsia="Arial" w:hAnsi="Arial"/>
          <w:sz w:val="18"/>
          <w:szCs w:val="18"/>
          <w:color w:val="auto"/>
        </w:rPr>
      </w:pPr>
      <w:r>
        <w:rPr>
          <w:rFonts w:ascii="Arial" w:cs="Arial" w:eastAsia="Arial" w:hAnsi="Arial"/>
          <w:sz w:val="18"/>
          <w:szCs w:val="18"/>
          <w:color w:val="auto"/>
        </w:rPr>
        <w:t>scheduling a Rule 23 public hearing on the fairness of the proposed settlement. These claims and any resulting litigation could result in substantial costs and could divert the attention and resources of our management.</w:t>
      </w:r>
    </w:p>
    <w:p>
      <w:pPr>
        <w:spacing w:after="0" w:line="192"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9" w:lineRule="exact"/>
        <w:rPr>
          <w:sz w:val="20"/>
          <w:szCs w:val="20"/>
          <w:color w:val="auto"/>
        </w:rPr>
      </w:pPr>
    </w:p>
    <w:p>
      <w:pPr>
        <w:ind w:left="1080" w:hanging="532"/>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600" w:firstLine="348"/>
        <w:spacing w:after="0" w:line="268"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590" w:right="339" w:bottom="1440" w:gutter="0" w:footer="0" w:header="0"/>
        </w:sectPr>
      </w:pPr>
    </w:p>
    <w:bookmarkStart w:id="68" w:name="page69"/>
    <w:bookmarkEnd w:id="68"/>
    <w:p>
      <w:pPr>
        <w:spacing w:after="0"/>
        <w:tabs>
          <w:tab w:leader="none" w:pos="8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231" w:lineRule="exact"/>
        <w:rPr>
          <w:sz w:val="20"/>
          <w:szCs w:val="20"/>
          <w:color w:val="auto"/>
        </w:rPr>
      </w:pPr>
    </w:p>
    <w:p>
      <w:pPr>
        <w:ind w:right="20" w:firstLine="351"/>
        <w:spacing w:after="0" w:line="286"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31, 2005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2006 because such securities are structured with short-term interest reset dates of generally less than 90 days at which time we can sell or continue to hold the securities at par.</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80" w:type="dxa"/>
            <w:vAlign w:val="bottom"/>
            <w:gridSpan w:val="6"/>
          </w:tcPr>
          <w:p>
            <w:pPr>
              <w:jc w:val="right"/>
              <w:ind w:right="72"/>
              <w:spacing w:after="0"/>
              <w:rPr>
                <w:sz w:val="20"/>
                <w:szCs w:val="20"/>
                <w:color w:val="auto"/>
              </w:rPr>
            </w:pPr>
            <w:r>
              <w:rPr>
                <w:rFonts w:ascii="Arial" w:cs="Arial" w:eastAsia="Arial" w:hAnsi="Arial"/>
                <w:sz w:val="14"/>
                <w:szCs w:val="14"/>
                <w:b w:val="1"/>
                <w:bCs w:val="1"/>
                <w:color w:val="auto"/>
                <w:w w:val="98"/>
              </w:rPr>
              <w:t>Expected Fiscal Year Maturity Date</w:t>
            </w: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8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28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880" w:type="dxa"/>
            <w:vAlign w:val="bottom"/>
          </w:tcPr>
          <w:p>
            <w:pPr>
              <w:jc w:val="right"/>
              <w:ind w:right="356"/>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880" w:type="dxa"/>
            <w:vAlign w:val="bottom"/>
          </w:tcPr>
          <w:p>
            <w:pPr>
              <w:jc w:val="right"/>
              <w:ind w:right="356"/>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jc w:val="right"/>
              <w:ind w:right="299"/>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jc w:val="right"/>
              <w:ind w:right="296"/>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20" w:type="dxa"/>
            <w:vAlign w:val="bottom"/>
          </w:tcPr>
          <w:p>
            <w:pPr>
              <w:ind w:left="80"/>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10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Total</w:t>
            </w:r>
          </w:p>
        </w:tc>
        <w:tc>
          <w:tcPr>
            <w:tcW w:w="120" w:type="dxa"/>
            <w:vAlign w:val="bottom"/>
          </w:tcPr>
          <w:p>
            <w:pPr>
              <w:spacing w:after="0"/>
              <w:rPr>
                <w:sz w:val="23"/>
                <w:szCs w:val="23"/>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8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860" w:type="dxa"/>
            <w:vAlign w:val="bottom"/>
          </w:tcPr>
          <w:p>
            <w:pPr>
              <w:spacing w:after="0"/>
              <w:rPr>
                <w:sz w:val="9"/>
                <w:szCs w:val="9"/>
                <w:color w:val="auto"/>
              </w:rPr>
            </w:pPr>
          </w:p>
        </w:tc>
        <w:tc>
          <w:tcPr>
            <w:tcW w:w="26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298,101</w:t>
            </w:r>
          </w:p>
        </w:tc>
        <w:tc>
          <w:tcPr>
            <w:tcW w:w="1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298,101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298,101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tcPr>
          <w:p>
            <w:pPr>
              <w:spacing w:after="0"/>
              <w:rPr>
                <w:sz w:val="20"/>
                <w:szCs w:val="20"/>
                <w:color w:val="auto"/>
              </w:rPr>
            </w:pPr>
            <w:r>
              <w:rPr>
                <w:rFonts w:ascii="Arial" w:cs="Arial" w:eastAsia="Arial" w:hAnsi="Arial"/>
                <w:sz w:val="18"/>
                <w:szCs w:val="18"/>
                <w:color w:val="auto"/>
              </w:rPr>
              <w:t>Average Interest Rate</w:t>
            </w:r>
          </w:p>
        </w:tc>
        <w:tc>
          <w:tcPr>
            <w:tcW w:w="260" w:type="dxa"/>
            <w:vAlign w:val="bottom"/>
          </w:tcPr>
          <w:p>
            <w:pPr>
              <w:spacing w:after="0"/>
              <w:rPr>
                <w:sz w:val="18"/>
                <w:szCs w:val="18"/>
                <w:color w:val="auto"/>
              </w:rPr>
            </w:pP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2.46%</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2.46%</w:t>
            </w: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37,828</w:t>
            </w:r>
          </w:p>
        </w:tc>
        <w:tc>
          <w:tcPr>
            <w:tcW w:w="1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111,234</w:t>
            </w:r>
          </w:p>
        </w:tc>
        <w:tc>
          <w:tcPr>
            <w:tcW w:w="18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38,220</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10,129</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197,411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195,442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860" w:type="dxa"/>
            <w:vAlign w:val="bottom"/>
          </w:tcPr>
          <w:p>
            <w:pPr>
              <w:spacing w:after="0"/>
              <w:rPr>
                <w:sz w:val="20"/>
                <w:szCs w:val="20"/>
                <w:color w:val="auto"/>
              </w:rPr>
            </w:pPr>
            <w:r>
              <w:rPr>
                <w:rFonts w:ascii="Arial" w:cs="Arial" w:eastAsia="Arial" w:hAnsi="Arial"/>
                <w:sz w:val="18"/>
                <w:szCs w:val="18"/>
                <w:color w:val="auto"/>
              </w:rPr>
              <w:t>Average Interest Rate</w:t>
            </w:r>
          </w:p>
        </w:tc>
        <w:tc>
          <w:tcPr>
            <w:tcW w:w="260" w:type="dxa"/>
            <w:vAlign w:val="bottom"/>
          </w:tcPr>
          <w:p>
            <w:pPr>
              <w:spacing w:after="0"/>
              <w:rPr>
                <w:sz w:val="19"/>
                <w:szCs w:val="19"/>
                <w:color w:val="auto"/>
              </w:rPr>
            </w:pP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2.29%</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2.60%</w:t>
            </w: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3.04%</w:t>
            </w:r>
          </w:p>
        </w:tc>
        <w:tc>
          <w:tcPr>
            <w:tcW w:w="240" w:type="dxa"/>
            <w:vAlign w:val="bottom"/>
          </w:tcPr>
          <w:p>
            <w:pPr>
              <w:spacing w:after="0"/>
              <w:rPr>
                <w:sz w:val="19"/>
                <w:szCs w:val="19"/>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3.38%</w:t>
            </w:r>
          </w:p>
        </w:tc>
        <w:tc>
          <w:tcPr>
            <w:tcW w:w="180" w:type="dxa"/>
            <w:vAlign w:val="bottom"/>
          </w:tcPr>
          <w:p>
            <w:pPr>
              <w:spacing w:after="0"/>
              <w:rPr>
                <w:sz w:val="19"/>
                <w:szCs w:val="19"/>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2.67%</w:t>
            </w: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-882650</wp:posOffset>
            </wp:positionV>
            <wp:extent cx="12700" cy="889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1821180</wp:posOffset>
            </wp:positionH>
            <wp:positionV relativeFrom="paragraph">
              <wp:posOffset>-882650</wp:posOffset>
            </wp:positionV>
            <wp:extent cx="12700" cy="889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2541270</wp:posOffset>
            </wp:positionH>
            <wp:positionV relativeFrom="paragraph">
              <wp:posOffset>-633730</wp:posOffset>
            </wp:positionV>
            <wp:extent cx="12700" cy="889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1821180</wp:posOffset>
            </wp:positionH>
            <wp:positionV relativeFrom="paragraph">
              <wp:posOffset>-633730</wp:posOffset>
            </wp:positionV>
            <wp:extent cx="12700" cy="889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3416300</wp:posOffset>
            </wp:positionH>
            <wp:positionV relativeFrom="paragraph">
              <wp:posOffset>-633730</wp:posOffset>
            </wp:positionV>
            <wp:extent cx="12700" cy="889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2695575</wp:posOffset>
            </wp:positionH>
            <wp:positionV relativeFrom="paragraph">
              <wp:posOffset>-633730</wp:posOffset>
            </wp:positionV>
            <wp:extent cx="12700" cy="889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4222115</wp:posOffset>
            </wp:positionH>
            <wp:positionV relativeFrom="paragraph">
              <wp:posOffset>-633730</wp:posOffset>
            </wp:positionV>
            <wp:extent cx="12700" cy="889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3570605</wp:posOffset>
            </wp:positionH>
            <wp:positionV relativeFrom="paragraph">
              <wp:posOffset>-633730</wp:posOffset>
            </wp:positionV>
            <wp:extent cx="12700" cy="889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-633730</wp:posOffset>
            </wp:positionV>
            <wp:extent cx="12700" cy="889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4376420</wp:posOffset>
            </wp:positionH>
            <wp:positionV relativeFrom="paragraph">
              <wp:posOffset>-633730</wp:posOffset>
            </wp:positionV>
            <wp:extent cx="12700" cy="889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-633730</wp:posOffset>
            </wp:positionV>
            <wp:extent cx="12700" cy="889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5182870</wp:posOffset>
            </wp:positionH>
            <wp:positionV relativeFrom="paragraph">
              <wp:posOffset>-633730</wp:posOffset>
            </wp:positionV>
            <wp:extent cx="12700" cy="889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-633730</wp:posOffset>
            </wp:positionV>
            <wp:extent cx="12700" cy="889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5826125</wp:posOffset>
            </wp:positionH>
            <wp:positionV relativeFrom="paragraph">
              <wp:posOffset>-633730</wp:posOffset>
            </wp:positionV>
            <wp:extent cx="12700" cy="889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-633730</wp:posOffset>
            </wp:positionV>
            <wp:extent cx="12700" cy="889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-633730</wp:posOffset>
            </wp:positionV>
            <wp:extent cx="12700" cy="889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jc w:val="both"/>
        <w:ind w:right="340" w:firstLine="341"/>
        <w:spacing w:after="0" w:line="259"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January 31, 2005 would have an immaterial effect on our financial position, results of operations and cash flows.</w:t>
      </w:r>
    </w:p>
    <w:p>
      <w:pPr>
        <w:spacing w:after="0" w:line="194" w:lineRule="exact"/>
        <w:rPr>
          <w:sz w:val="20"/>
          <w:szCs w:val="20"/>
          <w:color w:val="auto"/>
        </w:rPr>
      </w:pPr>
    </w:p>
    <w:p>
      <w:pPr>
        <w:ind w:right="60" w:firstLine="351"/>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$9.4 million at January 31, 2005,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67" w:lineRule="exact"/>
        <w:rPr>
          <w:sz w:val="20"/>
          <w:szCs w:val="20"/>
          <w:color w:val="auto"/>
        </w:rPr>
      </w:pPr>
    </w:p>
    <w:p>
      <w:pPr>
        <w:ind w:right="220" w:firstLine="351"/>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w:t>
      </w:r>
      <w:r>
        <w:rPr>
          <w:rFonts w:ascii="Arial" w:cs="Arial" w:eastAsia="Arial" w:hAnsi="Arial"/>
          <w:sz w:val="18"/>
          <w:szCs w:val="18"/>
          <w:i w:val="1"/>
          <w:iCs w:val="1"/>
          <w:color w:val="auto"/>
        </w:rPr>
        <w:t xml:space="preserve"> </w:t>
      </w:r>
      <w:r>
        <w:rPr>
          <w:rFonts w:ascii="Arial" w:cs="Arial" w:eastAsia="Arial" w:hAnsi="Arial"/>
          <w:sz w:val="18"/>
          <w:szCs w:val="18"/>
          <w:color w:val="auto"/>
        </w:rPr>
        <w:t>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69" w:name="page70"/>
    <w:bookmarkEnd w:id="69"/>
    <w:p>
      <w:pPr>
        <w:spacing w:after="0"/>
        <w:tabs>
          <w:tab w:leader="none" w:pos="70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i w:val="1"/>
          <w:iCs w:val="1"/>
          <w:color w:val="auto"/>
        </w:rPr>
        <w:t>Consolidated Financial Statements and Supplementary Data</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INDEX TO CONSOLIDATED FINANCIAL STATEMENTS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180" w:type="dxa"/>
            <w:vAlign w:val="bottom"/>
          </w:tcPr>
          <w:p>
            <w:pPr>
              <w:spacing w:after="0"/>
              <w:rPr>
                <w:sz w:val="15"/>
                <w:szCs w:val="15"/>
                <w:color w:val="auto"/>
              </w:rPr>
            </w:pPr>
          </w:p>
        </w:tc>
        <w:tc>
          <w:tcPr>
            <w:tcW w:w="5660" w:type="dxa"/>
            <w:vAlign w:val="bottom"/>
          </w:tcPr>
          <w:p>
            <w:pPr>
              <w:spacing w:after="0"/>
              <w:rPr>
                <w:sz w:val="15"/>
                <w:szCs w:val="15"/>
                <w:color w:val="auto"/>
              </w:rPr>
            </w:pPr>
          </w:p>
        </w:tc>
        <w:tc>
          <w:tcPr>
            <w:tcW w:w="580" w:type="dxa"/>
            <w:vAlign w:val="bottom"/>
            <w:gridSpan w:val="2"/>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80" w:type="dxa"/>
            <w:vAlign w:val="bottom"/>
          </w:tcPr>
          <w:p>
            <w:pPr>
              <w:spacing w:after="0"/>
              <w:rPr>
                <w:sz w:val="9"/>
                <w:szCs w:val="9"/>
                <w:color w:val="auto"/>
              </w:rPr>
            </w:pPr>
          </w:p>
        </w:tc>
        <w:tc>
          <w:tcPr>
            <w:tcW w:w="56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180" w:type="dxa"/>
            <w:vAlign w:val="bottom"/>
          </w:tcPr>
          <w:p>
            <w:pPr>
              <w:spacing w:after="0"/>
              <w:rPr>
                <w:sz w:val="9"/>
                <w:szCs w:val="9"/>
                <w:color w:val="auto"/>
              </w:rPr>
            </w:pPr>
          </w:p>
        </w:tc>
        <w:tc>
          <w:tcPr>
            <w:tcW w:w="5660" w:type="dxa"/>
            <w:vAlign w:val="bottom"/>
          </w:tcPr>
          <w:p>
            <w:pPr>
              <w:spacing w:after="0"/>
              <w:rPr>
                <w:sz w:val="9"/>
                <w:szCs w:val="9"/>
                <w:color w:val="auto"/>
              </w:rPr>
            </w:pPr>
          </w:p>
        </w:tc>
        <w:tc>
          <w:tcPr>
            <w:tcW w:w="56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w w:val="96"/>
              </w:rPr>
              <w:t>Management's Report on Internal Control Over Financial Reporting</w:t>
            </w:r>
          </w:p>
        </w:tc>
        <w:tc>
          <w:tcPr>
            <w:tcW w:w="6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Report of Independent Registered Public Accounting Firm</w:t>
            </w:r>
          </w:p>
        </w:tc>
        <w:tc>
          <w:tcPr>
            <w:tcW w:w="6220" w:type="dxa"/>
            <w:vAlign w:val="bottom"/>
            <w:gridSpan w:val="2"/>
          </w:tcPr>
          <w:p>
            <w:pPr>
              <w:jc w:val="right"/>
              <w:spacing w:after="0"/>
              <w:rPr>
                <w:sz w:val="20"/>
                <w:szCs w:val="20"/>
                <w:color w:val="auto"/>
              </w:rPr>
            </w:pPr>
            <w:r>
              <w:rPr>
                <w:rFonts w:ascii="Arial" w:cs="Arial" w:eastAsia="Arial" w:hAnsi="Arial"/>
                <w:sz w:val="18"/>
                <w:szCs w:val="18"/>
                <w:color w:val="auto"/>
              </w:rPr>
              <w:t>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Consolidated Balance Sheets</w:t>
            </w:r>
          </w:p>
        </w:tc>
        <w:tc>
          <w:tcPr>
            <w:tcW w:w="6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Consolidated Statements of Operations</w:t>
            </w:r>
          </w:p>
        </w:tc>
        <w:tc>
          <w:tcPr>
            <w:tcW w:w="622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Consolidated Statements of Shareholders' Equity</w:t>
            </w:r>
          </w:p>
        </w:tc>
        <w:tc>
          <w:tcPr>
            <w:tcW w:w="6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Consolidated Statements of Cash Flows</w:t>
            </w:r>
          </w:p>
        </w:tc>
        <w:tc>
          <w:tcPr>
            <w:tcW w:w="6220" w:type="dxa"/>
            <w:vAlign w:val="bottom"/>
            <w:gridSpan w:val="2"/>
          </w:tcPr>
          <w:p>
            <w:pPr>
              <w:jc w:val="right"/>
              <w:spacing w:after="0"/>
              <w:rPr>
                <w:sz w:val="20"/>
                <w:szCs w:val="20"/>
                <w:color w:val="auto"/>
              </w:rPr>
            </w:pPr>
            <w:r>
              <w:rPr>
                <w:rFonts w:ascii="Arial" w:cs="Arial" w:eastAsia="Arial" w:hAnsi="Arial"/>
                <w:sz w:val="18"/>
                <w:szCs w:val="18"/>
                <w:color w:val="auto"/>
              </w:rPr>
              <w:t>76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Notes to Consolidated Financial Statements</w:t>
            </w:r>
          </w:p>
        </w:tc>
        <w:tc>
          <w:tcPr>
            <w:tcW w:w="6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5660" w:type="dxa"/>
            <w:vAlign w:val="bottom"/>
          </w:tcPr>
          <w:p>
            <w:pPr>
              <w:jc w:val="right"/>
              <w:ind w:right="4972"/>
              <w:spacing w:after="0"/>
              <w:rPr>
                <w:sz w:val="20"/>
                <w:szCs w:val="20"/>
                <w:color w:val="auto"/>
              </w:rPr>
            </w:pPr>
            <w:r>
              <w:rPr>
                <w:rFonts w:ascii="Arial" w:cs="Arial" w:eastAsia="Arial" w:hAnsi="Arial"/>
                <w:sz w:val="18"/>
                <w:szCs w:val="18"/>
                <w:color w:val="auto"/>
              </w:rPr>
              <w:t>69</w:t>
            </w: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180" w:type="dxa"/>
            <w:vAlign w:val="bottom"/>
            <w:tcBorders>
              <w:bottom w:val="single" w:sz="8" w:color="808080"/>
            </w:tcBorders>
          </w:tcPr>
          <w:p>
            <w:pPr>
              <w:spacing w:after="0"/>
              <w:rPr>
                <w:sz w:val="19"/>
                <w:szCs w:val="19"/>
                <w:color w:val="auto"/>
              </w:rPr>
            </w:pPr>
          </w:p>
        </w:tc>
        <w:tc>
          <w:tcPr>
            <w:tcW w:w="56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-1471930</wp:posOffset>
            </wp:positionV>
            <wp:extent cx="12700" cy="889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6889115</wp:posOffset>
            </wp:positionH>
            <wp:positionV relativeFrom="paragraph">
              <wp:posOffset>-1471930</wp:posOffset>
            </wp:positionV>
            <wp:extent cx="12700" cy="889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70" w:name="page71"/>
    <w:bookmarkEnd w:id="70"/>
    <w:p>
      <w:pPr>
        <w:jc w:val="center"/>
        <w:ind w:right="20"/>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23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 xml:space="preserve">Our management is responsible for establishing and maintaining adequate internal control over financial reporting, as such term is defined in Exchange Act Rule 13a-15(f). Under the supervision and with the participation of our management, including our principal executive officer and principal financial officer, we conducted an evaluation of the effectiveness of our internal control over financial reporting based on the framework set forth in </w:t>
      </w:r>
      <w:r>
        <w:rPr>
          <w:rFonts w:ascii="Arial" w:cs="Arial" w:eastAsia="Arial" w:hAnsi="Arial"/>
          <w:sz w:val="16"/>
          <w:szCs w:val="16"/>
          <w:i w:val="1"/>
          <w:iCs w:val="1"/>
          <w:color w:val="auto"/>
        </w:rPr>
        <w:t>Internal Control — Integrated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Framework </w:t>
      </w:r>
      <w:r>
        <w:rPr>
          <w:rFonts w:ascii="Arial" w:cs="Arial" w:eastAsia="Arial" w:hAnsi="Arial"/>
          <w:sz w:val="16"/>
          <w:szCs w:val="16"/>
          <w:color w:val="auto"/>
        </w:rPr>
        <w:t>issued by the Committee of Sponsoring Organizations of the Treadway Commission. Based on our evaluation under the framework set forth in</w:t>
      </w:r>
      <w:r>
        <w:rPr>
          <w:rFonts w:ascii="Arial" w:cs="Arial" w:eastAsia="Arial" w:hAnsi="Arial"/>
          <w:sz w:val="16"/>
          <w:szCs w:val="16"/>
          <w:i w:val="1"/>
          <w:iCs w:val="1"/>
          <w:color w:val="auto"/>
        </w:rPr>
        <w:t xml:space="preserve"> Internal Control — Integrated Framework</w:t>
      </w:r>
      <w:r>
        <w:rPr>
          <w:rFonts w:ascii="Arial" w:cs="Arial" w:eastAsia="Arial" w:hAnsi="Arial"/>
          <w:sz w:val="16"/>
          <w:szCs w:val="16"/>
          <w:color w:val="auto"/>
        </w:rPr>
        <w:t>, our management concluded that our internal control over financial reporting was effective as of January 31, 2005. Our</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management's assessment of the effectiveness of our internal control over financial reporting as of January 31, 2005 has been audited by PricewaterhouseCoopers LLP, an independent registered public accounting firm, as stated in their report which is included herein.</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14, 2005</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 GEORGE A. HERVEY</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George A. Hervey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and Chief Financial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14, 2005</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71" w:name="page72"/>
    <w:bookmarkEnd w:id="71"/>
    <w:p>
      <w:pPr>
        <w:ind w:left="350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225" w:lineRule="exact"/>
        <w:rPr>
          <w:sz w:val="20"/>
          <w:szCs w:val="20"/>
          <w:color w:val="auto"/>
        </w:rPr>
      </w:pPr>
    </w:p>
    <w:p>
      <w:pPr>
        <w:ind w:right="100" w:firstLine="348"/>
        <w:spacing w:after="0" w:line="259" w:lineRule="auto"/>
        <w:rPr>
          <w:sz w:val="20"/>
          <w:szCs w:val="20"/>
          <w:color w:val="auto"/>
        </w:rPr>
      </w:pPr>
      <w:r>
        <w:rPr>
          <w:rFonts w:ascii="Arial" w:cs="Arial" w:eastAsia="Arial" w:hAnsi="Arial"/>
          <w:sz w:val="18"/>
          <w:szCs w:val="18"/>
          <w:color w:val="auto"/>
        </w:rPr>
        <w:t>We have completed an integrated audit of Marvell Technology Group Ltd.'s 2005 consolidated financial statements and of its internal control over financial reporting as of January 31, 2005 and audits of its 2004 and 2003 consolidated financial statements in accordance with the standards of the Public Company Accounting Oversight Board (United States). Our opinions, based on our audits, are presented below.</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Consolidated financial statements</w:t>
      </w:r>
    </w:p>
    <w:p>
      <w:pPr>
        <w:spacing w:after="0" w:line="225" w:lineRule="exact"/>
        <w:rPr>
          <w:sz w:val="20"/>
          <w:szCs w:val="20"/>
          <w:color w:val="auto"/>
        </w:rPr>
      </w:pPr>
    </w:p>
    <w:p>
      <w:pPr>
        <w:ind w:right="40" w:firstLine="351"/>
        <w:spacing w:after="0" w:line="288" w:lineRule="auto"/>
        <w:rPr>
          <w:sz w:val="20"/>
          <w:szCs w:val="20"/>
          <w:color w:val="auto"/>
        </w:rPr>
      </w:pPr>
      <w:r>
        <w:rPr>
          <w:rFonts w:ascii="Arial" w:cs="Arial" w:eastAsia="Arial" w:hAnsi="Arial"/>
          <w:sz w:val="16"/>
          <w:szCs w:val="16"/>
          <w:color w:val="auto"/>
        </w:rPr>
        <w:t>In our opinion, the consolidated financial statements listed in the accompanying index, present fairly, in all material respects, the financial position of Marvell Technology Group Ltd. and its subsidiaries at January 31, 2005 and 2004, and the results of their operations and their cash flows for each of the three years in the period ended January 31, 2005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the standards of the Public Company Accounting Oversight Board (United States). Those standards require that we plan and perform the audit to obtain reasonable assurance about whether the financial statements are free of material misstatement. An audit of financial statements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Internal control over financial reporting</w:t>
      </w:r>
    </w:p>
    <w:p>
      <w:pPr>
        <w:spacing w:after="0" w:line="225" w:lineRule="exact"/>
        <w:rPr>
          <w:sz w:val="20"/>
          <w:szCs w:val="20"/>
          <w:color w:val="auto"/>
        </w:rPr>
      </w:pPr>
    </w:p>
    <w:p>
      <w:pPr>
        <w:ind w:firstLine="341"/>
        <w:spacing w:after="0" w:line="286" w:lineRule="auto"/>
        <w:rPr>
          <w:sz w:val="20"/>
          <w:szCs w:val="20"/>
          <w:color w:val="auto"/>
        </w:rPr>
      </w:pPr>
      <w:r>
        <w:rPr>
          <w:rFonts w:ascii="Arial" w:cs="Arial" w:eastAsia="Arial" w:hAnsi="Arial"/>
          <w:sz w:val="16"/>
          <w:szCs w:val="16"/>
          <w:color w:val="auto"/>
        </w:rPr>
        <w:t xml:space="preserve">Also, in our opinion, management's assessment, included in Management's Report on Internal Control Over Financial Reporting appearing under Item 9A, that the Company maintained effective internal control over financial reporting as of January 31, 2005 based on criteria established in </w:t>
      </w:r>
      <w:r>
        <w:rPr>
          <w:rFonts w:ascii="Arial" w:cs="Arial" w:eastAsia="Arial" w:hAnsi="Arial"/>
          <w:sz w:val="16"/>
          <w:szCs w:val="16"/>
          <w:i w:val="1"/>
          <w:iCs w:val="1"/>
          <w:color w:val="auto"/>
        </w:rPr>
        <w:t>Internal Control —</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Integrated Framework </w:t>
      </w:r>
      <w:r>
        <w:rPr>
          <w:rFonts w:ascii="Arial" w:cs="Arial" w:eastAsia="Arial" w:hAnsi="Arial"/>
          <w:sz w:val="16"/>
          <w:szCs w:val="16"/>
          <w:color w:val="auto"/>
        </w:rPr>
        <w:t>issued by the Committee of Sponsoring Organizations of the Treadway Commission (COSO), is fairly stated, in all material respects,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based on those criteria. Furthermore, in our opinion, the Company maintained, in all material respects, effective internal control over financial reporting as of January 31, 2005,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COSO. The Company's management is responsible for maintaining effective internal control over financial reporting and for its assessment of the effectiveness of internal control over financial reporting. Our responsibility is to express opinions on management's assessment and on the effectiveness of the Company's internal control over financial reporting based on our audit. We conducted our audit of internal control over financial reporting in accordance with the standards of the Public Company Accounting Oversight Board (United States). Those standards require that we plan and perform the audit to obtain reasonable assurance about whether effective internal control over financial reporting was maintained in all material respects. An audit of internal control over financial reporting includes obtaining an understanding of internal control over financial reporting, evaluating management's assessment, testing and evaluating the design and operating effectiveness of internal control, and performing such other procedures as we consider necessary in the circumstances. We believe that our audit provides a reasonable basis for our opinions.</w:t>
      </w:r>
    </w:p>
    <w:p>
      <w:pPr>
        <w:spacing w:after="0" w:line="178" w:lineRule="exact"/>
        <w:rPr>
          <w:sz w:val="20"/>
          <w:szCs w:val="20"/>
          <w:color w:val="auto"/>
        </w:rPr>
      </w:pPr>
    </w:p>
    <w:p>
      <w:pPr>
        <w:ind w:right="100" w:firstLine="341"/>
        <w:spacing w:after="0" w:line="256" w:lineRule="auto"/>
        <w:rPr>
          <w:sz w:val="20"/>
          <w:szCs w:val="20"/>
          <w:color w:val="auto"/>
        </w:rPr>
      </w:pPr>
      <w:r>
        <w:rPr>
          <w:rFonts w:ascii="Arial" w:cs="Arial" w:eastAsia="Arial" w:hAnsi="Arial"/>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41" w:right="279" w:bottom="1440" w:gutter="0" w:footer="0" w:header="0"/>
        </w:sectPr>
      </w:pPr>
    </w:p>
    <w:bookmarkStart w:id="72" w:name="page73"/>
    <w:bookmarkEnd w:id="72"/>
    <w:p>
      <w:pPr>
        <w:ind w:right="240"/>
        <w:spacing w:after="0" w:line="298" w:lineRule="auto"/>
        <w:rPr>
          <w:sz w:val="20"/>
          <w:szCs w:val="20"/>
          <w:color w:val="auto"/>
        </w:rPr>
      </w:pPr>
      <w:r>
        <w:rPr>
          <w:rFonts w:ascii="Arial" w:cs="Arial" w:eastAsia="Arial" w:hAnsi="Arial"/>
          <w:sz w:val="16"/>
          <w:szCs w:val="16"/>
          <w:color w:val="auto"/>
        </w:rPr>
        <w:t>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67"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14, 2005</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BALANCE SHEETS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80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900" w:type="dxa"/>
            <w:vAlign w:val="bottom"/>
            <w:gridSpan w:val="3"/>
          </w:tcPr>
          <w:p>
            <w:pPr>
              <w:jc w:val="center"/>
              <w:ind w:left="575"/>
              <w:spacing w:after="0"/>
              <w:rPr>
                <w:sz w:val="20"/>
                <w:szCs w:val="20"/>
                <w:color w:val="auto"/>
              </w:rPr>
            </w:pPr>
            <w:r>
              <w:rPr>
                <w:rFonts w:ascii="Arial" w:cs="Arial" w:eastAsia="Arial" w:hAnsi="Arial"/>
                <w:sz w:val="14"/>
                <w:szCs w:val="14"/>
                <w:b w:val="1"/>
                <w:bCs w:val="1"/>
                <w:color w:val="auto"/>
                <w:w w:val="88"/>
              </w:rPr>
              <w:t>January 31,</w:t>
            </w:r>
          </w:p>
        </w:tc>
        <w:tc>
          <w:tcPr>
            <w:tcW w:w="10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802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160" w:type="dxa"/>
            <w:vAlign w:val="bottom"/>
          </w:tcPr>
          <w:p>
            <w:pPr>
              <w:jc w:val="right"/>
              <w:ind w:right="555"/>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1020" w:type="dxa"/>
            <w:vAlign w:val="bottom"/>
          </w:tcPr>
          <w:p>
            <w:pPr>
              <w:jc w:val="right"/>
              <w:ind w:right="553"/>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80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900" w:type="dxa"/>
            <w:vAlign w:val="bottom"/>
            <w:gridSpan w:val="3"/>
          </w:tcPr>
          <w:p>
            <w:pPr>
              <w:jc w:val="center"/>
              <w:ind w:left="575"/>
              <w:spacing w:after="0"/>
              <w:rPr>
                <w:sz w:val="20"/>
                <w:szCs w:val="20"/>
                <w:color w:val="auto"/>
              </w:rPr>
            </w:pPr>
            <w:r>
              <w:rPr>
                <w:rFonts w:ascii="Arial" w:cs="Arial" w:eastAsia="Arial" w:hAnsi="Arial"/>
                <w:sz w:val="14"/>
                <w:szCs w:val="14"/>
                <w:b w:val="1"/>
                <w:bCs w:val="1"/>
                <w:color w:val="auto"/>
                <w:w w:val="87"/>
              </w:rPr>
              <w:t>(In thousands,</w:t>
            </w:r>
          </w:p>
        </w:tc>
        <w:tc>
          <w:tcPr>
            <w:tcW w:w="10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80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900" w:type="dxa"/>
            <w:vAlign w:val="bottom"/>
            <w:gridSpan w:val="3"/>
          </w:tcPr>
          <w:p>
            <w:pPr>
              <w:jc w:val="center"/>
              <w:ind w:left="575"/>
              <w:spacing w:after="0"/>
              <w:rPr>
                <w:sz w:val="20"/>
                <w:szCs w:val="20"/>
                <w:color w:val="auto"/>
              </w:rPr>
            </w:pPr>
            <w:r>
              <w:rPr>
                <w:rFonts w:ascii="Arial" w:cs="Arial" w:eastAsia="Arial" w:hAnsi="Arial"/>
                <w:sz w:val="14"/>
                <w:szCs w:val="14"/>
                <w:b w:val="1"/>
                <w:bCs w:val="1"/>
                <w:color w:val="auto"/>
                <w:w w:val="87"/>
              </w:rPr>
              <w:t>except par value)</w:t>
            </w:r>
          </w:p>
        </w:tc>
        <w:tc>
          <w:tcPr>
            <w:tcW w:w="10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80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5320"/>
              <w:spacing w:after="0"/>
              <w:rPr>
                <w:sz w:val="20"/>
                <w:szCs w:val="20"/>
                <w:color w:val="auto"/>
              </w:rPr>
            </w:pPr>
            <w:r>
              <w:rPr>
                <w:rFonts w:ascii="Arial" w:cs="Arial" w:eastAsia="Arial" w:hAnsi="Arial"/>
                <w:sz w:val="18"/>
                <w:szCs w:val="18"/>
                <w:b w:val="1"/>
                <w:bCs w:val="1"/>
                <w:color w:val="auto"/>
              </w:rPr>
              <w:t>ASSETS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spacing w:after="0"/>
              <w:rPr>
                <w:sz w:val="18"/>
                <w:szCs w:val="18"/>
                <w:color w:val="auto"/>
              </w:rPr>
            </w:pP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spacing w:after="0"/>
              <w:rPr>
                <w:sz w:val="20"/>
                <w:szCs w:val="20"/>
                <w:color w:val="auto"/>
              </w:rPr>
            </w:pPr>
            <w:r>
              <w:rPr>
                <w:rFonts w:ascii="Arial" w:cs="Arial" w:eastAsia="Arial" w:hAnsi="Arial"/>
                <w:sz w:val="18"/>
                <w:szCs w:val="18"/>
                <w:color w:val="auto"/>
              </w:rPr>
              <w:t>Current assets:</w:t>
            </w:r>
          </w:p>
        </w:tc>
        <w:tc>
          <w:tcPr>
            <w:tcW w:w="3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Cash and cash equivalents</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jc w:val="right"/>
              <w:ind w:right="391"/>
              <w:spacing w:after="0"/>
              <w:rPr>
                <w:sz w:val="20"/>
                <w:szCs w:val="20"/>
                <w:color w:val="auto"/>
              </w:rPr>
            </w:pPr>
            <w:r>
              <w:rPr>
                <w:rFonts w:ascii="Arial" w:cs="Arial" w:eastAsia="Arial" w:hAnsi="Arial"/>
                <w:sz w:val="10"/>
                <w:szCs w:val="10"/>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173,969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Short-term investments</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493,543</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212,302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Accounts receivable, net of allowances of $3,132 and $2,849</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200,954</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136,513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Inventories</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128,889</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91,785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Prepaid expenses and other current assets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15,144</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12,166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20" w:type="dxa"/>
            <w:vAlign w:val="bottom"/>
          </w:tcPr>
          <w:p>
            <w:pPr>
              <w:ind w:left="220"/>
              <w:spacing w:after="0"/>
              <w:rPr>
                <w:sz w:val="20"/>
                <w:szCs w:val="20"/>
                <w:color w:val="auto"/>
              </w:rPr>
            </w:pPr>
            <w:r>
              <w:rPr>
                <w:rFonts w:ascii="Arial" w:cs="Arial" w:eastAsia="Arial" w:hAnsi="Arial"/>
                <w:sz w:val="18"/>
                <w:szCs w:val="18"/>
                <w:color w:val="auto"/>
              </w:rPr>
              <w:t>Deferred income taxes</w:t>
            </w:r>
          </w:p>
        </w:tc>
        <w:tc>
          <w:tcPr>
            <w:tcW w:w="3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12,793</w:t>
            </w: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6,547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80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current assets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633,282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161,770</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149,705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1,480,225</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1,455,639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80,411</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159,445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48,762</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37,394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802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8020" w:type="dxa"/>
            <w:vAlign w:val="bottom"/>
          </w:tcPr>
          <w:p>
            <w:pPr>
              <w:ind w:left="440"/>
              <w:spacing w:after="0"/>
              <w:rPr>
                <w:sz w:val="20"/>
                <w:szCs w:val="20"/>
                <w:color w:val="auto"/>
              </w:rPr>
            </w:pPr>
            <w:r>
              <w:rPr>
                <w:rFonts w:ascii="Arial" w:cs="Arial" w:eastAsia="Arial" w:hAnsi="Arial"/>
                <w:sz w:val="18"/>
                <w:szCs w:val="18"/>
                <w:color w:val="auto"/>
              </w:rPr>
              <w:t>Total assets</w:t>
            </w:r>
          </w:p>
        </w:tc>
        <w:tc>
          <w:tcPr>
            <w:tcW w:w="360" w:type="dxa"/>
            <w:vAlign w:val="bottom"/>
          </w:tcPr>
          <w:p>
            <w:pPr>
              <w:jc w:val="right"/>
              <w:ind w:right="20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2,788,962</w:t>
            </w:r>
          </w:p>
        </w:tc>
        <w:tc>
          <w:tcPr>
            <w:tcW w:w="240" w:type="dxa"/>
            <w:vAlign w:val="bottom"/>
          </w:tcPr>
          <w:p>
            <w:pPr>
              <w:spacing w:after="0"/>
              <w:rPr>
                <w:sz w:val="24"/>
                <w:szCs w:val="24"/>
                <w:color w:val="auto"/>
              </w:rPr>
            </w:pPr>
          </w:p>
        </w:tc>
        <w:tc>
          <w:tcPr>
            <w:tcW w:w="500" w:type="dxa"/>
            <w:vAlign w:val="bottom"/>
          </w:tcPr>
          <w:p>
            <w:pPr>
              <w:jc w:val="right"/>
              <w:ind w:right="391"/>
              <w:spacing w:after="0"/>
              <w:rPr>
                <w:sz w:val="20"/>
                <w:szCs w:val="20"/>
                <w:color w:val="auto"/>
              </w:rPr>
            </w:pPr>
            <w:r>
              <w:rPr>
                <w:rFonts w:ascii="Arial" w:cs="Arial" w:eastAsia="Arial" w:hAnsi="Arial"/>
                <w:sz w:val="10"/>
                <w:szCs w:val="10"/>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2,435,465</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802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60" w:type="dxa"/>
            <w:vAlign w:val="bottom"/>
            <w:tcBorders>
              <w:right w:val="single" w:sz="8" w:color="808080"/>
            </w:tcBorders>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0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59"/>
        </w:trPr>
        <w:tc>
          <w:tcPr>
            <w:tcW w:w="8020" w:type="dxa"/>
            <w:vAlign w:val="bottom"/>
            <w:shd w:val="clear" w:color="auto" w:fill="CCEEFF"/>
          </w:tcPr>
          <w:p>
            <w:pPr>
              <w:ind w:left="3760"/>
              <w:spacing w:after="0"/>
              <w:rPr>
                <w:sz w:val="20"/>
                <w:szCs w:val="20"/>
                <w:color w:val="auto"/>
              </w:rPr>
            </w:pPr>
            <w:r>
              <w:rPr>
                <w:rFonts w:ascii="Arial" w:cs="Arial" w:eastAsia="Arial" w:hAnsi="Arial"/>
                <w:sz w:val="18"/>
                <w:szCs w:val="18"/>
                <w:b w:val="1"/>
                <w:bCs w:val="1"/>
                <w:color w:val="auto"/>
              </w:rPr>
              <w:t>LIABILITIES AND SHAREHOLDERS' EQUITY</w:t>
            </w:r>
          </w:p>
        </w:tc>
        <w:tc>
          <w:tcPr>
            <w:tcW w:w="360" w:type="dxa"/>
            <w:vAlign w:val="bottom"/>
            <w:shd w:val="clear" w:color="auto" w:fill="CCEEFF"/>
          </w:tcPr>
          <w:p>
            <w:pPr>
              <w:spacing w:after="0"/>
              <w:rPr>
                <w:sz w:val="24"/>
                <w:szCs w:val="24"/>
                <w:color w:val="auto"/>
              </w:rPr>
            </w:pPr>
          </w:p>
        </w:tc>
        <w:tc>
          <w:tcPr>
            <w:tcW w:w="1160" w:type="dxa"/>
            <w:vAlign w:val="bottom"/>
            <w:tcBorders>
              <w:right w:val="single" w:sz="8" w:color="CCEEFF"/>
            </w:tcBorders>
            <w:shd w:val="clear" w:color="auto" w:fill="CCEEFF"/>
          </w:tcPr>
          <w:p>
            <w:pPr>
              <w:spacing w:after="0"/>
              <w:rPr>
                <w:sz w:val="24"/>
                <w:szCs w:val="24"/>
                <w:color w:val="auto"/>
              </w:rPr>
            </w:pPr>
          </w:p>
        </w:tc>
        <w:tc>
          <w:tcPr>
            <w:tcW w:w="240" w:type="dxa"/>
            <w:vAlign w:val="bottom"/>
            <w:tcBorders>
              <w:right w:val="single" w:sz="8" w:color="CCEEFF"/>
            </w:tcBorders>
            <w:shd w:val="clear" w:color="auto" w:fill="CCEEFF"/>
          </w:tcPr>
          <w:p>
            <w:pPr>
              <w:spacing w:after="0"/>
              <w:rPr>
                <w:sz w:val="24"/>
                <w:szCs w:val="24"/>
                <w:color w:val="auto"/>
              </w:rPr>
            </w:pPr>
          </w:p>
        </w:tc>
        <w:tc>
          <w:tcPr>
            <w:tcW w:w="50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020" w:type="dxa"/>
            <w:vAlign w:val="bottom"/>
          </w:tcPr>
          <w:p>
            <w:pPr>
              <w:spacing w:after="0"/>
              <w:rPr>
                <w:sz w:val="20"/>
                <w:szCs w:val="20"/>
                <w:color w:val="auto"/>
              </w:rPr>
            </w:pPr>
            <w:r>
              <w:rPr>
                <w:rFonts w:ascii="Arial" w:cs="Arial" w:eastAsia="Arial" w:hAnsi="Arial"/>
                <w:sz w:val="18"/>
                <w:szCs w:val="18"/>
                <w:color w:val="auto"/>
              </w:rPr>
              <w:t>Current liabilities:</w:t>
            </w:r>
          </w:p>
        </w:tc>
        <w:tc>
          <w:tcPr>
            <w:tcW w:w="3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Accounts payable</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129,728</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jc w:val="right"/>
              <w:ind w:right="391"/>
              <w:spacing w:after="0"/>
              <w:rPr>
                <w:sz w:val="20"/>
                <w:szCs w:val="20"/>
                <w:color w:val="auto"/>
              </w:rPr>
            </w:pPr>
            <w:r>
              <w:rPr>
                <w:rFonts w:ascii="Arial" w:cs="Arial" w:eastAsia="Arial" w:hAnsi="Arial"/>
                <w:sz w:val="10"/>
                <w:szCs w:val="10"/>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121,190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Accrued liabilities</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20,604</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15,927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Accrued employee compensation</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32,136</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Income taxes payable</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3,195</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2,155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income</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15,938</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20" w:type="dxa"/>
            <w:vAlign w:val="bottom"/>
          </w:tcPr>
          <w:p>
            <w:pPr>
              <w:ind w:left="220"/>
              <w:spacing w:after="0"/>
              <w:rPr>
                <w:sz w:val="20"/>
                <w:szCs w:val="20"/>
                <w:color w:val="auto"/>
              </w:rPr>
            </w:pPr>
            <w:r>
              <w:rPr>
                <w:rFonts w:ascii="Arial" w:cs="Arial" w:eastAsia="Arial" w:hAnsi="Arial"/>
                <w:sz w:val="18"/>
                <w:szCs w:val="18"/>
                <w:color w:val="auto"/>
              </w:rPr>
              <w:t>Current portion of capital lease obligations</w:t>
            </w:r>
          </w:p>
        </w:tc>
        <w:tc>
          <w:tcPr>
            <w:tcW w:w="3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13,204</w:t>
            </w: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10,747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80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current liabilities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214,805</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183,911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Capital lease obligations, net of current portion</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11,590</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19,944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Non-current income taxes payable</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46,648</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20" w:type="dxa"/>
            <w:vAlign w:val="bottom"/>
          </w:tcPr>
          <w:p>
            <w:pPr>
              <w:ind w:left="220"/>
              <w:spacing w:after="0"/>
              <w:rPr>
                <w:sz w:val="20"/>
                <w:szCs w:val="20"/>
                <w:color w:val="auto"/>
              </w:rPr>
            </w:pPr>
            <w:r>
              <w:rPr>
                <w:rFonts w:ascii="Arial" w:cs="Arial" w:eastAsia="Arial" w:hAnsi="Arial"/>
                <w:sz w:val="18"/>
                <w:szCs w:val="18"/>
                <w:color w:val="auto"/>
              </w:rPr>
              <w:t>Other long-term liabilities</w:t>
            </w:r>
          </w:p>
        </w:tc>
        <w:tc>
          <w:tcPr>
            <w:tcW w:w="3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18,489</w:t>
            </w: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17,934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80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liabilities</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244,624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8020" w:type="dxa"/>
            <w:vAlign w:val="bottom"/>
            <w:vMerge w:val="restart"/>
          </w:tcPr>
          <w:p>
            <w:pPr>
              <w:spacing w:after="0"/>
              <w:rPr>
                <w:sz w:val="20"/>
                <w:szCs w:val="20"/>
                <w:color w:val="auto"/>
              </w:rPr>
            </w:pPr>
            <w:r>
              <w:rPr>
                <w:rFonts w:ascii="Arial" w:cs="Arial" w:eastAsia="Arial" w:hAnsi="Arial"/>
                <w:sz w:val="18"/>
                <w:szCs w:val="18"/>
                <w:color w:val="auto"/>
              </w:rPr>
              <w:t>Commitments and contingencies (Note 11)</w:t>
            </w:r>
          </w:p>
        </w:tc>
        <w:tc>
          <w:tcPr>
            <w:tcW w:w="3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8020" w:type="dxa"/>
            <w:vAlign w:val="bottom"/>
            <w:vMerge w:val="continue"/>
          </w:tcPr>
          <w:p>
            <w:pPr>
              <w:spacing w:after="0"/>
              <w:rPr>
                <w:sz w:val="24"/>
                <w:szCs w:val="24"/>
                <w:color w:val="auto"/>
              </w:rPr>
            </w:pPr>
          </w:p>
        </w:tc>
        <w:tc>
          <w:tcPr>
            <w:tcW w:w="3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80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spacing w:after="0"/>
              <w:rPr>
                <w:sz w:val="18"/>
                <w:szCs w:val="18"/>
                <w:color w:val="auto"/>
              </w:rPr>
            </w:pP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360" w:type="dxa"/>
            <w:vAlign w:val="bottom"/>
          </w:tcPr>
          <w:p>
            <w:pPr>
              <w:spacing w:after="0"/>
              <w:rPr>
                <w:sz w:val="18"/>
                <w:szCs w:val="18"/>
                <w:color w:val="auto"/>
              </w:rPr>
            </w:pPr>
          </w:p>
        </w:tc>
        <w:tc>
          <w:tcPr>
            <w:tcW w:w="14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w w:val="95"/>
              </w:rPr>
              <w:t>Common stock, $0.002 par value; 492,000 shares authorized; 277,602 and 263,492 shares issued and</w:t>
            </w:r>
          </w:p>
        </w:tc>
        <w:tc>
          <w:tcPr>
            <w:tcW w:w="360" w:type="dxa"/>
            <w:vAlign w:val="bottom"/>
            <w:shd w:val="clear" w:color="auto" w:fill="CCEEFF"/>
          </w:tcPr>
          <w:p>
            <w:pPr>
              <w:spacing w:after="0"/>
              <w:rPr>
                <w:sz w:val="18"/>
                <w:szCs w:val="18"/>
                <w:color w:val="auto"/>
              </w:rPr>
            </w:pPr>
          </w:p>
        </w:tc>
        <w:tc>
          <w:tcPr>
            <w:tcW w:w="1160" w:type="dxa"/>
            <w:vAlign w:val="bottom"/>
            <w:tcBorders>
              <w:right w:val="single" w:sz="8" w:color="CCEEFF"/>
            </w:tcBorders>
            <w:shd w:val="clear" w:color="auto" w:fill="CCEEFF"/>
          </w:tcPr>
          <w:p>
            <w:pPr>
              <w:spacing w:after="0"/>
              <w:rPr>
                <w:sz w:val="18"/>
                <w:szCs w:val="18"/>
                <w:color w:val="auto"/>
              </w:rPr>
            </w:pP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outstanding, respectively</w:t>
            </w:r>
          </w:p>
        </w:tc>
        <w:tc>
          <w:tcPr>
            <w:tcW w:w="360" w:type="dxa"/>
            <w:vAlign w:val="bottom"/>
            <w:shd w:val="clear" w:color="auto" w:fill="CCEEFF"/>
          </w:tcPr>
          <w:p>
            <w:pPr>
              <w:spacing w:after="0"/>
              <w:rPr>
                <w:sz w:val="19"/>
                <w:szCs w:val="19"/>
                <w:color w:val="auto"/>
              </w:rPr>
            </w:pP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w:t>
            </w:r>
          </w:p>
        </w:tc>
        <w:tc>
          <w:tcPr>
            <w:tcW w:w="240" w:type="dxa"/>
            <w:vAlign w:val="bottom"/>
            <w:tcBorders>
              <w:right w:val="single" w:sz="8" w:color="CCEEFF"/>
            </w:tcBorders>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527</w:t>
            </w: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Additional paid-in capital</w:t>
            </w:r>
          </w:p>
        </w:tc>
        <w:tc>
          <w:tcPr>
            <w:tcW w:w="3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3,035,200</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2,872,281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stock-based compensation</w:t>
            </w:r>
          </w:p>
        </w:tc>
        <w:tc>
          <w:tcPr>
            <w:tcW w:w="360" w:type="dxa"/>
            <w:vAlign w:val="bottom"/>
            <w:shd w:val="clear" w:color="auto" w:fill="CCEEFF"/>
          </w:tcPr>
          <w:p>
            <w:pPr>
              <w:spacing w:after="0"/>
              <w:rPr>
                <w:sz w:val="18"/>
                <w:szCs w:val="18"/>
                <w:color w:val="auto"/>
              </w:rPr>
            </w:pPr>
          </w:p>
        </w:tc>
        <w:tc>
          <w:tcPr>
            <w:tcW w:w="1400" w:type="dxa"/>
            <w:vAlign w:val="bottom"/>
            <w:tcBorders>
              <w:right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(3,400)</w:t>
            </w:r>
          </w:p>
        </w:tc>
        <w:tc>
          <w:tcPr>
            <w:tcW w:w="5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(7,945)</w:t>
            </w:r>
          </w:p>
        </w:tc>
        <w:tc>
          <w:tcPr>
            <w:tcW w:w="0" w:type="dxa"/>
            <w:vAlign w:val="bottom"/>
          </w:tcPr>
          <w:p>
            <w:pPr>
              <w:spacing w:after="0"/>
              <w:rPr>
                <w:sz w:val="1"/>
                <w:szCs w:val="1"/>
                <w:color w:val="auto"/>
              </w:rPr>
            </w:pPr>
          </w:p>
        </w:tc>
      </w:tr>
      <w:tr>
        <w:trPr>
          <w:trHeight w:val="216"/>
        </w:trPr>
        <w:tc>
          <w:tcPr>
            <w:tcW w:w="8020" w:type="dxa"/>
            <w:vAlign w:val="bottom"/>
          </w:tcPr>
          <w:p>
            <w:pPr>
              <w:ind w:left="220"/>
              <w:spacing w:after="0"/>
              <w:rPr>
                <w:sz w:val="20"/>
                <w:szCs w:val="20"/>
                <w:color w:val="auto"/>
              </w:rPr>
            </w:pPr>
            <w:r>
              <w:rPr>
                <w:rFonts w:ascii="Arial" w:cs="Arial" w:eastAsia="Arial" w:hAnsi="Arial"/>
                <w:sz w:val="18"/>
                <w:szCs w:val="18"/>
                <w:color w:val="auto"/>
              </w:rPr>
              <w:t>Accumulated other comprehensive income (loss)</w:t>
            </w:r>
          </w:p>
        </w:tc>
        <w:tc>
          <w:tcPr>
            <w:tcW w:w="360" w:type="dxa"/>
            <w:vAlign w:val="bottom"/>
          </w:tcPr>
          <w:p>
            <w:pPr>
              <w:spacing w:after="0"/>
              <w:rPr>
                <w:sz w:val="18"/>
                <w:szCs w:val="18"/>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(1,807)</w:t>
            </w:r>
          </w:p>
        </w:tc>
        <w:tc>
          <w:tcPr>
            <w:tcW w:w="5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757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Accumulated deficit</w:t>
            </w:r>
          </w:p>
        </w:tc>
        <w:tc>
          <w:tcPr>
            <w:tcW w:w="360" w:type="dxa"/>
            <w:vAlign w:val="bottom"/>
            <w:shd w:val="clear" w:color="auto" w:fill="CCEEFF"/>
          </w:tcPr>
          <w:p>
            <w:pPr>
              <w:spacing w:after="0"/>
              <w:rPr>
                <w:sz w:val="18"/>
                <w:szCs w:val="18"/>
                <w:color w:val="auto"/>
              </w:rPr>
            </w:pPr>
          </w:p>
        </w:tc>
        <w:tc>
          <w:tcPr>
            <w:tcW w:w="1400" w:type="dxa"/>
            <w:vAlign w:val="bottom"/>
            <w:tcBorders>
              <w:right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(533,118)</w:t>
            </w:r>
          </w:p>
        </w:tc>
        <w:tc>
          <w:tcPr>
            <w:tcW w:w="5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(674,779)</w:t>
            </w:r>
          </w:p>
        </w:tc>
        <w:tc>
          <w:tcPr>
            <w:tcW w:w="0" w:type="dxa"/>
            <w:vAlign w:val="bottom"/>
          </w:tcPr>
          <w:p>
            <w:pPr>
              <w:spacing w:after="0"/>
              <w:rPr>
                <w:sz w:val="1"/>
                <w:szCs w:val="1"/>
                <w:color w:val="auto"/>
              </w:rPr>
            </w:pPr>
          </w:p>
        </w:tc>
      </w:tr>
      <w:tr>
        <w:trPr>
          <w:trHeight w:val="118"/>
        </w:trPr>
        <w:tc>
          <w:tcPr>
            <w:tcW w:w="802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8020" w:type="dxa"/>
            <w:vAlign w:val="bottom"/>
          </w:tcPr>
          <w:p>
            <w:pPr>
              <w:ind w:left="440"/>
              <w:spacing w:after="0"/>
              <w:rPr>
                <w:sz w:val="20"/>
                <w:szCs w:val="20"/>
                <w:color w:val="auto"/>
              </w:rPr>
            </w:pPr>
            <w:r>
              <w:rPr>
                <w:rFonts w:ascii="Arial" w:cs="Arial" w:eastAsia="Arial" w:hAnsi="Arial"/>
                <w:sz w:val="18"/>
                <w:szCs w:val="18"/>
                <w:color w:val="auto"/>
              </w:rPr>
              <w:t>Total shareholders' equity</w:t>
            </w:r>
          </w:p>
        </w:tc>
        <w:tc>
          <w:tcPr>
            <w:tcW w:w="36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2,497,430</w:t>
            </w: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2,190,841</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802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liabilities and shareholders' equity</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11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24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jc w:val="right"/>
              <w:ind w:right="391"/>
              <w:spacing w:after="0"/>
              <w:rPr>
                <w:sz w:val="20"/>
                <w:szCs w:val="20"/>
                <w:color w:val="auto"/>
              </w:rPr>
            </w:pPr>
            <w:r>
              <w:rPr>
                <w:rFonts w:ascii="Arial" w:cs="Arial" w:eastAsia="Arial" w:hAnsi="Arial"/>
                <w:sz w:val="10"/>
                <w:szCs w:val="10"/>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2,435,465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80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802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60" w:type="dxa"/>
            <w:vAlign w:val="bottom"/>
            <w:tcBorders>
              <w:right w:val="single" w:sz="8" w:color="808080"/>
            </w:tcBorders>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0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7164070</wp:posOffset>
            </wp:positionH>
            <wp:positionV relativeFrom="paragraph">
              <wp:posOffset>-7398385</wp:posOffset>
            </wp:positionV>
            <wp:extent cx="12700" cy="889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-7398385</wp:posOffset>
            </wp:positionV>
            <wp:extent cx="12700" cy="889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-7149465</wp:posOffset>
            </wp:positionV>
            <wp:extent cx="12700" cy="889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-7149465</wp:posOffset>
            </wp:positionV>
            <wp:extent cx="12700" cy="8890"/>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-7149465</wp:posOffset>
            </wp:positionV>
            <wp:extent cx="12700" cy="889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-7149465</wp:posOffset>
            </wp:positionV>
            <wp:extent cx="12700" cy="889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-5554345</wp:posOffset>
            </wp:positionV>
            <wp:extent cx="12700" cy="889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-5554345</wp:posOffset>
            </wp:positionV>
            <wp:extent cx="12700" cy="889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-5554345</wp:posOffset>
            </wp:positionV>
            <wp:extent cx="12700" cy="8890"/>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-5554345</wp:posOffset>
            </wp:positionV>
            <wp:extent cx="12700" cy="8890"/>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-4713605</wp:posOffset>
            </wp:positionV>
            <wp:extent cx="12700" cy="8890"/>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-4713605</wp:posOffset>
            </wp:positionV>
            <wp:extent cx="12700" cy="8890"/>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-4713605</wp:posOffset>
            </wp:positionV>
            <wp:extent cx="12700" cy="889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-4713605</wp:posOffset>
            </wp:positionV>
            <wp:extent cx="12700" cy="889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-2998470</wp:posOffset>
            </wp:positionV>
            <wp:extent cx="12700" cy="889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-2998470</wp:posOffset>
            </wp:positionV>
            <wp:extent cx="12700" cy="889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-2998470</wp:posOffset>
            </wp:positionV>
            <wp:extent cx="12700" cy="889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-2998470</wp:posOffset>
            </wp:positionV>
            <wp:extent cx="12700" cy="889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-2295525</wp:posOffset>
            </wp:positionV>
            <wp:extent cx="12700" cy="889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-2295525</wp:posOffset>
            </wp:positionV>
            <wp:extent cx="12700" cy="889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-2295525</wp:posOffset>
            </wp:positionV>
            <wp:extent cx="12700" cy="889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-2295525</wp:posOffset>
            </wp:positionV>
            <wp:extent cx="12700" cy="889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-2004060</wp:posOffset>
            </wp:positionV>
            <wp:extent cx="12700" cy="889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-2004060</wp:posOffset>
            </wp:positionV>
            <wp:extent cx="12700" cy="889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-2004060</wp:posOffset>
            </wp:positionV>
            <wp:extent cx="12700" cy="889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-2004060</wp:posOffset>
            </wp:positionV>
            <wp:extent cx="12700" cy="889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-614680</wp:posOffset>
            </wp:positionV>
            <wp:extent cx="12700" cy="889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-614680</wp:posOffset>
            </wp:positionV>
            <wp:extent cx="12700" cy="889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-614680</wp:posOffset>
            </wp:positionV>
            <wp:extent cx="12700" cy="889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-614680</wp:posOffset>
            </wp:positionV>
            <wp:extent cx="12700" cy="8890"/>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-323215</wp:posOffset>
            </wp:positionV>
            <wp:extent cx="12700" cy="889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-323215</wp:posOffset>
            </wp:positionV>
            <wp:extent cx="12700" cy="889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-323215</wp:posOffset>
            </wp:positionV>
            <wp:extent cx="12700" cy="8890"/>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-323215</wp:posOffset>
            </wp:positionV>
            <wp:extent cx="12700" cy="8890"/>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20"/>
          </w:cols>
          <w:pgMar w:left="240" w:top="341"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type w:val="continuous"/>
        </w:sectPr>
      </w:pPr>
    </w:p>
    <w:bookmarkStart w:id="74" w:name="page75"/>
    <w:bookmarkEnd w:id="7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57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620" w:type="dxa"/>
            <w:vAlign w:val="bottom"/>
            <w:gridSpan w:val="3"/>
          </w:tcPr>
          <w:p>
            <w:pPr>
              <w:jc w:val="right"/>
              <w:spacing w:after="0"/>
              <w:rPr>
                <w:sz w:val="20"/>
                <w:szCs w:val="20"/>
                <w:color w:val="auto"/>
              </w:rPr>
            </w:pPr>
            <w:r>
              <w:rPr>
                <w:rFonts w:ascii="Arial" w:cs="Arial" w:eastAsia="Arial" w:hAnsi="Arial"/>
                <w:sz w:val="14"/>
                <w:szCs w:val="14"/>
                <w:b w:val="1"/>
                <w:bCs w:val="1"/>
                <w:color w:val="auto"/>
                <w:w w:val="94"/>
              </w:rPr>
              <w:t>Years Ended January 31,</w:t>
            </w:r>
          </w:p>
        </w:tc>
        <w:tc>
          <w:tcPr>
            <w:tcW w:w="3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57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140" w:type="dxa"/>
            <w:vAlign w:val="bottom"/>
          </w:tcPr>
          <w:p>
            <w:pPr>
              <w:jc w:val="right"/>
              <w:ind w:right="534"/>
              <w:spacing w:after="0"/>
              <w:rPr>
                <w:sz w:val="20"/>
                <w:szCs w:val="20"/>
                <w:color w:val="auto"/>
              </w:rPr>
            </w:pPr>
            <w:r>
              <w:rPr>
                <w:rFonts w:ascii="Arial" w:cs="Arial" w:eastAsia="Arial" w:hAnsi="Arial"/>
                <w:sz w:val="14"/>
                <w:szCs w:val="14"/>
                <w:b w:val="1"/>
                <w:bCs w:val="1"/>
                <w:color w:val="auto"/>
              </w:rPr>
              <w:t>2005</w:t>
            </w:r>
          </w:p>
        </w:tc>
        <w:tc>
          <w:tcPr>
            <w:tcW w:w="3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00" w:type="dxa"/>
            <w:vAlign w:val="bottom"/>
          </w:tcPr>
          <w:p>
            <w:pPr>
              <w:jc w:val="right"/>
              <w:ind w:right="433"/>
              <w:spacing w:after="0"/>
              <w:rPr>
                <w:sz w:val="20"/>
                <w:szCs w:val="20"/>
                <w:color w:val="auto"/>
              </w:rPr>
            </w:pPr>
            <w:r>
              <w:rPr>
                <w:rFonts w:ascii="Arial" w:cs="Arial" w:eastAsia="Arial" w:hAnsi="Arial"/>
                <w:sz w:val="14"/>
                <w:szCs w:val="14"/>
                <w:b w:val="1"/>
                <w:bCs w:val="1"/>
                <w:color w:val="auto"/>
              </w:rPr>
              <w:t>2004</w:t>
            </w:r>
          </w:p>
        </w:tc>
        <w:tc>
          <w:tcPr>
            <w:tcW w:w="3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980" w:type="dxa"/>
            <w:vAlign w:val="bottom"/>
          </w:tcPr>
          <w:p>
            <w:pPr>
              <w:jc w:val="right"/>
              <w:ind w:right="413"/>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300" w:type="dxa"/>
            <w:vAlign w:val="bottom"/>
            <w:tcBorders>
              <w:bottom w:val="single" w:sz="8" w:color="808080"/>
            </w:tcBorders>
            <w:gridSpan w:val="2"/>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57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3380" w:type="dxa"/>
            <w:vAlign w:val="bottom"/>
            <w:gridSpan w:val="6"/>
          </w:tcPr>
          <w:p>
            <w:pPr>
              <w:jc w:val="right"/>
              <w:ind w:right="200"/>
              <w:spacing w:after="0"/>
              <w:rPr>
                <w:sz w:val="20"/>
                <w:szCs w:val="20"/>
                <w:color w:val="auto"/>
              </w:rPr>
            </w:pPr>
            <w:r>
              <w:rPr>
                <w:rFonts w:ascii="Arial" w:cs="Arial" w:eastAsia="Arial" w:hAnsi="Arial"/>
                <w:sz w:val="14"/>
                <w:szCs w:val="14"/>
                <w:b w:val="1"/>
                <w:bCs w:val="1"/>
                <w:color w:val="auto"/>
              </w:rPr>
              <w:t>(In thousands, except per share amounts)</w:t>
            </w:r>
          </w:p>
        </w:tc>
        <w:tc>
          <w:tcPr>
            <w:tcW w:w="9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820" w:type="dxa"/>
            <w:vAlign w:val="bottom"/>
          </w:tcPr>
          <w:p>
            <w:pPr>
              <w:spacing w:after="0"/>
              <w:rPr>
                <w:sz w:val="20"/>
                <w:szCs w:val="20"/>
                <w:color w:val="auto"/>
              </w:rPr>
            </w:pPr>
          </w:p>
        </w:tc>
        <w:tc>
          <w:tcPr>
            <w:tcW w:w="57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819,762</w:t>
            </w:r>
          </w:p>
        </w:tc>
        <w:tc>
          <w:tcPr>
            <w:tcW w:w="6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505,285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3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Cost of goods sold(1)</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581,757</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382,206</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233,039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tcPr>
          <w:p>
            <w:pPr>
              <w:ind w:left="200"/>
              <w:spacing w:after="0"/>
              <w:rPr>
                <w:sz w:val="20"/>
                <w:szCs w:val="20"/>
                <w:color w:val="auto"/>
              </w:rPr>
            </w:pPr>
            <w:r>
              <w:rPr>
                <w:rFonts w:ascii="Arial" w:cs="Arial" w:eastAsia="Arial" w:hAnsi="Arial"/>
                <w:sz w:val="18"/>
                <w:szCs w:val="18"/>
                <w:color w:val="auto"/>
              </w:rPr>
              <w:t>Research and development(2)</w:t>
            </w:r>
          </w:p>
        </w:tc>
        <w:tc>
          <w:tcPr>
            <w:tcW w:w="3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263,261</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213,740</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145,722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Selling and marketing(3)</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76,570</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62,350</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tcPr>
          <w:p>
            <w:pPr>
              <w:ind w:left="200"/>
              <w:spacing w:after="0"/>
              <w:rPr>
                <w:sz w:val="20"/>
                <w:szCs w:val="20"/>
                <w:color w:val="auto"/>
              </w:rPr>
            </w:pPr>
            <w:r>
              <w:rPr>
                <w:rFonts w:ascii="Arial" w:cs="Arial" w:eastAsia="Arial" w:hAnsi="Arial"/>
                <w:sz w:val="18"/>
                <w:szCs w:val="18"/>
                <w:color w:val="auto"/>
              </w:rPr>
              <w:t>General and administrative(4)</w:t>
            </w:r>
          </w:p>
        </w:tc>
        <w:tc>
          <w:tcPr>
            <w:tcW w:w="3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32,220</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19,004</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14,303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Amortization of stock-based compensation</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3,977</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tcPr>
          <w:p>
            <w:pPr>
              <w:ind w:left="20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102,534</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80,390</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107,645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Facilities consolidation charge</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19,562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574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560" w:type="dxa"/>
            <w:vAlign w:val="bottom"/>
            <w:gridSpan w:val="2"/>
          </w:tcPr>
          <w:p>
            <w:pPr>
              <w:ind w:left="420"/>
              <w:spacing w:after="0"/>
              <w:rPr>
                <w:sz w:val="20"/>
                <w:szCs w:val="20"/>
                <w:color w:val="auto"/>
              </w:rPr>
            </w:pPr>
            <w:r>
              <w:rPr>
                <w:rFonts w:ascii="Arial" w:cs="Arial" w:eastAsia="Arial" w:hAnsi="Arial"/>
                <w:sz w:val="18"/>
                <w:szCs w:val="18"/>
                <w:color w:val="auto"/>
              </w:rPr>
              <w:t>Total operating costs and expenses</w:t>
            </w:r>
          </w:p>
        </w:tc>
        <w:tc>
          <w:tcPr>
            <w:tcW w:w="360" w:type="dxa"/>
            <w:vAlign w:val="bottom"/>
          </w:tcPr>
          <w:p>
            <w:pPr>
              <w:spacing w:after="0"/>
              <w:rPr>
                <w:sz w:val="24"/>
                <w:szCs w:val="24"/>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1,062,733</w:t>
            </w: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762,633</w:t>
            </w: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576,253</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574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161,847</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57,129</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(70,968)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3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7,657</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6,223</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7,318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169,504</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63,352</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(63,650)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3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27,843</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17,842</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8,524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141,661</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45,510</w:t>
            </w:r>
          </w:p>
        </w:tc>
        <w:tc>
          <w:tcPr>
            <w:tcW w:w="6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(72,174)</w:t>
            </w:r>
          </w:p>
        </w:tc>
        <w:tc>
          <w:tcPr>
            <w:tcW w:w="0" w:type="dxa"/>
            <w:vAlign w:val="bottom"/>
          </w:tcPr>
          <w:p>
            <w:pPr>
              <w:spacing w:after="0"/>
              <w:rPr>
                <w:sz w:val="1"/>
                <w:szCs w:val="1"/>
                <w:color w:val="auto"/>
              </w:rPr>
            </w:pPr>
          </w:p>
        </w:tc>
      </w:tr>
      <w:tr>
        <w:trPr>
          <w:trHeight w:val="105"/>
        </w:trPr>
        <w:tc>
          <w:tcPr>
            <w:tcW w:w="6580" w:type="dxa"/>
            <w:vAlign w:val="bottom"/>
            <w:gridSpan w:val="3"/>
            <w:vMerge w:val="restart"/>
          </w:tcPr>
          <w:p>
            <w:pPr>
              <w:spacing w:after="0"/>
              <w:rPr>
                <w:sz w:val="20"/>
                <w:szCs w:val="20"/>
                <w:color w:val="auto"/>
              </w:rPr>
            </w:pPr>
            <w:r>
              <w:rPr>
                <w:rFonts w:ascii="Arial" w:cs="Arial" w:eastAsia="Arial" w:hAnsi="Arial"/>
                <w:sz w:val="18"/>
                <w:szCs w:val="18"/>
                <w:color w:val="auto"/>
              </w:rPr>
              <w:t>Net income (loss) per share:</w:t>
            </w: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580" w:type="dxa"/>
            <w:vAlign w:val="bottom"/>
            <w:gridSpan w:val="3"/>
            <w:vMerge w:val="continue"/>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6"/>
        </w:trPr>
        <w:tc>
          <w:tcPr>
            <w:tcW w:w="6580" w:type="dxa"/>
            <w:vAlign w:val="bottom"/>
            <w:gridSpan w:val="3"/>
            <w:vMerge w:val="continue"/>
          </w:tcPr>
          <w:p>
            <w:pPr>
              <w:spacing w:after="0"/>
              <w:rPr>
                <w:sz w:val="24"/>
                <w:szCs w:val="24"/>
                <w:color w:val="auto"/>
              </w:rPr>
            </w:pPr>
          </w:p>
        </w:tc>
        <w:tc>
          <w:tcPr>
            <w:tcW w:w="3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Basic</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6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100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110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560" w:type="dxa"/>
            <w:vAlign w:val="bottom"/>
            <w:gridSpan w:val="2"/>
          </w:tcPr>
          <w:p>
            <w:pPr>
              <w:ind w:left="200"/>
              <w:spacing w:after="0"/>
              <w:rPr>
                <w:sz w:val="20"/>
                <w:szCs w:val="20"/>
                <w:color w:val="auto"/>
              </w:rPr>
            </w:pPr>
            <w:r>
              <w:rPr>
                <w:rFonts w:ascii="Arial" w:cs="Arial" w:eastAsia="Arial" w:hAnsi="Arial"/>
                <w:sz w:val="18"/>
                <w:szCs w:val="18"/>
                <w:color w:val="auto"/>
              </w:rPr>
              <w:t>Diluted</w:t>
            </w:r>
          </w:p>
        </w:tc>
        <w:tc>
          <w:tcPr>
            <w:tcW w:w="360" w:type="dxa"/>
            <w:vAlign w:val="bottom"/>
          </w:tcPr>
          <w:p>
            <w:pPr>
              <w:jc w:val="right"/>
              <w:ind w:right="172"/>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0.47</w:t>
            </w: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0.16</w:t>
            </w:r>
          </w:p>
        </w:tc>
        <w:tc>
          <w:tcPr>
            <w:tcW w:w="6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107"/>
        </w:trPr>
        <w:tc>
          <w:tcPr>
            <w:tcW w:w="840" w:type="dxa"/>
            <w:vAlign w:val="bottom"/>
            <w:gridSpan w:val="2"/>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6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36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00" w:type="dxa"/>
            <w:vAlign w:val="bottom"/>
            <w:tcBorders>
              <w:right w:val="single" w:sz="8" w:color="CCEEFF"/>
            </w:tcBorders>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560" w:type="dxa"/>
            <w:vAlign w:val="bottom"/>
            <w:gridSpan w:val="2"/>
          </w:tcPr>
          <w:p>
            <w:pPr>
              <w:ind w:left="200"/>
              <w:spacing w:after="0"/>
              <w:rPr>
                <w:sz w:val="20"/>
                <w:szCs w:val="20"/>
                <w:color w:val="auto"/>
              </w:rPr>
            </w:pPr>
            <w:r>
              <w:rPr>
                <w:rFonts w:ascii="Arial" w:cs="Arial" w:eastAsia="Arial" w:hAnsi="Arial"/>
                <w:sz w:val="18"/>
                <w:szCs w:val="18"/>
                <w:color w:val="auto"/>
              </w:rPr>
              <w:t>Basic</w:t>
            </w:r>
          </w:p>
        </w:tc>
        <w:tc>
          <w:tcPr>
            <w:tcW w:w="3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269,687</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251,554</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238,481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820" w:type="dxa"/>
            <w:vAlign w:val="bottom"/>
          </w:tcPr>
          <w:p>
            <w:pPr>
              <w:spacing w:after="0"/>
              <w:rPr>
                <w:sz w:val="8"/>
                <w:szCs w:val="8"/>
                <w:color w:val="auto"/>
              </w:rPr>
            </w:pPr>
          </w:p>
        </w:tc>
        <w:tc>
          <w:tcPr>
            <w:tcW w:w="5740" w:type="dxa"/>
            <w:vAlign w:val="bottom"/>
          </w:tcPr>
          <w:p>
            <w:pPr>
              <w:spacing w:after="0"/>
              <w:rPr>
                <w:sz w:val="8"/>
                <w:szCs w:val="8"/>
                <w:color w:val="auto"/>
              </w:rPr>
            </w:pPr>
          </w:p>
        </w:tc>
        <w:tc>
          <w:tcPr>
            <w:tcW w:w="3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Diluted</w:t>
            </w:r>
          </w:p>
        </w:tc>
        <w:tc>
          <w:tcPr>
            <w:tcW w:w="3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299,012</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276,483</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238,481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57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7164070</wp:posOffset>
            </wp:positionH>
            <wp:positionV relativeFrom="paragraph">
              <wp:posOffset>-5297170</wp:posOffset>
            </wp:positionV>
            <wp:extent cx="12700" cy="889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-5297170</wp:posOffset>
            </wp:positionV>
            <wp:extent cx="12700" cy="8890"/>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-5048250</wp:posOffset>
            </wp:positionV>
            <wp:extent cx="12700" cy="889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-5048250</wp:posOffset>
            </wp:positionV>
            <wp:extent cx="12700" cy="8890"/>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-5048250</wp:posOffset>
            </wp:positionV>
            <wp:extent cx="12700" cy="889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-5048250</wp:posOffset>
            </wp:positionV>
            <wp:extent cx="12700" cy="889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-5048250</wp:posOffset>
            </wp:positionV>
            <wp:extent cx="12700" cy="889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-5048250</wp:posOffset>
            </wp:positionV>
            <wp:extent cx="12700" cy="889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-3410585</wp:posOffset>
            </wp:positionV>
            <wp:extent cx="12700" cy="889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-3410585</wp:posOffset>
            </wp:positionV>
            <wp:extent cx="12700" cy="889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-3410585</wp:posOffset>
            </wp:positionV>
            <wp:extent cx="12700" cy="889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-3410585</wp:posOffset>
            </wp:positionV>
            <wp:extent cx="12700" cy="889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-3410585</wp:posOffset>
            </wp:positionV>
            <wp:extent cx="12700" cy="889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-3410585</wp:posOffset>
            </wp:positionV>
            <wp:extent cx="12700" cy="889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-3118485</wp:posOffset>
            </wp:positionV>
            <wp:extent cx="12700" cy="889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-3118485</wp:posOffset>
            </wp:positionV>
            <wp:extent cx="12700" cy="889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-3118485</wp:posOffset>
            </wp:positionV>
            <wp:extent cx="12700" cy="889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-3118485</wp:posOffset>
            </wp:positionV>
            <wp:extent cx="12700" cy="889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-3118485</wp:posOffset>
            </wp:positionV>
            <wp:extent cx="12700" cy="889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-3118485</wp:posOffset>
            </wp:positionV>
            <wp:extent cx="12700" cy="889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-2689860</wp:posOffset>
            </wp:positionV>
            <wp:extent cx="12700" cy="889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-2689860</wp:posOffset>
            </wp:positionV>
            <wp:extent cx="12700" cy="889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-2689860</wp:posOffset>
            </wp:positionV>
            <wp:extent cx="12700" cy="889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-2689860</wp:posOffset>
            </wp:positionV>
            <wp:extent cx="12700" cy="889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-2689860</wp:posOffset>
            </wp:positionV>
            <wp:extent cx="12700" cy="889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-2689860</wp:posOffset>
            </wp:positionV>
            <wp:extent cx="12700" cy="889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5114290</wp:posOffset>
            </wp:positionH>
            <wp:positionV relativeFrom="paragraph">
              <wp:posOffset>-2261235</wp:posOffset>
            </wp:positionV>
            <wp:extent cx="12700" cy="889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-2261235</wp:posOffset>
            </wp:positionV>
            <wp:extent cx="12700" cy="889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-2261235</wp:posOffset>
            </wp:positionV>
            <wp:extent cx="12700" cy="889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-2261235</wp:posOffset>
            </wp:positionV>
            <wp:extent cx="12700" cy="889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-2261235</wp:posOffset>
            </wp:positionV>
            <wp:extent cx="12700" cy="889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-2261235</wp:posOffset>
            </wp:positionV>
            <wp:extent cx="12700" cy="889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526415</wp:posOffset>
            </wp:positionH>
            <wp:positionV relativeFrom="paragraph">
              <wp:posOffset>-14605</wp:posOffset>
            </wp:positionV>
            <wp:extent cx="12700" cy="889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7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hanging="532"/>
        <w:spacing w:after="0"/>
        <w:tabs>
          <w:tab w:leader="none" w:pos="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$85, $182 and $339 in fiscal 2005, 2004 and 2003.</w:t>
      </w:r>
    </w:p>
    <w:p>
      <w:pPr>
        <w:spacing w:after="0" w:line="252" w:lineRule="exact"/>
        <w:rPr>
          <w:rFonts w:ascii="Arial" w:cs="Arial" w:eastAsia="Arial" w:hAnsi="Arial"/>
          <w:sz w:val="18"/>
          <w:szCs w:val="18"/>
          <w:color w:val="auto"/>
        </w:rPr>
      </w:pPr>
    </w:p>
    <w:p>
      <w:pPr>
        <w:ind w:left="540" w:hanging="532"/>
        <w:spacing w:after="0"/>
        <w:tabs>
          <w:tab w:leader="none" w:pos="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$2,473, $2,555 and $4,732 in fiscal 2005, 2004 and 2003.</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Excludes amortization of stock-based compensation of $462, $833 and $1,605 in fiscal 2005, 2004 and 2003.</w:t>
      </w:r>
    </w:p>
    <w:p>
      <w:pPr>
        <w:spacing w:after="0" w:line="238" w:lineRule="exact"/>
        <w:rPr>
          <w:rFonts w:ascii="Arial" w:cs="Arial" w:eastAsia="Arial" w:hAnsi="Arial"/>
          <w:sz w:val="18"/>
          <w:szCs w:val="18"/>
          <w:color w:val="auto"/>
        </w:rPr>
      </w:pPr>
    </w:p>
    <w:p>
      <w:pPr>
        <w:jc w:val="right"/>
        <w:ind w:left="3740" w:right="3200" w:hanging="3732"/>
        <w:spacing w:after="0" w:line="601" w:lineRule="auto"/>
        <w:tabs>
          <w:tab w:leader="none" w:pos="544" w:val="left"/>
        </w:tabs>
        <w:numPr>
          <w:ilvl w:val="0"/>
          <w:numId w:val="27"/>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$957, $1,373 and $815 in fiscal 2005, 2004 and 2003. See accompanying Notes to Consolidated Financial Statements.</w:t>
      </w:r>
    </w:p>
    <w:p>
      <w:pPr>
        <w:jc w:val="center"/>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1760" w:type="dxa"/>
            <w:vAlign w:val="bottom"/>
            <w:gridSpan w:val="4"/>
          </w:tcPr>
          <w:p>
            <w:pPr>
              <w:jc w:val="right"/>
              <w:ind w:right="392"/>
              <w:spacing w:after="0"/>
              <w:rPr>
                <w:sz w:val="20"/>
                <w:szCs w:val="20"/>
                <w:color w:val="auto"/>
              </w:rPr>
            </w:pPr>
            <w:r>
              <w:rPr>
                <w:rFonts w:ascii="Arial" w:cs="Arial" w:eastAsia="Arial" w:hAnsi="Arial"/>
                <w:sz w:val="14"/>
                <w:szCs w:val="14"/>
                <w:b w:val="1"/>
                <w:bCs w:val="1"/>
                <w:color w:val="auto"/>
              </w:rPr>
              <w:t>Common Stock</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0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2580" w:type="dxa"/>
            <w:vAlign w:val="bottom"/>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100" w:type="dxa"/>
            <w:vAlign w:val="bottom"/>
            <w:gridSpan w:val="2"/>
          </w:tcPr>
          <w:p>
            <w:pPr>
              <w:jc w:val="right"/>
              <w:ind w:right="420"/>
              <w:spacing w:after="0" w:line="118" w:lineRule="exact"/>
              <w:rPr>
                <w:sz w:val="20"/>
                <w:szCs w:val="20"/>
                <w:color w:val="auto"/>
              </w:rPr>
            </w:pPr>
            <w:r>
              <w:rPr>
                <w:rFonts w:ascii="Arial" w:cs="Arial" w:eastAsia="Arial" w:hAnsi="Arial"/>
                <w:sz w:val="12"/>
                <w:szCs w:val="12"/>
                <w:b w:val="1"/>
                <w:bCs w:val="1"/>
                <w:color w:val="auto"/>
              </w:rPr>
              <w:t>Additional</w:t>
            </w:r>
          </w:p>
        </w:tc>
        <w:tc>
          <w:tcPr>
            <w:tcW w:w="200" w:type="dxa"/>
            <w:vAlign w:val="bottom"/>
          </w:tcPr>
          <w:p>
            <w:pPr>
              <w:spacing w:after="0"/>
              <w:rPr>
                <w:sz w:val="10"/>
                <w:szCs w:val="10"/>
                <w:color w:val="auto"/>
              </w:rPr>
            </w:pPr>
          </w:p>
        </w:tc>
        <w:tc>
          <w:tcPr>
            <w:tcW w:w="1480" w:type="dxa"/>
            <w:vAlign w:val="bottom"/>
            <w:gridSpan w:val="2"/>
          </w:tcPr>
          <w:p>
            <w:pPr>
              <w:jc w:val="center"/>
              <w:ind w:right="420"/>
              <w:spacing w:after="0" w:line="118" w:lineRule="exact"/>
              <w:rPr>
                <w:sz w:val="20"/>
                <w:szCs w:val="20"/>
                <w:color w:val="auto"/>
              </w:rPr>
            </w:pPr>
            <w:r>
              <w:rPr>
                <w:rFonts w:ascii="Arial" w:cs="Arial" w:eastAsia="Arial" w:hAnsi="Arial"/>
                <w:sz w:val="12"/>
                <w:szCs w:val="12"/>
                <w:b w:val="1"/>
                <w:bCs w:val="1"/>
                <w:color w:val="auto"/>
              </w:rPr>
              <w:t>Deferred</w:t>
            </w:r>
          </w:p>
        </w:tc>
        <w:tc>
          <w:tcPr>
            <w:tcW w:w="180" w:type="dxa"/>
            <w:vAlign w:val="bottom"/>
          </w:tcPr>
          <w:p>
            <w:pPr>
              <w:spacing w:after="0"/>
              <w:rPr>
                <w:sz w:val="10"/>
                <w:szCs w:val="10"/>
                <w:color w:val="auto"/>
              </w:rPr>
            </w:pPr>
          </w:p>
        </w:tc>
        <w:tc>
          <w:tcPr>
            <w:tcW w:w="1500" w:type="dxa"/>
            <w:vAlign w:val="bottom"/>
            <w:gridSpan w:val="2"/>
          </w:tcPr>
          <w:p>
            <w:pPr>
              <w:jc w:val="center"/>
              <w:ind w:right="400"/>
              <w:spacing w:after="0" w:line="118" w:lineRule="exact"/>
              <w:rPr>
                <w:sz w:val="20"/>
                <w:szCs w:val="20"/>
                <w:color w:val="auto"/>
              </w:rPr>
            </w:pPr>
            <w:r>
              <w:rPr>
                <w:rFonts w:ascii="Arial" w:cs="Arial" w:eastAsia="Arial" w:hAnsi="Arial"/>
                <w:sz w:val="12"/>
                <w:szCs w:val="12"/>
                <w:b w:val="1"/>
                <w:bCs w:val="1"/>
                <w:color w:val="auto"/>
              </w:rPr>
              <w:t>Other</w:t>
            </w:r>
          </w:p>
        </w:tc>
        <w:tc>
          <w:tcPr>
            <w:tcW w:w="14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25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520"/>
              <w:spacing w:after="0" w:line="159" w:lineRule="exact"/>
              <w:rPr>
                <w:sz w:val="20"/>
                <w:szCs w:val="20"/>
                <w:color w:val="auto"/>
              </w:rPr>
            </w:pPr>
            <w:r>
              <w:rPr>
                <w:rFonts w:ascii="Arial" w:cs="Arial" w:eastAsia="Arial" w:hAnsi="Arial"/>
                <w:sz w:val="14"/>
                <w:szCs w:val="14"/>
                <w:b w:val="1"/>
                <w:bCs w:val="1"/>
                <w:color w:val="auto"/>
              </w:rPr>
              <w:t>Paid-in</w:t>
            </w:r>
          </w:p>
        </w:tc>
        <w:tc>
          <w:tcPr>
            <w:tcW w:w="200" w:type="dxa"/>
            <w:vAlign w:val="bottom"/>
          </w:tcPr>
          <w:p>
            <w:pPr>
              <w:spacing w:after="0"/>
              <w:rPr>
                <w:sz w:val="13"/>
                <w:szCs w:val="13"/>
                <w:color w:val="auto"/>
              </w:rPr>
            </w:pPr>
          </w:p>
        </w:tc>
        <w:tc>
          <w:tcPr>
            <w:tcW w:w="1480" w:type="dxa"/>
            <w:vAlign w:val="bottom"/>
            <w:gridSpan w:val="2"/>
          </w:tcPr>
          <w:p>
            <w:pPr>
              <w:jc w:val="center"/>
              <w:ind w:right="420"/>
              <w:spacing w:after="0" w:line="159" w:lineRule="exact"/>
              <w:rPr>
                <w:sz w:val="20"/>
                <w:szCs w:val="20"/>
                <w:color w:val="auto"/>
              </w:rPr>
            </w:pPr>
            <w:r>
              <w:rPr>
                <w:rFonts w:ascii="Arial" w:cs="Arial" w:eastAsia="Arial" w:hAnsi="Arial"/>
                <w:sz w:val="14"/>
                <w:szCs w:val="14"/>
                <w:b w:val="1"/>
                <w:bCs w:val="1"/>
                <w:color w:val="auto"/>
                <w:w w:val="84"/>
              </w:rPr>
              <w:t>Stock-based</w:t>
            </w:r>
          </w:p>
        </w:tc>
        <w:tc>
          <w:tcPr>
            <w:tcW w:w="180" w:type="dxa"/>
            <w:vAlign w:val="bottom"/>
          </w:tcPr>
          <w:p>
            <w:pPr>
              <w:spacing w:after="0"/>
              <w:rPr>
                <w:sz w:val="13"/>
                <w:szCs w:val="13"/>
                <w:color w:val="auto"/>
              </w:rPr>
            </w:pPr>
          </w:p>
        </w:tc>
        <w:tc>
          <w:tcPr>
            <w:tcW w:w="1500" w:type="dxa"/>
            <w:vAlign w:val="bottom"/>
            <w:gridSpan w:val="2"/>
          </w:tcPr>
          <w:p>
            <w:pPr>
              <w:jc w:val="center"/>
              <w:ind w:right="400"/>
              <w:spacing w:after="0" w:line="159" w:lineRule="exact"/>
              <w:rPr>
                <w:sz w:val="20"/>
                <w:szCs w:val="20"/>
                <w:color w:val="auto"/>
              </w:rPr>
            </w:pPr>
            <w:r>
              <w:rPr>
                <w:rFonts w:ascii="Arial" w:cs="Arial" w:eastAsia="Arial" w:hAnsi="Arial"/>
                <w:sz w:val="14"/>
                <w:szCs w:val="14"/>
                <w:b w:val="1"/>
                <w:bCs w:val="1"/>
                <w:color w:val="auto"/>
                <w:w w:val="85"/>
              </w:rPr>
              <w:t>Comprehensive</w:t>
            </w:r>
          </w:p>
        </w:tc>
        <w:tc>
          <w:tcPr>
            <w:tcW w:w="140" w:type="dxa"/>
            <w:vAlign w:val="bottom"/>
          </w:tcPr>
          <w:p>
            <w:pPr>
              <w:spacing w:after="0"/>
              <w:rPr>
                <w:sz w:val="13"/>
                <w:szCs w:val="13"/>
                <w:color w:val="auto"/>
              </w:rPr>
            </w:pPr>
          </w:p>
        </w:tc>
        <w:tc>
          <w:tcPr>
            <w:tcW w:w="1300" w:type="dxa"/>
            <w:vAlign w:val="bottom"/>
            <w:gridSpan w:val="2"/>
          </w:tcPr>
          <w:p>
            <w:pPr>
              <w:jc w:val="right"/>
              <w:ind w:right="440"/>
              <w:spacing w:after="0" w:line="159" w:lineRule="exact"/>
              <w:rPr>
                <w:sz w:val="20"/>
                <w:szCs w:val="20"/>
                <w:color w:val="auto"/>
              </w:rPr>
            </w:pPr>
            <w:r>
              <w:rPr>
                <w:rFonts w:ascii="Arial" w:cs="Arial" w:eastAsia="Arial" w:hAnsi="Arial"/>
                <w:sz w:val="14"/>
                <w:szCs w:val="14"/>
                <w:b w:val="1"/>
                <w:bCs w:val="1"/>
                <w:color w:val="auto"/>
                <w:w w:val="95"/>
              </w:rPr>
              <w:t>Accumulated</w:t>
            </w: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580" w:type="dxa"/>
            <w:vAlign w:val="bottom"/>
          </w:tcPr>
          <w:p>
            <w:pPr>
              <w:spacing w:after="0"/>
              <w:rPr>
                <w:sz w:val="15"/>
                <w:szCs w:val="15"/>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5"/>
                <w:szCs w:val="15"/>
                <w:color w:val="auto"/>
              </w:rPr>
            </w:pPr>
          </w:p>
        </w:tc>
        <w:tc>
          <w:tcPr>
            <w:tcW w:w="760" w:type="dxa"/>
            <w:vAlign w:val="bottom"/>
          </w:tcPr>
          <w:p>
            <w:pPr>
              <w:jc w:val="right"/>
              <w:ind w:right="152"/>
              <w:spacing w:after="0"/>
              <w:rPr>
                <w:sz w:val="20"/>
                <w:szCs w:val="20"/>
                <w:color w:val="auto"/>
              </w:rPr>
            </w:pPr>
            <w:r>
              <w:rPr>
                <w:rFonts w:ascii="Arial" w:cs="Arial" w:eastAsia="Arial" w:hAnsi="Arial"/>
                <w:sz w:val="14"/>
                <w:szCs w:val="14"/>
                <w:b w:val="1"/>
                <w:bCs w:val="1"/>
                <w:color w:val="auto"/>
                <w:w w:val="98"/>
              </w:rPr>
              <w:t>Amount</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Capital</w:t>
            </w:r>
          </w:p>
        </w:tc>
        <w:tc>
          <w:tcPr>
            <w:tcW w:w="200" w:type="dxa"/>
            <w:vAlign w:val="bottom"/>
          </w:tcPr>
          <w:p>
            <w:pPr>
              <w:spacing w:after="0"/>
              <w:rPr>
                <w:sz w:val="15"/>
                <w:szCs w:val="15"/>
                <w:color w:val="auto"/>
              </w:rPr>
            </w:pPr>
          </w:p>
        </w:tc>
        <w:tc>
          <w:tcPr>
            <w:tcW w:w="14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4"/>
              </w:rPr>
              <w:t>Compensation</w:t>
            </w:r>
          </w:p>
        </w:tc>
        <w:tc>
          <w:tcPr>
            <w:tcW w:w="180" w:type="dxa"/>
            <w:vAlign w:val="bottom"/>
          </w:tcPr>
          <w:p>
            <w:pPr>
              <w:spacing w:after="0"/>
              <w:rPr>
                <w:sz w:val="15"/>
                <w:szCs w:val="15"/>
                <w:color w:val="auto"/>
              </w:rPr>
            </w:pPr>
          </w:p>
        </w:tc>
        <w:tc>
          <w:tcPr>
            <w:tcW w:w="15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Income</w:t>
            </w:r>
          </w:p>
        </w:tc>
        <w:tc>
          <w:tcPr>
            <w:tcW w:w="140" w:type="dxa"/>
            <w:vAlign w:val="bottom"/>
          </w:tcPr>
          <w:p>
            <w:pPr>
              <w:spacing w:after="0"/>
              <w:rPr>
                <w:sz w:val="15"/>
                <w:szCs w:val="15"/>
                <w:color w:val="auto"/>
              </w:rPr>
            </w:pPr>
          </w:p>
        </w:tc>
        <w:tc>
          <w:tcPr>
            <w:tcW w:w="130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Deficit</w:t>
            </w:r>
          </w:p>
        </w:tc>
        <w:tc>
          <w:tcPr>
            <w:tcW w:w="160" w:type="dxa"/>
            <w:vAlign w:val="bottom"/>
          </w:tcPr>
          <w:p>
            <w:pPr>
              <w:spacing w:after="0"/>
              <w:rPr>
                <w:sz w:val="15"/>
                <w:szCs w:val="15"/>
                <w:color w:val="auto"/>
              </w:rPr>
            </w:pPr>
          </w:p>
        </w:tc>
        <w:tc>
          <w:tcPr>
            <w:tcW w:w="6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258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48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(In thousands)</w:t>
            </w:r>
          </w:p>
        </w:tc>
        <w:tc>
          <w:tcPr>
            <w:tcW w:w="1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25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Balance at January 31, 2002</w:t>
            </w: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237,154</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474</w:t>
            </w:r>
          </w:p>
        </w:tc>
        <w:tc>
          <w:tcPr>
            <w:tcW w:w="34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2,646,521</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jc w:val="right"/>
              <w:ind w:right="89"/>
              <w:spacing w:after="0"/>
              <w:rPr>
                <w:sz w:val="20"/>
                <w:szCs w:val="20"/>
                <w:color w:val="auto"/>
              </w:rPr>
            </w:pPr>
            <w:r>
              <w:rPr>
                <w:rFonts w:ascii="Arial" w:cs="Arial" w:eastAsia="Arial" w:hAnsi="Arial"/>
                <w:sz w:val="10"/>
                <w:szCs w:val="10"/>
                <w:color w:val="auto"/>
                <w:w w:val="71"/>
              </w:rPr>
              <w:t>$</w:t>
            </w:r>
          </w:p>
        </w:tc>
        <w:tc>
          <w:tcPr>
            <w:tcW w:w="14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(10,099)</w:t>
            </w:r>
          </w:p>
        </w:tc>
        <w:tc>
          <w:tcPr>
            <w:tcW w:w="180" w:type="dxa"/>
            <w:vAlign w:val="bottom"/>
            <w:shd w:val="clear" w:color="auto" w:fill="CCEEFF"/>
          </w:tcPr>
          <w:p>
            <w:pPr>
              <w:jc w:val="right"/>
              <w:ind w:right="69"/>
              <w:spacing w:after="0"/>
              <w:rPr>
                <w:sz w:val="20"/>
                <w:szCs w:val="20"/>
                <w:color w:val="auto"/>
              </w:rPr>
            </w:pPr>
            <w:r>
              <w:rPr>
                <w:rFonts w:ascii="Arial" w:cs="Arial" w:eastAsia="Arial" w:hAnsi="Arial"/>
                <w:sz w:val="10"/>
                <w:szCs w:val="10"/>
                <w:color w:val="auto"/>
                <w:w w:val="71"/>
              </w:rPr>
              <w:t>$</w:t>
            </w:r>
          </w:p>
        </w:tc>
        <w:tc>
          <w:tcPr>
            <w:tcW w:w="12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946</w:t>
            </w:r>
          </w:p>
        </w:tc>
        <w:tc>
          <w:tcPr>
            <w:tcW w:w="2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jc w:val="right"/>
              <w:ind w:right="29"/>
              <w:spacing w:after="0"/>
              <w:rPr>
                <w:sz w:val="20"/>
                <w:szCs w:val="20"/>
                <w:color w:val="auto"/>
              </w:rPr>
            </w:pPr>
            <w:r>
              <w:rPr>
                <w:rFonts w:ascii="Arial" w:cs="Arial" w:eastAsia="Arial" w:hAnsi="Arial"/>
                <w:sz w:val="10"/>
                <w:szCs w:val="10"/>
                <w:color w:val="auto"/>
                <w:w w:val="71"/>
              </w:rPr>
              <w:t>$</w:t>
            </w:r>
          </w:p>
        </w:tc>
        <w:tc>
          <w:tcPr>
            <w:tcW w:w="13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(648,115)</w:t>
            </w:r>
          </w:p>
        </w:tc>
        <w:tc>
          <w:tcPr>
            <w:tcW w:w="1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w w:val="76"/>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1,989,727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Pr>
          <w:p>
            <w:pPr>
              <w:spacing w:after="0" w:line="149" w:lineRule="exact"/>
              <w:rPr>
                <w:sz w:val="20"/>
                <w:szCs w:val="20"/>
                <w:color w:val="auto"/>
              </w:rPr>
            </w:pPr>
            <w:r>
              <w:rPr>
                <w:rFonts w:ascii="Arial" w:cs="Arial" w:eastAsia="Arial" w:hAnsi="Arial"/>
                <w:sz w:val="14"/>
                <w:szCs w:val="14"/>
                <w:color w:val="auto"/>
              </w:rPr>
              <w:t>Common stock options exercised</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4,422</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9</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jc w:val="right"/>
              <w:spacing w:after="0" w:line="149" w:lineRule="exact"/>
              <w:rPr>
                <w:sz w:val="20"/>
                <w:szCs w:val="20"/>
                <w:color w:val="auto"/>
              </w:rPr>
            </w:pPr>
            <w:r>
              <w:rPr>
                <w:rFonts w:ascii="Arial" w:cs="Arial" w:eastAsia="Arial" w:hAnsi="Arial"/>
                <w:sz w:val="14"/>
                <w:szCs w:val="14"/>
                <w:color w:val="auto"/>
              </w:rPr>
              <w:t>13,906</w:t>
            </w: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5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3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13,915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Common stock repurchased</w:t>
            </w:r>
          </w:p>
        </w:tc>
        <w:tc>
          <w:tcPr>
            <w:tcW w:w="8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(10)</w:t>
            </w: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w:t>
            </w: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660" w:type="dxa"/>
            <w:vAlign w:val="bottom"/>
          </w:tcPr>
          <w:p>
            <w:pPr>
              <w:jc w:val="right"/>
              <w:spacing w:after="0" w:line="159" w:lineRule="exact"/>
              <w:rPr>
                <w:sz w:val="20"/>
                <w:szCs w:val="20"/>
                <w:color w:val="auto"/>
              </w:rPr>
            </w:pPr>
            <w:r>
              <w:rPr>
                <w:rFonts w:ascii="Arial" w:cs="Arial" w:eastAsia="Arial" w:hAnsi="Arial"/>
                <w:sz w:val="14"/>
                <w:szCs w:val="14"/>
                <w:color w:val="auto"/>
              </w:rPr>
              <w:t>911</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2</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tcPr>
          <w:p>
            <w:pPr>
              <w:jc w:val="right"/>
              <w:spacing w:after="0" w:line="159" w:lineRule="exact"/>
              <w:rPr>
                <w:sz w:val="20"/>
                <w:szCs w:val="20"/>
                <w:color w:val="auto"/>
              </w:rPr>
            </w:pPr>
            <w:r>
              <w:rPr>
                <w:rFonts w:ascii="Arial" w:cs="Arial" w:eastAsia="Arial" w:hAnsi="Arial"/>
                <w:sz w:val="14"/>
                <w:szCs w:val="14"/>
                <w:color w:val="auto"/>
              </w:rPr>
              <w:t>8,323</w:t>
            </w: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00" w:type="dxa"/>
            <w:vAlign w:val="bottom"/>
          </w:tcPr>
          <w:p>
            <w:pPr>
              <w:jc w:val="right"/>
              <w:spacing w:after="0" w:line="159" w:lineRule="exact"/>
              <w:rPr>
                <w:sz w:val="20"/>
                <w:szCs w:val="20"/>
                <w:color w:val="auto"/>
              </w:rPr>
            </w:pPr>
            <w:r>
              <w:rPr>
                <w:rFonts w:ascii="Arial" w:cs="Arial" w:eastAsia="Arial" w:hAnsi="Arial"/>
                <w:sz w:val="14"/>
                <w:szCs w:val="14"/>
                <w:color w:val="auto"/>
              </w:rPr>
              <w:t>8,325</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w w:val="98"/>
              </w:rPr>
              <w:t>Issuance of common stock and options in</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connection with acquisition</w:t>
            </w:r>
          </w:p>
        </w:tc>
        <w:tc>
          <w:tcPr>
            <w:tcW w:w="660" w:type="dxa"/>
            <w:vAlign w:val="bottom"/>
            <w:tcBorders>
              <w:right w:val="single" w:sz="8" w:color="CCEEFF"/>
            </w:tcBorders>
            <w:shd w:val="clear" w:color="auto" w:fill="CCEEFF"/>
          </w:tcPr>
          <w:p>
            <w:pPr>
              <w:jc w:val="right"/>
              <w:spacing w:after="0" w:line="159" w:lineRule="exact"/>
              <w:rPr>
                <w:sz w:val="20"/>
                <w:szCs w:val="20"/>
                <w:color w:val="auto"/>
              </w:rPr>
            </w:pPr>
            <w:r>
              <w:rPr>
                <w:rFonts w:ascii="Arial" w:cs="Arial" w:eastAsia="Arial" w:hAnsi="Arial"/>
                <w:sz w:val="14"/>
                <w:szCs w:val="14"/>
                <w:color w:val="auto"/>
              </w:rPr>
              <w:t>43</w:t>
            </w:r>
          </w:p>
        </w:tc>
        <w:tc>
          <w:tcPr>
            <w:tcW w:w="2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7,266</w:t>
            </w:r>
          </w:p>
        </w:tc>
        <w:tc>
          <w:tcPr>
            <w:tcW w:w="22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80"/>
              <w:spacing w:after="0" w:line="159" w:lineRule="exact"/>
              <w:rPr>
                <w:sz w:val="20"/>
                <w:szCs w:val="20"/>
                <w:color w:val="auto"/>
              </w:rPr>
            </w:pPr>
            <w:r>
              <w:rPr>
                <w:rFonts w:ascii="Arial" w:cs="Arial" w:eastAsia="Arial" w:hAnsi="Arial"/>
                <w:sz w:val="14"/>
                <w:szCs w:val="14"/>
                <w:color w:val="auto"/>
              </w:rPr>
              <w:t>(5,449)</w:t>
            </w: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1,817</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Reversal of deferred stock-based</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160"/>
              <w:spacing w:after="0" w:line="159" w:lineRule="exact"/>
              <w:rPr>
                <w:sz w:val="20"/>
                <w:szCs w:val="20"/>
                <w:color w:val="auto"/>
              </w:rPr>
            </w:pPr>
            <w:r>
              <w:rPr>
                <w:rFonts w:ascii="Arial" w:cs="Arial" w:eastAsia="Arial" w:hAnsi="Arial"/>
                <w:sz w:val="14"/>
                <w:szCs w:val="14"/>
                <w:color w:val="auto"/>
              </w:rPr>
              <w:t>(2,158)</w:t>
            </w:r>
          </w:p>
        </w:tc>
        <w:tc>
          <w:tcPr>
            <w:tcW w:w="200" w:type="dxa"/>
            <w:vAlign w:val="bottom"/>
          </w:tcPr>
          <w:p>
            <w:pPr>
              <w:spacing w:after="0"/>
              <w:rPr>
                <w:sz w:val="13"/>
                <w:szCs w:val="13"/>
                <w:color w:val="auto"/>
              </w:rPr>
            </w:pPr>
          </w:p>
        </w:tc>
        <w:tc>
          <w:tcPr>
            <w:tcW w:w="1260" w:type="dxa"/>
            <w:vAlign w:val="bottom"/>
          </w:tcPr>
          <w:p>
            <w:pPr>
              <w:jc w:val="right"/>
              <w:spacing w:after="0" w:line="159" w:lineRule="exact"/>
              <w:rPr>
                <w:sz w:val="20"/>
                <w:szCs w:val="20"/>
                <w:color w:val="auto"/>
              </w:rPr>
            </w:pPr>
            <w:r>
              <w:rPr>
                <w:rFonts w:ascii="Arial" w:cs="Arial" w:eastAsia="Arial" w:hAnsi="Arial"/>
                <w:sz w:val="14"/>
                <w:szCs w:val="14"/>
                <w:color w:val="auto"/>
              </w:rPr>
              <w:t>2,158</w:t>
            </w:r>
          </w:p>
        </w:tc>
        <w:tc>
          <w:tcPr>
            <w:tcW w:w="2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6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Amortization of deferred stock-based</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3"/>
                <w:szCs w:val="13"/>
                <w:color w:val="auto"/>
              </w:rPr>
            </w:pPr>
          </w:p>
        </w:tc>
        <w:tc>
          <w:tcPr>
            <w:tcW w:w="12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7,491</w:t>
            </w:r>
          </w:p>
        </w:tc>
        <w:tc>
          <w:tcPr>
            <w:tcW w:w="220" w:type="dxa"/>
            <w:vAlign w:val="bottom"/>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7,491</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Pr>
          <w:p>
            <w:pPr>
              <w:spacing w:after="0" w:line="149" w:lineRule="exact"/>
              <w:rPr>
                <w:sz w:val="20"/>
                <w:szCs w:val="20"/>
                <w:color w:val="auto"/>
              </w:rPr>
            </w:pPr>
            <w:r>
              <w:rPr>
                <w:rFonts w:ascii="Arial" w:cs="Arial" w:eastAsia="Arial" w:hAnsi="Arial"/>
                <w:sz w:val="14"/>
                <w:szCs w:val="14"/>
                <w:color w:val="auto"/>
              </w:rPr>
              <w:t>Comprehensive loss:</w:t>
            </w: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Unrealized gain on available-for-sale</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investments, net of tax</w:t>
            </w:r>
          </w:p>
        </w:tc>
        <w:tc>
          <w:tcPr>
            <w:tcW w:w="86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12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1,042</w:t>
            </w:r>
          </w:p>
        </w:tc>
        <w:tc>
          <w:tcPr>
            <w:tcW w:w="2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1,042</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580" w:type="dxa"/>
            <w:vAlign w:val="bottom"/>
          </w:tcPr>
          <w:p>
            <w:pPr>
              <w:spacing w:after="0"/>
              <w:rPr>
                <w:sz w:val="20"/>
                <w:szCs w:val="20"/>
                <w:color w:val="auto"/>
              </w:rPr>
            </w:pPr>
            <w:r>
              <w:rPr>
                <w:rFonts w:ascii="Arial" w:cs="Arial" w:eastAsia="Arial" w:hAnsi="Arial"/>
                <w:sz w:val="14"/>
                <w:szCs w:val="14"/>
                <w:color w:val="auto"/>
              </w:rPr>
              <w:t>Net loss</w:t>
            </w:r>
          </w:p>
        </w:tc>
        <w:tc>
          <w:tcPr>
            <w:tcW w:w="86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15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300" w:type="dxa"/>
            <w:vAlign w:val="bottom"/>
            <w:gridSpan w:val="2"/>
          </w:tcPr>
          <w:p>
            <w:pPr>
              <w:jc w:val="right"/>
              <w:ind w:right="160"/>
              <w:spacing w:after="0"/>
              <w:rPr>
                <w:sz w:val="20"/>
                <w:szCs w:val="20"/>
                <w:color w:val="auto"/>
              </w:rPr>
            </w:pPr>
            <w:r>
              <w:rPr>
                <w:rFonts w:ascii="Arial" w:cs="Arial" w:eastAsia="Arial" w:hAnsi="Arial"/>
                <w:sz w:val="14"/>
                <w:szCs w:val="14"/>
                <w:color w:val="auto"/>
              </w:rPr>
              <w:t>(72,174)</w:t>
            </w:r>
          </w:p>
        </w:tc>
        <w:tc>
          <w:tcPr>
            <w:tcW w:w="160" w:type="dxa"/>
            <w:vAlign w:val="bottom"/>
          </w:tcPr>
          <w:p>
            <w:pPr>
              <w:spacing w:after="0"/>
              <w:rPr>
                <w:sz w:val="14"/>
                <w:szCs w:val="14"/>
                <w:color w:val="auto"/>
              </w:rPr>
            </w:pPr>
          </w:p>
        </w:tc>
        <w:tc>
          <w:tcPr>
            <w:tcW w:w="660" w:type="dxa"/>
            <w:vAlign w:val="bottom"/>
            <w:gridSpan w:val="2"/>
          </w:tcPr>
          <w:p>
            <w:pPr>
              <w:jc w:val="right"/>
              <w:spacing w:after="0"/>
              <w:rPr>
                <w:sz w:val="20"/>
                <w:szCs w:val="20"/>
                <w:color w:val="auto"/>
              </w:rPr>
            </w:pPr>
            <w:r>
              <w:rPr>
                <w:rFonts w:ascii="Arial" w:cs="Arial" w:eastAsia="Arial" w:hAnsi="Arial"/>
                <w:sz w:val="14"/>
                <w:szCs w:val="14"/>
                <w:color w:val="auto"/>
              </w:rPr>
              <w:t>(72,174)</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Total comprehensive loss</w:t>
            </w:r>
          </w:p>
        </w:tc>
        <w:tc>
          <w:tcPr>
            <w:tcW w:w="66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(71,132)</w:t>
            </w:r>
          </w:p>
        </w:tc>
        <w:tc>
          <w:tcPr>
            <w:tcW w:w="0" w:type="dxa"/>
            <w:vAlign w:val="bottom"/>
          </w:tcPr>
          <w:p>
            <w:pPr>
              <w:spacing w:after="0"/>
              <w:rPr>
                <w:sz w:val="1"/>
                <w:szCs w:val="1"/>
                <w:color w:val="auto"/>
              </w:rPr>
            </w:pPr>
          </w:p>
        </w:tc>
      </w:tr>
      <w:tr>
        <w:trPr>
          <w:trHeight w:val="118"/>
        </w:trPr>
        <w:tc>
          <w:tcPr>
            <w:tcW w:w="26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Balance at January 31, 2003</w:t>
            </w:r>
          </w:p>
        </w:tc>
        <w:tc>
          <w:tcPr>
            <w:tcW w:w="6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3"/>
        </w:trPr>
        <w:tc>
          <w:tcPr>
            <w:tcW w:w="2600" w:type="dxa"/>
            <w:vAlign w:val="bottom"/>
            <w:gridSpan w:val="2"/>
            <w:vMerge w:val="continue"/>
          </w:tcPr>
          <w:p>
            <w:pPr>
              <w:spacing w:after="0"/>
              <w:rPr>
                <w:sz w:val="22"/>
                <w:szCs w:val="22"/>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242,520</w:t>
            </w:r>
          </w:p>
        </w:tc>
        <w:tc>
          <w:tcPr>
            <w:tcW w:w="2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485</w:t>
            </w:r>
          </w:p>
        </w:tc>
        <w:tc>
          <w:tcPr>
            <w:tcW w:w="2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80" w:type="dxa"/>
            <w:vAlign w:val="bottom"/>
          </w:tcPr>
          <w:p>
            <w:pPr>
              <w:jc w:val="right"/>
              <w:spacing w:after="0"/>
              <w:rPr>
                <w:sz w:val="20"/>
                <w:szCs w:val="20"/>
                <w:color w:val="auto"/>
              </w:rPr>
            </w:pPr>
            <w:r>
              <w:rPr>
                <w:rFonts w:ascii="Arial" w:cs="Arial" w:eastAsia="Arial" w:hAnsi="Arial"/>
                <w:sz w:val="14"/>
                <w:szCs w:val="14"/>
                <w:color w:val="auto"/>
              </w:rPr>
              <w:t>2,673,853</w:t>
            </w:r>
          </w:p>
        </w:tc>
        <w:tc>
          <w:tcPr>
            <w:tcW w:w="2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80" w:type="dxa"/>
            <w:vAlign w:val="bottom"/>
            <w:gridSpan w:val="2"/>
          </w:tcPr>
          <w:p>
            <w:pPr>
              <w:jc w:val="right"/>
              <w:ind w:right="180"/>
              <w:spacing w:after="0"/>
              <w:rPr>
                <w:sz w:val="20"/>
                <w:szCs w:val="20"/>
                <w:color w:val="auto"/>
              </w:rPr>
            </w:pPr>
            <w:r>
              <w:rPr>
                <w:rFonts w:ascii="Arial" w:cs="Arial" w:eastAsia="Arial" w:hAnsi="Arial"/>
                <w:sz w:val="14"/>
                <w:szCs w:val="14"/>
                <w:color w:val="auto"/>
              </w:rPr>
              <w:t>(5,899)</w:t>
            </w:r>
          </w:p>
        </w:tc>
        <w:tc>
          <w:tcPr>
            <w:tcW w:w="180" w:type="dxa"/>
            <w:vAlign w:val="bottom"/>
          </w:tcPr>
          <w:p>
            <w:pPr>
              <w:spacing w:after="0"/>
              <w:rPr>
                <w:sz w:val="22"/>
                <w:szCs w:val="22"/>
                <w:color w:val="auto"/>
              </w:rPr>
            </w:pPr>
          </w:p>
        </w:tc>
        <w:tc>
          <w:tcPr>
            <w:tcW w:w="1280" w:type="dxa"/>
            <w:vAlign w:val="bottom"/>
          </w:tcPr>
          <w:p>
            <w:pPr>
              <w:jc w:val="right"/>
              <w:spacing w:after="0"/>
              <w:rPr>
                <w:sz w:val="20"/>
                <w:szCs w:val="20"/>
                <w:color w:val="auto"/>
              </w:rPr>
            </w:pPr>
            <w:r>
              <w:rPr>
                <w:rFonts w:ascii="Arial" w:cs="Arial" w:eastAsia="Arial" w:hAnsi="Arial"/>
                <w:sz w:val="14"/>
                <w:szCs w:val="14"/>
                <w:color w:val="auto"/>
              </w:rPr>
              <w:t>1,988</w:t>
            </w:r>
          </w:p>
        </w:tc>
        <w:tc>
          <w:tcPr>
            <w:tcW w:w="2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300" w:type="dxa"/>
            <w:vAlign w:val="bottom"/>
            <w:gridSpan w:val="2"/>
          </w:tcPr>
          <w:p>
            <w:pPr>
              <w:jc w:val="right"/>
              <w:ind w:right="160"/>
              <w:spacing w:after="0"/>
              <w:rPr>
                <w:sz w:val="20"/>
                <w:szCs w:val="20"/>
                <w:color w:val="auto"/>
              </w:rPr>
            </w:pPr>
            <w:r>
              <w:rPr>
                <w:rFonts w:ascii="Arial" w:cs="Arial" w:eastAsia="Arial" w:hAnsi="Arial"/>
                <w:sz w:val="14"/>
                <w:szCs w:val="14"/>
                <w:color w:val="auto"/>
              </w:rPr>
              <w:t>(720,289)</w:t>
            </w:r>
          </w:p>
        </w:tc>
        <w:tc>
          <w:tcPr>
            <w:tcW w:w="160" w:type="dxa"/>
            <w:vAlign w:val="bottom"/>
          </w:tcPr>
          <w:p>
            <w:pPr>
              <w:spacing w:after="0"/>
              <w:rPr>
                <w:sz w:val="22"/>
                <w:szCs w:val="22"/>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w w:val="93"/>
              </w:rPr>
              <w:t>1,950,138</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Common stock options exercised</w:t>
            </w: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13,714</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75,793</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75,821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Pr>
          <w:p>
            <w:pPr>
              <w:spacing w:after="0" w:line="149" w:lineRule="exact"/>
              <w:rPr>
                <w:sz w:val="20"/>
                <w:szCs w:val="20"/>
                <w:color w:val="auto"/>
              </w:rPr>
            </w:pPr>
            <w:r>
              <w:rPr>
                <w:rFonts w:ascii="Arial" w:cs="Arial" w:eastAsia="Arial" w:hAnsi="Arial"/>
                <w:sz w:val="14"/>
                <w:szCs w:val="14"/>
                <w:color w:val="auto"/>
              </w:rPr>
              <w:t>Common stock repurchased</w:t>
            </w:r>
          </w:p>
        </w:tc>
        <w:tc>
          <w:tcPr>
            <w:tcW w:w="8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w:t>
            </w:r>
          </w:p>
        </w:tc>
        <w:tc>
          <w:tcPr>
            <w:tcW w:w="14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w:t>
            </w:r>
          </w:p>
        </w:tc>
        <w:tc>
          <w:tcPr>
            <w:tcW w:w="200" w:type="dxa"/>
            <w:vAlign w:val="bottom"/>
          </w:tcPr>
          <w:p>
            <w:pPr>
              <w:spacing w:after="0"/>
              <w:rPr>
                <w:sz w:val="12"/>
                <w:szCs w:val="12"/>
                <w:color w:val="auto"/>
              </w:rPr>
            </w:pPr>
          </w:p>
        </w:tc>
        <w:tc>
          <w:tcPr>
            <w:tcW w:w="14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5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3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660" w:type="dxa"/>
            <w:vAlign w:val="bottom"/>
            <w:tcBorders>
              <w:right w:val="single" w:sz="8" w:color="CCEEFF"/>
            </w:tcBorders>
            <w:shd w:val="clear" w:color="auto" w:fill="CCEEFF"/>
          </w:tcPr>
          <w:p>
            <w:pPr>
              <w:jc w:val="right"/>
              <w:spacing w:after="0" w:line="159" w:lineRule="exact"/>
              <w:rPr>
                <w:sz w:val="20"/>
                <w:szCs w:val="20"/>
                <w:color w:val="auto"/>
              </w:rPr>
            </w:pPr>
            <w:r>
              <w:rPr>
                <w:rFonts w:ascii="Arial" w:cs="Arial" w:eastAsia="Arial" w:hAnsi="Arial"/>
                <w:sz w:val="14"/>
                <w:szCs w:val="14"/>
                <w:color w:val="auto"/>
              </w:rPr>
              <w:t>1,073</w:t>
            </w:r>
          </w:p>
        </w:tc>
        <w:tc>
          <w:tcPr>
            <w:tcW w:w="2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2</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10,717</w:t>
            </w:r>
          </w:p>
        </w:tc>
        <w:tc>
          <w:tcPr>
            <w:tcW w:w="22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10,719</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w w:val="98"/>
              </w:rPr>
              <w:t>Issuance of common stock and options in</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connection with acquisitions</w:t>
            </w:r>
          </w:p>
        </w:tc>
        <w:tc>
          <w:tcPr>
            <w:tcW w:w="660" w:type="dxa"/>
            <w:vAlign w:val="bottom"/>
          </w:tcPr>
          <w:p>
            <w:pPr>
              <w:jc w:val="right"/>
              <w:spacing w:after="0" w:line="159" w:lineRule="exact"/>
              <w:rPr>
                <w:sz w:val="20"/>
                <w:szCs w:val="20"/>
                <w:color w:val="auto"/>
              </w:rPr>
            </w:pPr>
            <w:r>
              <w:rPr>
                <w:rFonts w:ascii="Arial" w:cs="Arial" w:eastAsia="Arial" w:hAnsi="Arial"/>
                <w:sz w:val="14"/>
                <w:szCs w:val="14"/>
                <w:color w:val="auto"/>
              </w:rPr>
              <w:t>6,189</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12</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tcPr>
          <w:p>
            <w:pPr>
              <w:jc w:val="right"/>
              <w:spacing w:after="0" w:line="159" w:lineRule="exact"/>
              <w:rPr>
                <w:sz w:val="20"/>
                <w:szCs w:val="20"/>
                <w:color w:val="auto"/>
              </w:rPr>
            </w:pPr>
            <w:r>
              <w:rPr>
                <w:rFonts w:ascii="Arial" w:cs="Arial" w:eastAsia="Arial" w:hAnsi="Arial"/>
                <w:sz w:val="14"/>
                <w:szCs w:val="14"/>
                <w:color w:val="auto"/>
              </w:rPr>
              <w:t>103,709</w:t>
            </w: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00" w:type="dxa"/>
            <w:vAlign w:val="bottom"/>
          </w:tcPr>
          <w:p>
            <w:pPr>
              <w:jc w:val="right"/>
              <w:spacing w:after="0" w:line="159" w:lineRule="exact"/>
              <w:rPr>
                <w:sz w:val="20"/>
                <w:szCs w:val="20"/>
                <w:color w:val="auto"/>
              </w:rPr>
            </w:pPr>
            <w:r>
              <w:rPr>
                <w:rFonts w:ascii="Arial" w:cs="Arial" w:eastAsia="Arial" w:hAnsi="Arial"/>
                <w:sz w:val="14"/>
                <w:szCs w:val="14"/>
                <w:color w:val="auto"/>
              </w:rPr>
              <w:t>103,721</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Deferred stock-based compensation</w:t>
            </w: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7,626</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(7,626)</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Reversal of deferred stock-based</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160"/>
              <w:spacing w:after="0" w:line="159" w:lineRule="exact"/>
              <w:rPr>
                <w:sz w:val="20"/>
                <w:szCs w:val="20"/>
                <w:color w:val="auto"/>
              </w:rPr>
            </w:pPr>
            <w:r>
              <w:rPr>
                <w:rFonts w:ascii="Arial" w:cs="Arial" w:eastAsia="Arial" w:hAnsi="Arial"/>
                <w:sz w:val="14"/>
                <w:szCs w:val="14"/>
                <w:color w:val="auto"/>
              </w:rPr>
              <w:t>(637)</w:t>
            </w:r>
          </w:p>
        </w:tc>
        <w:tc>
          <w:tcPr>
            <w:tcW w:w="200" w:type="dxa"/>
            <w:vAlign w:val="bottom"/>
          </w:tcPr>
          <w:p>
            <w:pPr>
              <w:spacing w:after="0"/>
              <w:rPr>
                <w:sz w:val="13"/>
                <w:szCs w:val="13"/>
                <w:color w:val="auto"/>
              </w:rPr>
            </w:pPr>
          </w:p>
        </w:tc>
        <w:tc>
          <w:tcPr>
            <w:tcW w:w="1260" w:type="dxa"/>
            <w:vAlign w:val="bottom"/>
          </w:tcPr>
          <w:p>
            <w:pPr>
              <w:jc w:val="right"/>
              <w:spacing w:after="0" w:line="159" w:lineRule="exact"/>
              <w:rPr>
                <w:sz w:val="20"/>
                <w:szCs w:val="20"/>
                <w:color w:val="auto"/>
              </w:rPr>
            </w:pPr>
            <w:r>
              <w:rPr>
                <w:rFonts w:ascii="Arial" w:cs="Arial" w:eastAsia="Arial" w:hAnsi="Arial"/>
                <w:sz w:val="14"/>
                <w:szCs w:val="14"/>
                <w:color w:val="auto"/>
              </w:rPr>
              <w:t>637</w:t>
            </w:r>
          </w:p>
        </w:tc>
        <w:tc>
          <w:tcPr>
            <w:tcW w:w="2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6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Amortization of deferred stock-based</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3"/>
                <w:szCs w:val="13"/>
                <w:color w:val="auto"/>
              </w:rPr>
            </w:pPr>
          </w:p>
        </w:tc>
        <w:tc>
          <w:tcPr>
            <w:tcW w:w="12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4,943</w:t>
            </w:r>
          </w:p>
        </w:tc>
        <w:tc>
          <w:tcPr>
            <w:tcW w:w="220" w:type="dxa"/>
            <w:vAlign w:val="bottom"/>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4,943</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Tax benefit from employee stock</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transactions</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tcPr>
          <w:p>
            <w:pPr>
              <w:jc w:val="right"/>
              <w:spacing w:after="0" w:line="159" w:lineRule="exact"/>
              <w:rPr>
                <w:sz w:val="20"/>
                <w:szCs w:val="20"/>
                <w:color w:val="auto"/>
              </w:rPr>
            </w:pPr>
            <w:r>
              <w:rPr>
                <w:rFonts w:ascii="Arial" w:cs="Arial" w:eastAsia="Arial" w:hAnsi="Arial"/>
                <w:sz w:val="14"/>
                <w:szCs w:val="14"/>
                <w:color w:val="auto"/>
              </w:rPr>
              <w:t>1,224</w:t>
            </w: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00" w:type="dxa"/>
            <w:vAlign w:val="bottom"/>
          </w:tcPr>
          <w:p>
            <w:pPr>
              <w:jc w:val="right"/>
              <w:spacing w:after="0" w:line="159" w:lineRule="exact"/>
              <w:rPr>
                <w:sz w:val="20"/>
                <w:szCs w:val="20"/>
                <w:color w:val="auto"/>
              </w:rPr>
            </w:pPr>
            <w:r>
              <w:rPr>
                <w:rFonts w:ascii="Arial" w:cs="Arial" w:eastAsia="Arial" w:hAnsi="Arial"/>
                <w:sz w:val="14"/>
                <w:szCs w:val="14"/>
                <w:color w:val="auto"/>
              </w:rPr>
              <w:t>1,224</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w:t>
            </w:r>
          </w:p>
        </w:tc>
        <w:tc>
          <w:tcPr>
            <w:tcW w:w="66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Unrealized loss on available-for-sale</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investments, net of tax</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180"/>
              <w:spacing w:after="0" w:line="159" w:lineRule="exact"/>
              <w:rPr>
                <w:sz w:val="20"/>
                <w:szCs w:val="20"/>
                <w:color w:val="auto"/>
              </w:rPr>
            </w:pPr>
            <w:r>
              <w:rPr>
                <w:rFonts w:ascii="Arial" w:cs="Arial" w:eastAsia="Arial" w:hAnsi="Arial"/>
                <w:sz w:val="14"/>
                <w:szCs w:val="14"/>
                <w:color w:val="auto"/>
              </w:rPr>
              <w:t>(1,231)</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6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(1,231)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Net income</w:t>
            </w: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45,510</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45,510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2600" w:type="dxa"/>
            <w:vAlign w:val="bottom"/>
            <w:gridSpan w:val="2"/>
          </w:tcPr>
          <w:p>
            <w:pPr>
              <w:spacing w:after="0"/>
              <w:rPr>
                <w:sz w:val="10"/>
                <w:szCs w:val="10"/>
                <w:color w:val="auto"/>
              </w:rPr>
            </w:pPr>
          </w:p>
        </w:tc>
        <w:tc>
          <w:tcPr>
            <w:tcW w:w="6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600" w:type="dxa"/>
            <w:vAlign w:val="bottom"/>
            <w:gridSpan w:val="2"/>
          </w:tcPr>
          <w:p>
            <w:pPr>
              <w:spacing w:after="0"/>
              <w:rPr>
                <w:sz w:val="20"/>
                <w:szCs w:val="20"/>
                <w:color w:val="auto"/>
              </w:rPr>
            </w:pPr>
            <w:r>
              <w:rPr>
                <w:rFonts w:ascii="Arial" w:cs="Arial" w:eastAsia="Arial" w:hAnsi="Arial"/>
                <w:sz w:val="14"/>
                <w:szCs w:val="14"/>
                <w:color w:val="auto"/>
              </w:rPr>
              <w:t>Total comprehensive income</w:t>
            </w:r>
          </w:p>
        </w:tc>
        <w:tc>
          <w:tcPr>
            <w:tcW w:w="6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44,279</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Balance at January 31, 2004</w:t>
            </w: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263,492</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527</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2,872,281</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(7,945)</w:t>
            </w:r>
          </w:p>
        </w:tc>
        <w:tc>
          <w:tcPr>
            <w:tcW w:w="180" w:type="dxa"/>
            <w:vAlign w:val="bottom"/>
            <w:shd w:val="clear" w:color="auto" w:fill="CCEEFF"/>
          </w:tcPr>
          <w:p>
            <w:pPr>
              <w:spacing w:after="0"/>
              <w:rPr>
                <w:sz w:val="12"/>
                <w:szCs w:val="12"/>
                <w:color w:val="auto"/>
              </w:rPr>
            </w:pPr>
          </w:p>
        </w:tc>
        <w:tc>
          <w:tcPr>
            <w:tcW w:w="12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757</w:t>
            </w:r>
          </w:p>
        </w:tc>
        <w:tc>
          <w:tcPr>
            <w:tcW w:w="2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(674,779)</w:t>
            </w: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2,190,841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Pr>
          <w:p>
            <w:pPr>
              <w:spacing w:after="0" w:line="149" w:lineRule="exact"/>
              <w:rPr>
                <w:sz w:val="20"/>
                <w:szCs w:val="20"/>
                <w:color w:val="auto"/>
              </w:rPr>
            </w:pPr>
            <w:r>
              <w:rPr>
                <w:rFonts w:ascii="Arial" w:cs="Arial" w:eastAsia="Arial" w:hAnsi="Arial"/>
                <w:sz w:val="14"/>
                <w:szCs w:val="14"/>
                <w:color w:val="auto"/>
              </w:rPr>
              <w:t>Common stock options exercised</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12,079</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24</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jc w:val="right"/>
              <w:spacing w:after="0" w:line="149" w:lineRule="exact"/>
              <w:rPr>
                <w:sz w:val="20"/>
                <w:szCs w:val="20"/>
                <w:color w:val="auto"/>
              </w:rPr>
            </w:pPr>
            <w:r>
              <w:rPr>
                <w:rFonts w:ascii="Arial" w:cs="Arial" w:eastAsia="Arial" w:hAnsi="Arial"/>
                <w:sz w:val="14"/>
                <w:szCs w:val="14"/>
                <w:color w:val="auto"/>
              </w:rPr>
              <w:t>116,211</w:t>
            </w: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5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3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116,235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660" w:type="dxa"/>
            <w:vAlign w:val="bottom"/>
            <w:tcBorders>
              <w:right w:val="single" w:sz="8" w:color="CCEEFF"/>
            </w:tcBorders>
            <w:shd w:val="clear" w:color="auto" w:fill="CCEEFF"/>
          </w:tcPr>
          <w:p>
            <w:pPr>
              <w:jc w:val="right"/>
              <w:spacing w:after="0" w:line="159" w:lineRule="exact"/>
              <w:rPr>
                <w:sz w:val="20"/>
                <w:szCs w:val="20"/>
                <w:color w:val="auto"/>
              </w:rPr>
            </w:pPr>
            <w:r>
              <w:rPr>
                <w:rFonts w:ascii="Arial" w:cs="Arial" w:eastAsia="Arial" w:hAnsi="Arial"/>
                <w:sz w:val="14"/>
                <w:szCs w:val="14"/>
                <w:color w:val="auto"/>
              </w:rPr>
              <w:t>1,371</w:t>
            </w:r>
          </w:p>
        </w:tc>
        <w:tc>
          <w:tcPr>
            <w:tcW w:w="2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15,441</w:t>
            </w:r>
          </w:p>
        </w:tc>
        <w:tc>
          <w:tcPr>
            <w:tcW w:w="22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15,444</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w w:val="98"/>
              </w:rPr>
              <w:t>Issuance of common stock and options in</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connection with acquisitions</w:t>
            </w:r>
          </w:p>
        </w:tc>
        <w:tc>
          <w:tcPr>
            <w:tcW w:w="660" w:type="dxa"/>
            <w:vAlign w:val="bottom"/>
          </w:tcPr>
          <w:p>
            <w:pPr>
              <w:jc w:val="right"/>
              <w:spacing w:after="0" w:line="159" w:lineRule="exact"/>
              <w:rPr>
                <w:sz w:val="20"/>
                <w:szCs w:val="20"/>
                <w:color w:val="auto"/>
              </w:rPr>
            </w:pPr>
            <w:r>
              <w:rPr>
                <w:rFonts w:ascii="Arial" w:cs="Arial" w:eastAsia="Arial" w:hAnsi="Arial"/>
                <w:sz w:val="14"/>
                <w:szCs w:val="14"/>
                <w:color w:val="auto"/>
              </w:rPr>
              <w:t>660</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1</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tcPr>
          <w:p>
            <w:pPr>
              <w:jc w:val="right"/>
              <w:spacing w:after="0" w:line="159" w:lineRule="exact"/>
              <w:rPr>
                <w:sz w:val="20"/>
                <w:szCs w:val="20"/>
                <w:color w:val="auto"/>
              </w:rPr>
            </w:pPr>
            <w:r>
              <w:rPr>
                <w:rFonts w:ascii="Arial" w:cs="Arial" w:eastAsia="Arial" w:hAnsi="Arial"/>
                <w:sz w:val="14"/>
                <w:szCs w:val="14"/>
                <w:color w:val="auto"/>
              </w:rPr>
              <w:t>25,471</w:t>
            </w: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00" w:type="dxa"/>
            <w:vAlign w:val="bottom"/>
          </w:tcPr>
          <w:p>
            <w:pPr>
              <w:jc w:val="right"/>
              <w:spacing w:after="0" w:line="159" w:lineRule="exact"/>
              <w:rPr>
                <w:sz w:val="20"/>
                <w:szCs w:val="20"/>
                <w:color w:val="auto"/>
              </w:rPr>
            </w:pPr>
            <w:r>
              <w:rPr>
                <w:rFonts w:ascii="Arial" w:cs="Arial" w:eastAsia="Arial" w:hAnsi="Arial"/>
                <w:sz w:val="14"/>
                <w:szCs w:val="14"/>
                <w:color w:val="auto"/>
              </w:rPr>
              <w:t>25,472</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Accelerated vesting on options</w:t>
            </w: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1,014</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1,014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Reversal of deferred stock-based</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160"/>
              <w:spacing w:after="0" w:line="159" w:lineRule="exact"/>
              <w:rPr>
                <w:sz w:val="20"/>
                <w:szCs w:val="20"/>
                <w:color w:val="auto"/>
              </w:rPr>
            </w:pPr>
            <w:r>
              <w:rPr>
                <w:rFonts w:ascii="Arial" w:cs="Arial" w:eastAsia="Arial" w:hAnsi="Arial"/>
                <w:sz w:val="14"/>
                <w:szCs w:val="14"/>
                <w:color w:val="auto"/>
              </w:rPr>
              <w:t>(568)</w:t>
            </w:r>
          </w:p>
        </w:tc>
        <w:tc>
          <w:tcPr>
            <w:tcW w:w="200" w:type="dxa"/>
            <w:vAlign w:val="bottom"/>
          </w:tcPr>
          <w:p>
            <w:pPr>
              <w:spacing w:after="0"/>
              <w:rPr>
                <w:sz w:val="13"/>
                <w:szCs w:val="13"/>
                <w:color w:val="auto"/>
              </w:rPr>
            </w:pPr>
          </w:p>
        </w:tc>
        <w:tc>
          <w:tcPr>
            <w:tcW w:w="1260" w:type="dxa"/>
            <w:vAlign w:val="bottom"/>
          </w:tcPr>
          <w:p>
            <w:pPr>
              <w:jc w:val="right"/>
              <w:spacing w:after="0" w:line="159" w:lineRule="exact"/>
              <w:rPr>
                <w:sz w:val="20"/>
                <w:szCs w:val="20"/>
                <w:color w:val="auto"/>
              </w:rPr>
            </w:pPr>
            <w:r>
              <w:rPr>
                <w:rFonts w:ascii="Arial" w:cs="Arial" w:eastAsia="Arial" w:hAnsi="Arial"/>
                <w:sz w:val="14"/>
                <w:szCs w:val="14"/>
                <w:color w:val="auto"/>
              </w:rPr>
              <w:t>568</w:t>
            </w:r>
          </w:p>
        </w:tc>
        <w:tc>
          <w:tcPr>
            <w:tcW w:w="2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6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Borders>
              <w:right w:val="single" w:sz="8" w:color="CCEEFF"/>
            </w:tcBorders>
            <w:shd w:val="clear" w:color="auto" w:fill="CCEEFF"/>
          </w:tcPr>
          <w:p>
            <w:pPr>
              <w:spacing w:after="0" w:line="138" w:lineRule="exact"/>
              <w:rPr>
                <w:sz w:val="20"/>
                <w:szCs w:val="20"/>
                <w:color w:val="auto"/>
              </w:rPr>
            </w:pPr>
            <w:r>
              <w:rPr>
                <w:rFonts w:ascii="Arial" w:cs="Arial" w:eastAsia="Arial" w:hAnsi="Arial"/>
                <w:sz w:val="14"/>
                <w:szCs w:val="14"/>
                <w:color w:val="auto"/>
              </w:rPr>
              <w:t>Amortization of deferred stock-based</w:t>
            </w:r>
          </w:p>
        </w:tc>
        <w:tc>
          <w:tcPr>
            <w:tcW w:w="66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2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580" w:type="dxa"/>
            <w:vAlign w:val="bottom"/>
            <w:tcBorders>
              <w:right w:val="single" w:sz="8" w:color="CCEEFF"/>
            </w:tcBorders>
            <w:shd w:val="clear" w:color="auto" w:fill="CCEEFF"/>
          </w:tcPr>
          <w:p>
            <w:pPr>
              <w:spacing w:after="0" w:line="159" w:lineRule="exact"/>
              <w:rPr>
                <w:sz w:val="20"/>
                <w:szCs w:val="20"/>
                <w:color w:val="auto"/>
              </w:rPr>
            </w:pPr>
            <w:r>
              <w:rPr>
                <w:rFonts w:ascii="Arial" w:cs="Arial" w:eastAsia="Arial" w:hAnsi="Arial"/>
                <w:sz w:val="14"/>
                <w:szCs w:val="14"/>
                <w:color w:val="auto"/>
              </w:rPr>
              <w:t>compensation</w:t>
            </w:r>
          </w:p>
        </w:tc>
        <w:tc>
          <w:tcPr>
            <w:tcW w:w="86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7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3"/>
                <w:szCs w:val="13"/>
                <w:color w:val="auto"/>
              </w:rPr>
            </w:pPr>
          </w:p>
        </w:tc>
        <w:tc>
          <w:tcPr>
            <w:tcW w:w="12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3,977</w:t>
            </w:r>
          </w:p>
        </w:tc>
        <w:tc>
          <w:tcPr>
            <w:tcW w:w="220" w:type="dxa"/>
            <w:vAlign w:val="bottom"/>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c>
          <w:tcPr>
            <w:tcW w:w="1500" w:type="dxa"/>
            <w:vAlign w:val="bottom"/>
            <w:tcBorders>
              <w:right w:val="single" w:sz="8" w:color="CCEEFF"/>
            </w:tcBorders>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3"/>
                <w:szCs w:val="13"/>
                <w:color w:val="auto"/>
              </w:rPr>
            </w:pPr>
          </w:p>
        </w:tc>
        <w:tc>
          <w:tcPr>
            <w:tcW w:w="6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3,977</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Tax benefit from employee stock</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transactions</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tcPr>
          <w:p>
            <w:pPr>
              <w:jc w:val="right"/>
              <w:spacing w:after="0" w:line="159" w:lineRule="exact"/>
              <w:rPr>
                <w:sz w:val="20"/>
                <w:szCs w:val="20"/>
                <w:color w:val="auto"/>
              </w:rPr>
            </w:pPr>
            <w:r>
              <w:rPr>
                <w:rFonts w:ascii="Arial" w:cs="Arial" w:eastAsia="Arial" w:hAnsi="Arial"/>
                <w:sz w:val="14"/>
                <w:szCs w:val="14"/>
                <w:color w:val="auto"/>
              </w:rPr>
              <w:t>5,350</w:t>
            </w: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00" w:type="dxa"/>
            <w:vAlign w:val="bottom"/>
          </w:tcPr>
          <w:p>
            <w:pPr>
              <w:jc w:val="right"/>
              <w:spacing w:after="0" w:line="159" w:lineRule="exact"/>
              <w:rPr>
                <w:sz w:val="20"/>
                <w:szCs w:val="20"/>
                <w:color w:val="auto"/>
              </w:rPr>
            </w:pPr>
            <w:r>
              <w:rPr>
                <w:rFonts w:ascii="Arial" w:cs="Arial" w:eastAsia="Arial" w:hAnsi="Arial"/>
                <w:sz w:val="14"/>
                <w:szCs w:val="14"/>
                <w:color w:val="auto"/>
              </w:rPr>
              <w:t>5,350</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w:t>
            </w:r>
          </w:p>
        </w:tc>
        <w:tc>
          <w:tcPr>
            <w:tcW w:w="66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2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580" w:type="dxa"/>
            <w:vAlign w:val="bottom"/>
          </w:tcPr>
          <w:p>
            <w:pPr>
              <w:spacing w:after="0" w:line="138" w:lineRule="exact"/>
              <w:rPr>
                <w:sz w:val="20"/>
                <w:szCs w:val="20"/>
                <w:color w:val="auto"/>
              </w:rPr>
            </w:pPr>
            <w:r>
              <w:rPr>
                <w:rFonts w:ascii="Arial" w:cs="Arial" w:eastAsia="Arial" w:hAnsi="Arial"/>
                <w:sz w:val="14"/>
                <w:szCs w:val="14"/>
                <w:color w:val="auto"/>
              </w:rPr>
              <w:t>Unrealized loss on available-for-sale</w:t>
            </w: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00" w:type="dxa"/>
            <w:vAlign w:val="bottom"/>
            <w:gridSpan w:val="2"/>
          </w:tcPr>
          <w:p>
            <w:pPr>
              <w:spacing w:after="0" w:line="159" w:lineRule="exact"/>
              <w:rPr>
                <w:sz w:val="20"/>
                <w:szCs w:val="20"/>
                <w:color w:val="auto"/>
              </w:rPr>
            </w:pPr>
            <w:r>
              <w:rPr>
                <w:rFonts w:ascii="Arial" w:cs="Arial" w:eastAsia="Arial" w:hAnsi="Arial"/>
                <w:sz w:val="14"/>
                <w:szCs w:val="14"/>
                <w:color w:val="auto"/>
              </w:rPr>
              <w:t>investments, net of tax</w:t>
            </w:r>
          </w:p>
        </w:tc>
        <w:tc>
          <w:tcPr>
            <w:tcW w:w="86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1500" w:type="dxa"/>
            <w:vAlign w:val="bottom"/>
            <w:gridSpan w:val="2"/>
          </w:tcPr>
          <w:p>
            <w:pPr>
              <w:jc w:val="right"/>
              <w:ind w:right="180"/>
              <w:spacing w:after="0" w:line="159" w:lineRule="exact"/>
              <w:rPr>
                <w:sz w:val="20"/>
                <w:szCs w:val="20"/>
                <w:color w:val="auto"/>
              </w:rPr>
            </w:pPr>
            <w:r>
              <w:rPr>
                <w:rFonts w:ascii="Arial" w:cs="Arial" w:eastAsia="Arial" w:hAnsi="Arial"/>
                <w:sz w:val="14"/>
                <w:szCs w:val="14"/>
                <w:color w:val="auto"/>
              </w:rPr>
              <w:t>(2,564)</w:t>
            </w:r>
          </w:p>
        </w:tc>
        <w:tc>
          <w:tcPr>
            <w:tcW w:w="140" w:type="dxa"/>
            <w:vAlign w:val="bottom"/>
          </w:tcPr>
          <w:p>
            <w:pPr>
              <w:spacing w:after="0"/>
              <w:rPr>
                <w:sz w:val="13"/>
                <w:szCs w:val="13"/>
                <w:color w:val="auto"/>
              </w:rPr>
            </w:pPr>
          </w:p>
        </w:tc>
        <w:tc>
          <w:tcPr>
            <w:tcW w:w="1300" w:type="dxa"/>
            <w:vAlign w:val="bottom"/>
            <w:gridSpan w:val="2"/>
          </w:tcPr>
          <w:p>
            <w:pPr>
              <w:jc w:val="right"/>
              <w:ind w:right="200"/>
              <w:spacing w:after="0" w:line="15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660" w:type="dxa"/>
            <w:vAlign w:val="bottom"/>
            <w:gridSpan w:val="2"/>
          </w:tcPr>
          <w:p>
            <w:pPr>
              <w:jc w:val="right"/>
              <w:spacing w:after="0" w:line="159" w:lineRule="exact"/>
              <w:rPr>
                <w:sz w:val="20"/>
                <w:szCs w:val="20"/>
                <w:color w:val="auto"/>
              </w:rPr>
            </w:pPr>
            <w:r>
              <w:rPr>
                <w:rFonts w:ascii="Arial" w:cs="Arial" w:eastAsia="Arial" w:hAnsi="Arial"/>
                <w:sz w:val="14"/>
                <w:szCs w:val="14"/>
                <w:color w:val="auto"/>
              </w:rPr>
              <w:t>(2,564)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Net income</w:t>
            </w:r>
          </w:p>
        </w:tc>
        <w:tc>
          <w:tcPr>
            <w:tcW w:w="8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20" w:type="dxa"/>
            <w:vAlign w:val="bottom"/>
            <w:tcBorders>
              <w:right w:val="single" w:sz="8" w:color="CCEEFF"/>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500" w:type="dxa"/>
            <w:vAlign w:val="bottom"/>
            <w:tcBorders>
              <w:right w:val="single" w:sz="8" w:color="CCEEFF"/>
            </w:tcBorders>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141,661</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141,661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2600" w:type="dxa"/>
            <w:vAlign w:val="bottom"/>
            <w:gridSpan w:val="2"/>
          </w:tcPr>
          <w:p>
            <w:pPr>
              <w:spacing w:after="0"/>
              <w:rPr>
                <w:sz w:val="10"/>
                <w:szCs w:val="10"/>
                <w:color w:val="auto"/>
              </w:rPr>
            </w:pPr>
          </w:p>
        </w:tc>
        <w:tc>
          <w:tcPr>
            <w:tcW w:w="6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600" w:type="dxa"/>
            <w:vAlign w:val="bottom"/>
            <w:gridSpan w:val="2"/>
          </w:tcPr>
          <w:p>
            <w:pPr>
              <w:spacing w:after="0"/>
              <w:rPr>
                <w:sz w:val="20"/>
                <w:szCs w:val="20"/>
                <w:color w:val="auto"/>
              </w:rPr>
            </w:pPr>
            <w:r>
              <w:rPr>
                <w:rFonts w:ascii="Arial" w:cs="Arial" w:eastAsia="Arial" w:hAnsi="Arial"/>
                <w:sz w:val="14"/>
                <w:szCs w:val="14"/>
                <w:color w:val="auto"/>
              </w:rPr>
              <w:t>Total comprehensive income</w:t>
            </w:r>
          </w:p>
        </w:tc>
        <w:tc>
          <w:tcPr>
            <w:tcW w:w="6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139,097</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Balance at January 31, 2005</w:t>
            </w: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277,602</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555</w:t>
            </w:r>
          </w:p>
        </w:tc>
        <w:tc>
          <w:tcPr>
            <w:tcW w:w="34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3,035,200</w:t>
            </w:r>
          </w:p>
        </w:tc>
        <w:tc>
          <w:tcPr>
            <w:tcW w:w="220" w:type="dxa"/>
            <w:vAlign w:val="bottom"/>
            <w:shd w:val="clear" w:color="auto" w:fill="CCEEFF"/>
          </w:tcPr>
          <w:p>
            <w:pPr>
              <w:spacing w:after="0"/>
              <w:rPr>
                <w:sz w:val="12"/>
                <w:szCs w:val="12"/>
                <w:color w:val="auto"/>
              </w:rPr>
            </w:pPr>
          </w:p>
        </w:tc>
        <w:tc>
          <w:tcPr>
            <w:tcW w:w="200" w:type="dxa"/>
            <w:vAlign w:val="bottom"/>
            <w:shd w:val="clear" w:color="auto" w:fill="CCEEFF"/>
          </w:tcPr>
          <w:p>
            <w:pPr>
              <w:jc w:val="right"/>
              <w:ind w:right="89"/>
              <w:spacing w:after="0"/>
              <w:rPr>
                <w:sz w:val="20"/>
                <w:szCs w:val="20"/>
                <w:color w:val="auto"/>
              </w:rPr>
            </w:pPr>
            <w:r>
              <w:rPr>
                <w:rFonts w:ascii="Arial" w:cs="Arial" w:eastAsia="Arial" w:hAnsi="Arial"/>
                <w:sz w:val="10"/>
                <w:szCs w:val="10"/>
                <w:color w:val="auto"/>
                <w:w w:val="71"/>
              </w:rPr>
              <w:t>$</w:t>
            </w:r>
          </w:p>
        </w:tc>
        <w:tc>
          <w:tcPr>
            <w:tcW w:w="14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(3,400)</w:t>
            </w:r>
          </w:p>
        </w:tc>
        <w:tc>
          <w:tcPr>
            <w:tcW w:w="180" w:type="dxa"/>
            <w:vAlign w:val="bottom"/>
            <w:shd w:val="clear" w:color="auto" w:fill="CCEEFF"/>
          </w:tcPr>
          <w:p>
            <w:pPr>
              <w:jc w:val="right"/>
              <w:ind w:right="69"/>
              <w:spacing w:after="0"/>
              <w:rPr>
                <w:sz w:val="20"/>
                <w:szCs w:val="20"/>
                <w:color w:val="auto"/>
              </w:rPr>
            </w:pPr>
            <w:r>
              <w:rPr>
                <w:rFonts w:ascii="Arial" w:cs="Arial" w:eastAsia="Arial" w:hAnsi="Arial"/>
                <w:sz w:val="10"/>
                <w:szCs w:val="10"/>
                <w:color w:val="auto"/>
                <w:w w:val="71"/>
              </w:rPr>
              <w:t>$</w:t>
            </w:r>
          </w:p>
        </w:tc>
        <w:tc>
          <w:tcPr>
            <w:tcW w:w="1500" w:type="dxa"/>
            <w:vAlign w:val="bottom"/>
            <w:tcBorders>
              <w:right w:val="single" w:sz="8" w:color="CCEEFF"/>
            </w:tcBorders>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(1,807)</w:t>
            </w:r>
          </w:p>
        </w:tc>
        <w:tc>
          <w:tcPr>
            <w:tcW w:w="140" w:type="dxa"/>
            <w:vAlign w:val="bottom"/>
            <w:shd w:val="clear" w:color="auto" w:fill="CCEEFF"/>
          </w:tcPr>
          <w:p>
            <w:pPr>
              <w:jc w:val="right"/>
              <w:ind w:right="29"/>
              <w:spacing w:after="0"/>
              <w:rPr>
                <w:sz w:val="20"/>
                <w:szCs w:val="20"/>
                <w:color w:val="auto"/>
              </w:rPr>
            </w:pPr>
            <w:r>
              <w:rPr>
                <w:rFonts w:ascii="Arial" w:cs="Arial" w:eastAsia="Arial" w:hAnsi="Arial"/>
                <w:sz w:val="10"/>
                <w:szCs w:val="10"/>
                <w:color w:val="auto"/>
                <w:w w:val="71"/>
              </w:rPr>
              <w:t>$</w:t>
            </w:r>
          </w:p>
        </w:tc>
        <w:tc>
          <w:tcPr>
            <w:tcW w:w="13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(533,118)</w:t>
            </w:r>
          </w:p>
        </w:tc>
        <w:tc>
          <w:tcPr>
            <w:tcW w:w="1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w w:val="76"/>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2,497,430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580" w:type="dxa"/>
            <w:vAlign w:val="bottom"/>
            <w:tcBorders>
              <w:right w:val="single" w:sz="8" w:color="808080"/>
            </w:tcBorders>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2755900</wp:posOffset>
            </wp:positionH>
            <wp:positionV relativeFrom="paragraph">
              <wp:posOffset>-6746240</wp:posOffset>
            </wp:positionV>
            <wp:extent cx="12700" cy="889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1632585</wp:posOffset>
            </wp:positionH>
            <wp:positionV relativeFrom="paragraph">
              <wp:posOffset>-6746240</wp:posOffset>
            </wp:positionV>
            <wp:extent cx="12700" cy="889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-6454775</wp:posOffset>
            </wp:positionV>
            <wp:extent cx="12700" cy="889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-6454775</wp:posOffset>
            </wp:positionV>
            <wp:extent cx="12700" cy="889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4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3536315</wp:posOffset>
            </wp:positionH>
            <wp:positionV relativeFrom="paragraph">
              <wp:posOffset>-6454775</wp:posOffset>
            </wp:positionV>
            <wp:extent cx="12700" cy="889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4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-6454775</wp:posOffset>
            </wp:positionV>
            <wp:extent cx="12700" cy="8890"/>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4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-6454775</wp:posOffset>
            </wp:positionV>
            <wp:extent cx="12700" cy="889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4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3682365</wp:posOffset>
            </wp:positionH>
            <wp:positionV relativeFrom="paragraph">
              <wp:posOffset>-6454775</wp:posOffset>
            </wp:positionV>
            <wp:extent cx="12700" cy="8890"/>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-6454775</wp:posOffset>
            </wp:positionV>
            <wp:extent cx="12700" cy="889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4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-6454775</wp:posOffset>
            </wp:positionV>
            <wp:extent cx="12700" cy="8890"/>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4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2052955</wp:posOffset>
            </wp:positionH>
            <wp:positionV relativeFrom="paragraph">
              <wp:posOffset>-6454775</wp:posOffset>
            </wp:positionV>
            <wp:extent cx="12700" cy="8890"/>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4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1632585</wp:posOffset>
            </wp:positionH>
            <wp:positionV relativeFrom="paragraph">
              <wp:posOffset>-6454775</wp:posOffset>
            </wp:positionV>
            <wp:extent cx="12700" cy="889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-6454775</wp:posOffset>
            </wp:positionV>
            <wp:extent cx="12700" cy="8890"/>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2198370</wp:posOffset>
            </wp:positionH>
            <wp:positionV relativeFrom="paragraph">
              <wp:posOffset>-6454775</wp:posOffset>
            </wp:positionV>
            <wp:extent cx="12700" cy="8890"/>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4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-6454775</wp:posOffset>
            </wp:positionV>
            <wp:extent cx="12700" cy="8890"/>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4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-6454775</wp:posOffset>
            </wp:positionV>
            <wp:extent cx="12700" cy="889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4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-4636770</wp:posOffset>
            </wp:positionV>
            <wp:extent cx="12700" cy="8890"/>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4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-4636770</wp:posOffset>
            </wp:positionV>
            <wp:extent cx="12700" cy="889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4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2052955</wp:posOffset>
            </wp:positionH>
            <wp:positionV relativeFrom="paragraph">
              <wp:posOffset>-4387850</wp:posOffset>
            </wp:positionV>
            <wp:extent cx="12700" cy="889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4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1632585</wp:posOffset>
            </wp:positionH>
            <wp:positionV relativeFrom="paragraph">
              <wp:posOffset>-4387850</wp:posOffset>
            </wp:positionV>
            <wp:extent cx="12700" cy="889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4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-4387850</wp:posOffset>
            </wp:positionV>
            <wp:extent cx="12700" cy="8890"/>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4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2198370</wp:posOffset>
            </wp:positionH>
            <wp:positionV relativeFrom="paragraph">
              <wp:posOffset>-4387850</wp:posOffset>
            </wp:positionV>
            <wp:extent cx="12700" cy="889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4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3536315</wp:posOffset>
            </wp:positionH>
            <wp:positionV relativeFrom="paragraph">
              <wp:posOffset>-4387850</wp:posOffset>
            </wp:positionV>
            <wp:extent cx="12700" cy="8890"/>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4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-4387850</wp:posOffset>
            </wp:positionV>
            <wp:extent cx="12700" cy="889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-4387850</wp:posOffset>
            </wp:positionV>
            <wp:extent cx="12700" cy="889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3682365</wp:posOffset>
            </wp:positionH>
            <wp:positionV relativeFrom="paragraph">
              <wp:posOffset>-4387850</wp:posOffset>
            </wp:positionV>
            <wp:extent cx="12700" cy="889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-4387850</wp:posOffset>
            </wp:positionV>
            <wp:extent cx="12700" cy="889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-4387850</wp:posOffset>
            </wp:positionV>
            <wp:extent cx="12700" cy="889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-4387850</wp:posOffset>
            </wp:positionV>
            <wp:extent cx="12700" cy="889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-4387850</wp:posOffset>
            </wp:positionV>
            <wp:extent cx="12700" cy="889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-4387850</wp:posOffset>
            </wp:positionV>
            <wp:extent cx="12700" cy="889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-4387850</wp:posOffset>
            </wp:positionV>
            <wp:extent cx="12700" cy="889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-2535555</wp:posOffset>
            </wp:positionV>
            <wp:extent cx="12700" cy="889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-2535555</wp:posOffset>
            </wp:positionV>
            <wp:extent cx="12700" cy="889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2052955</wp:posOffset>
            </wp:positionH>
            <wp:positionV relativeFrom="paragraph">
              <wp:posOffset>-2286635</wp:posOffset>
            </wp:positionV>
            <wp:extent cx="12700" cy="889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1632585</wp:posOffset>
            </wp:positionH>
            <wp:positionV relativeFrom="paragraph">
              <wp:posOffset>-2286635</wp:posOffset>
            </wp:positionV>
            <wp:extent cx="12700" cy="889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-2286635</wp:posOffset>
            </wp:positionV>
            <wp:extent cx="12700" cy="889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2198370</wp:posOffset>
            </wp:positionH>
            <wp:positionV relativeFrom="paragraph">
              <wp:posOffset>-2286635</wp:posOffset>
            </wp:positionV>
            <wp:extent cx="12700" cy="889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3536315</wp:posOffset>
            </wp:positionH>
            <wp:positionV relativeFrom="paragraph">
              <wp:posOffset>-2286635</wp:posOffset>
            </wp:positionV>
            <wp:extent cx="12700" cy="889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-2286635</wp:posOffset>
            </wp:positionV>
            <wp:extent cx="12700" cy="889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-2286635</wp:posOffset>
            </wp:positionV>
            <wp:extent cx="12700" cy="889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3682365</wp:posOffset>
            </wp:positionH>
            <wp:positionV relativeFrom="paragraph">
              <wp:posOffset>-2286635</wp:posOffset>
            </wp:positionV>
            <wp:extent cx="12700" cy="889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-2286635</wp:posOffset>
            </wp:positionV>
            <wp:extent cx="12700" cy="889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-2286635</wp:posOffset>
            </wp:positionV>
            <wp:extent cx="12700" cy="889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-2286635</wp:posOffset>
            </wp:positionV>
            <wp:extent cx="12700" cy="889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-2286635</wp:posOffset>
            </wp:positionV>
            <wp:extent cx="12700" cy="889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-2286635</wp:posOffset>
            </wp:positionV>
            <wp:extent cx="12700" cy="8890"/>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-2286635</wp:posOffset>
            </wp:positionV>
            <wp:extent cx="12700" cy="889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-528955</wp:posOffset>
            </wp:positionV>
            <wp:extent cx="12700" cy="889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-528955</wp:posOffset>
            </wp:positionV>
            <wp:extent cx="12700" cy="889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2052955</wp:posOffset>
            </wp:positionH>
            <wp:positionV relativeFrom="paragraph">
              <wp:posOffset>-280035</wp:posOffset>
            </wp:positionV>
            <wp:extent cx="12700" cy="889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1632585</wp:posOffset>
            </wp:positionH>
            <wp:positionV relativeFrom="paragraph">
              <wp:posOffset>-280035</wp:posOffset>
            </wp:positionV>
            <wp:extent cx="12700" cy="889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-280035</wp:posOffset>
            </wp:positionV>
            <wp:extent cx="12700" cy="889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2198370</wp:posOffset>
            </wp:positionH>
            <wp:positionV relativeFrom="paragraph">
              <wp:posOffset>-280035</wp:posOffset>
            </wp:positionV>
            <wp:extent cx="12700" cy="889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3536315</wp:posOffset>
            </wp:positionH>
            <wp:positionV relativeFrom="paragraph">
              <wp:posOffset>-280035</wp:posOffset>
            </wp:positionV>
            <wp:extent cx="12700" cy="889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-280035</wp:posOffset>
            </wp:positionV>
            <wp:extent cx="12700" cy="889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-280035</wp:posOffset>
            </wp:positionV>
            <wp:extent cx="12700" cy="889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3682365</wp:posOffset>
            </wp:positionH>
            <wp:positionV relativeFrom="paragraph">
              <wp:posOffset>-280035</wp:posOffset>
            </wp:positionV>
            <wp:extent cx="12700" cy="889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-280035</wp:posOffset>
            </wp:positionV>
            <wp:extent cx="12700" cy="889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-280035</wp:posOffset>
            </wp:positionV>
            <wp:extent cx="12700" cy="8890"/>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-280035</wp:posOffset>
            </wp:positionV>
            <wp:extent cx="12700" cy="889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-280035</wp:posOffset>
            </wp:positionV>
            <wp:extent cx="12700" cy="889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-280035</wp:posOffset>
            </wp:positionV>
            <wp:extent cx="12700" cy="889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-280035</wp:posOffset>
            </wp:positionV>
            <wp:extent cx="12700" cy="889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4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70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w w:val="88"/>
              </w:rPr>
              <w:t>Years Ended January 31,</w:t>
            </w:r>
          </w:p>
        </w:tc>
        <w:tc>
          <w:tcPr>
            <w:tcW w:w="3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68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60" w:type="dxa"/>
            <w:vAlign w:val="bottom"/>
          </w:tcPr>
          <w:p>
            <w:pPr>
              <w:jc w:val="right"/>
              <w:ind w:right="473"/>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20" w:type="dxa"/>
            <w:vAlign w:val="bottom"/>
          </w:tcPr>
          <w:p>
            <w:pPr>
              <w:jc w:val="right"/>
              <w:ind w:right="453"/>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00" w:type="dxa"/>
            <w:vAlign w:val="bottom"/>
          </w:tcPr>
          <w:p>
            <w:pPr>
              <w:jc w:val="right"/>
              <w:ind w:right="433"/>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68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4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93"/>
              </w:rPr>
              <w:t>(In thousands)</w:t>
            </w:r>
          </w:p>
        </w:tc>
        <w:tc>
          <w:tcPr>
            <w:tcW w:w="300" w:type="dxa"/>
            <w:vAlign w:val="bottom"/>
          </w:tcPr>
          <w:p>
            <w:pPr>
              <w:spacing w:after="0"/>
              <w:rPr>
                <w:sz w:val="23"/>
                <w:szCs w:val="23"/>
                <w:color w:val="auto"/>
              </w:rPr>
            </w:pPr>
          </w:p>
        </w:tc>
        <w:tc>
          <w:tcPr>
            <w:tcW w:w="10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68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141,661</w:t>
            </w:r>
          </w:p>
        </w:tc>
        <w:tc>
          <w:tcPr>
            <w:tcW w:w="100" w:type="dxa"/>
            <w:vAlign w:val="bottom"/>
          </w:tcPr>
          <w:p>
            <w:pPr>
              <w:spacing w:after="0"/>
              <w:rPr>
                <w:sz w:val="18"/>
                <w:szCs w:val="18"/>
                <w:color w:val="auto"/>
              </w:rPr>
            </w:pP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45,510</w:t>
            </w:r>
          </w:p>
        </w:tc>
        <w:tc>
          <w:tcPr>
            <w:tcW w:w="220" w:type="dxa"/>
            <w:vAlign w:val="bottom"/>
          </w:tcPr>
          <w:p>
            <w:pPr>
              <w:spacing w:after="0"/>
              <w:rPr>
                <w:sz w:val="18"/>
                <w:szCs w:val="18"/>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(72,174)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5"/>
              </w:rPr>
              <w:t>Adjustments to reconcile net income (loss) to net cash provided by operating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44,323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33,682</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22,382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79,034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80,390</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107,645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Facilities consolidation charge</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Tax benefit from employee stock transactions</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5,350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1,224</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 assets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(4,422)</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3,029</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420"/>
              <w:spacing w:after="0"/>
              <w:rPr>
                <w:sz w:val="20"/>
                <w:szCs w:val="20"/>
                <w:color w:val="auto"/>
              </w:rPr>
            </w:pPr>
            <w:r>
              <w:rPr>
                <w:rFonts w:ascii="Arial" w:cs="Arial" w:eastAsia="Arial" w:hAnsi="Arial"/>
                <w:sz w:val="18"/>
                <w:szCs w:val="18"/>
                <w:color w:val="auto"/>
              </w:rPr>
              <w:t>Accelerated vesting on stock options</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1,014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8"/>
              </w:rPr>
              <w:t>Changes in assets and liabilities, net of assets acquired and liabilities assumed in</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6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 acquisitions:</w:t>
            </w:r>
          </w:p>
        </w:tc>
        <w:tc>
          <w:tcPr>
            <w:tcW w:w="3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64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(64,441)</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(50,154)</w:t>
            </w: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(42,625)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(37,104)</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(52,073)</w:t>
            </w: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(14,258)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64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(3,890)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(1,047)</w:t>
            </w: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(7,280)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8,538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71,904</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640"/>
              <w:spacing w:after="0"/>
              <w:rPr>
                <w:sz w:val="20"/>
                <w:szCs w:val="20"/>
                <w:color w:val="auto"/>
              </w:rPr>
            </w:pPr>
            <w:r>
              <w:rPr>
                <w:rFonts w:ascii="Arial" w:cs="Arial" w:eastAsia="Arial" w:hAnsi="Arial"/>
                <w:sz w:val="18"/>
                <w:szCs w:val="18"/>
                <w:color w:val="auto"/>
              </w:rPr>
              <w:t>Accrued liabilities and other</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7,858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4,259</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(2,278)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8,270</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640"/>
              <w:spacing w:after="0"/>
              <w:rPr>
                <w:sz w:val="20"/>
                <w:szCs w:val="20"/>
                <w:color w:val="auto"/>
              </w:rPr>
            </w:pPr>
            <w:r>
              <w:rPr>
                <w:rFonts w:ascii="Arial" w:cs="Arial" w:eastAsia="Arial" w:hAnsi="Arial"/>
                <w:sz w:val="18"/>
                <w:szCs w:val="18"/>
                <w:color w:val="auto"/>
              </w:rPr>
              <w:t>Accrued facilities consolidation charge</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(2,312)</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(2,976)</w:t>
            </w: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10,331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25,348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2,337</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0" w:type="dxa"/>
            <w:vAlign w:val="bottom"/>
          </w:tcPr>
          <w:p>
            <w:pPr>
              <w:ind w:left="64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2,942</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515</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3,574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221,530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149,813</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40,818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6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682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received from acquisitions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2,122</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(433,164)</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(216,261)</w:t>
            </w: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(94,503)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149,290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155,640</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85,167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Purchases of equity investments and loans advanced</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(2,200)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(10,220)</w:t>
            </w: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(18,345)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Acquisition costs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(1,154)</w:t>
            </w: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(45,762)</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(95,241)</w:t>
            </w:r>
          </w:p>
        </w:tc>
        <w:tc>
          <w:tcPr>
            <w:tcW w:w="30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(28,780)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(16,225)</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(2,917)</w:t>
            </w: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(400)</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80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800" w:type="dxa"/>
            <w:vAlign w:val="bottom"/>
          </w:tcPr>
          <w:p>
            <w:pPr>
              <w:ind w:left="86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Pr>
          <w:p>
            <w:pPr>
              <w:spacing w:after="0"/>
              <w:rPr>
                <w:sz w:val="24"/>
                <w:szCs w:val="24"/>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(348,130)</w:t>
            </w: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(168,031)</w:t>
            </w:r>
          </w:p>
        </w:tc>
        <w:tc>
          <w:tcPr>
            <w:tcW w:w="300" w:type="dxa"/>
            <w:vAlign w:val="bottom"/>
          </w:tcPr>
          <w:p>
            <w:pPr>
              <w:spacing w:after="0"/>
              <w:rPr>
                <w:sz w:val="24"/>
                <w:szCs w:val="24"/>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(55,763)</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80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Proceeds from the issuance of common stock, net of repurchases</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131,679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86,536</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22,235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(12,577)</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(6,560)</w:t>
            </w:r>
          </w:p>
        </w:tc>
        <w:tc>
          <w:tcPr>
            <w:tcW w:w="3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(1,957)</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80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800" w:type="dxa"/>
            <w:vAlign w:val="bottom"/>
          </w:tcPr>
          <w:p>
            <w:pPr>
              <w:ind w:left="86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tcPr>
          <w:p>
            <w:pPr>
              <w:spacing w:after="0"/>
              <w:rPr>
                <w:sz w:val="24"/>
                <w:szCs w:val="24"/>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119,102</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79,976</w:t>
            </w: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20,278</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80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0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(7,498)</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61,758</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173,969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112,211</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106,878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173,969</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112,211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820" w:type="dxa"/>
            <w:vAlign w:val="bottom"/>
            <w:gridSpan w:val="2"/>
            <w:vMerge w:val="continue"/>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682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paid for interest</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1,201</w:t>
            </w:r>
          </w:p>
        </w:tc>
        <w:tc>
          <w:tcPr>
            <w:tcW w:w="1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892</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gridSpan w:val="2"/>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80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Cash paid for income taxes, net</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995</w:t>
            </w:r>
          </w:p>
        </w:tc>
        <w:tc>
          <w:tcPr>
            <w:tcW w:w="100" w:type="dxa"/>
            <w:vAlign w:val="bottom"/>
          </w:tcPr>
          <w:p>
            <w:pPr>
              <w:spacing w:after="0"/>
              <w:rPr>
                <w:sz w:val="24"/>
                <w:szCs w:val="24"/>
                <w:color w:val="auto"/>
              </w:rPr>
            </w:pP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11,229</w:t>
            </w:r>
          </w:p>
        </w:tc>
        <w:tc>
          <w:tcPr>
            <w:tcW w:w="220" w:type="dxa"/>
            <w:vAlign w:val="bottom"/>
          </w:tcPr>
          <w:p>
            <w:pPr>
              <w:spacing w:after="0"/>
              <w:rPr>
                <w:sz w:val="24"/>
                <w:szCs w:val="24"/>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2,184</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80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7,506</w:t>
            </w:r>
          </w:p>
        </w:tc>
        <w:tc>
          <w:tcPr>
            <w:tcW w:w="1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18,476</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10,769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60" w:type="dxa"/>
            <w:vAlign w:val="bottom"/>
            <w:gridSpan w:val="2"/>
          </w:tcPr>
          <w:p>
            <w:pPr>
              <w:spacing w:after="0"/>
              <w:rPr>
                <w:sz w:val="9"/>
                <w:szCs w:val="9"/>
                <w:color w:val="auto"/>
              </w:rPr>
            </w:pPr>
          </w:p>
        </w:tc>
        <w:tc>
          <w:tcPr>
            <w:tcW w:w="260" w:type="dxa"/>
            <w:vAlign w:val="bottom"/>
            <w:gridSpan w:val="2"/>
          </w:tcPr>
          <w:p>
            <w:pPr>
              <w:spacing w:after="0"/>
              <w:rPr>
                <w:sz w:val="9"/>
                <w:szCs w:val="9"/>
                <w:color w:val="auto"/>
              </w:rPr>
            </w:pPr>
          </w:p>
        </w:tc>
        <w:tc>
          <w:tcPr>
            <w:tcW w:w="144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80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800" w:type="dxa"/>
            <w:vAlign w:val="bottom"/>
          </w:tcPr>
          <w:p>
            <w:pPr>
              <w:ind w:left="200"/>
              <w:spacing w:after="0"/>
              <w:rPr>
                <w:sz w:val="20"/>
                <w:szCs w:val="20"/>
                <w:color w:val="auto"/>
              </w:rPr>
            </w:pPr>
            <w:r>
              <w:rPr>
                <w:rFonts w:ascii="Arial" w:cs="Arial" w:eastAsia="Arial" w:hAnsi="Arial"/>
                <w:sz w:val="18"/>
                <w:szCs w:val="18"/>
                <w:color w:val="auto"/>
              </w:rPr>
              <w:t>Acquisition of technology licenses with deferred payments</w:t>
            </w:r>
          </w:p>
        </w:tc>
        <w:tc>
          <w:tcPr>
            <w:tcW w:w="320" w:type="dxa"/>
            <w:vAlign w:val="bottom"/>
          </w:tcPr>
          <w:p>
            <w:pPr>
              <w:jc w:val="right"/>
              <w:ind w:right="163"/>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800</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8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80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7164070</wp:posOffset>
            </wp:positionH>
            <wp:positionV relativeFrom="paragraph">
              <wp:posOffset>-8350250</wp:posOffset>
            </wp:positionV>
            <wp:extent cx="12700" cy="889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-8350250</wp:posOffset>
            </wp:positionV>
            <wp:extent cx="12700" cy="889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-8101330</wp:posOffset>
            </wp:positionV>
            <wp:extent cx="12700" cy="8890"/>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-8101330</wp:posOffset>
            </wp:positionV>
            <wp:extent cx="12700" cy="889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-8101330</wp:posOffset>
            </wp:positionV>
            <wp:extent cx="12700" cy="889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-8101330</wp:posOffset>
            </wp:positionV>
            <wp:extent cx="12700" cy="889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-8101330</wp:posOffset>
            </wp:positionV>
            <wp:extent cx="12700" cy="889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-8101330</wp:posOffset>
            </wp:positionV>
            <wp:extent cx="12700" cy="889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-4816475</wp:posOffset>
            </wp:positionV>
            <wp:extent cx="12700" cy="889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-4816475</wp:posOffset>
            </wp:positionV>
            <wp:extent cx="12700" cy="889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-4816475</wp:posOffset>
            </wp:positionV>
            <wp:extent cx="12700" cy="889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-4816475</wp:posOffset>
            </wp:positionV>
            <wp:extent cx="12700" cy="8890"/>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-4816475</wp:posOffset>
            </wp:positionV>
            <wp:extent cx="12700" cy="889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-4816475</wp:posOffset>
            </wp:positionV>
            <wp:extent cx="12700" cy="889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-4525010</wp:posOffset>
            </wp:positionV>
            <wp:extent cx="12700" cy="889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-4525010</wp:posOffset>
            </wp:positionV>
            <wp:extent cx="12700" cy="889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-4525010</wp:posOffset>
            </wp:positionV>
            <wp:extent cx="12700" cy="889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-4525010</wp:posOffset>
            </wp:positionV>
            <wp:extent cx="12700" cy="889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-4525010</wp:posOffset>
            </wp:positionV>
            <wp:extent cx="12700" cy="889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-4525010</wp:posOffset>
            </wp:positionV>
            <wp:extent cx="12700" cy="889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-3272790</wp:posOffset>
            </wp:positionV>
            <wp:extent cx="12700" cy="889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-3272790</wp:posOffset>
            </wp:positionV>
            <wp:extent cx="12700" cy="889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-3272790</wp:posOffset>
            </wp:positionV>
            <wp:extent cx="12700" cy="889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-3272790</wp:posOffset>
            </wp:positionV>
            <wp:extent cx="12700" cy="889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-3272790</wp:posOffset>
            </wp:positionV>
            <wp:extent cx="12700" cy="889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-3272790</wp:posOffset>
            </wp:positionV>
            <wp:extent cx="12700" cy="889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-2981325</wp:posOffset>
            </wp:positionV>
            <wp:extent cx="12700" cy="889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-2981325</wp:posOffset>
            </wp:positionV>
            <wp:extent cx="12700" cy="889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-2981325</wp:posOffset>
            </wp:positionV>
            <wp:extent cx="12700" cy="889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-2981325</wp:posOffset>
            </wp:positionV>
            <wp:extent cx="12700" cy="889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-2981325</wp:posOffset>
            </wp:positionV>
            <wp:extent cx="12700" cy="889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-2981325</wp:posOffset>
            </wp:positionV>
            <wp:extent cx="12700" cy="889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-2415540</wp:posOffset>
            </wp:positionV>
            <wp:extent cx="12700" cy="889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-2415540</wp:posOffset>
            </wp:positionV>
            <wp:extent cx="12700" cy="889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-2415540</wp:posOffset>
            </wp:positionV>
            <wp:extent cx="12700" cy="889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-2415540</wp:posOffset>
            </wp:positionV>
            <wp:extent cx="12700" cy="889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-2415540</wp:posOffset>
            </wp:positionV>
            <wp:extent cx="12700" cy="889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-2415540</wp:posOffset>
            </wp:positionV>
            <wp:extent cx="12700" cy="889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-2124075</wp:posOffset>
            </wp:positionV>
            <wp:extent cx="12700" cy="889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5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-2124075</wp:posOffset>
            </wp:positionV>
            <wp:extent cx="12700" cy="889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5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-2124075</wp:posOffset>
            </wp:positionV>
            <wp:extent cx="12700" cy="889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5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-2124075</wp:posOffset>
            </wp:positionV>
            <wp:extent cx="12700" cy="889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5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-2124075</wp:posOffset>
            </wp:positionV>
            <wp:extent cx="12700" cy="889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5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-2124075</wp:posOffset>
            </wp:positionV>
            <wp:extent cx="12700" cy="889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5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5191125</wp:posOffset>
            </wp:positionH>
            <wp:positionV relativeFrom="paragraph">
              <wp:posOffset>-1695450</wp:posOffset>
            </wp:positionV>
            <wp:extent cx="12700" cy="8890"/>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5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-1695450</wp:posOffset>
            </wp:positionV>
            <wp:extent cx="12700" cy="889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5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-1695450</wp:posOffset>
            </wp:positionV>
            <wp:extent cx="12700" cy="889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5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5337175</wp:posOffset>
            </wp:positionH>
            <wp:positionV relativeFrom="paragraph">
              <wp:posOffset>-1695450</wp:posOffset>
            </wp:positionV>
            <wp:extent cx="12700" cy="8890"/>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5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-1695450</wp:posOffset>
            </wp:positionV>
            <wp:extent cx="12700" cy="8890"/>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5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-1695450</wp:posOffset>
            </wp:positionV>
            <wp:extent cx="12700" cy="889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5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20"/>
          </w:cols>
          <w:pgMar w:left="240" w:top="341" w:right="239" w:bottom="711"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5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711" w:gutter="0" w:footer="0" w:header="0"/>
          <w:type w:val="continuous"/>
        </w:sectPr>
      </w:pPr>
    </w:p>
    <w:bookmarkStart w:id="77" w:name="page78"/>
    <w:bookmarkEnd w:id="77"/>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400"/>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The Company</w:t>
      </w:r>
    </w:p>
    <w:p>
      <w:pPr>
        <w:spacing w:after="0" w:line="225" w:lineRule="exact"/>
        <w:rPr>
          <w:sz w:val="20"/>
          <w:szCs w:val="20"/>
          <w:color w:val="auto"/>
        </w:rPr>
      </w:pPr>
    </w:p>
    <w:p>
      <w:pPr>
        <w:ind w:right="120" w:firstLine="351"/>
        <w:spacing w:after="0" w:line="288"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 On January 21, 2001, the Company acquired Galileo Technology Ltd. ("Galileo"), an Israeli corporation. In January 2003, Galileo's name was changed to Marvell Semiconductor Israel Ltd. (MSIL). MSIL develops high-performance internetworking and switching products for the broadband communications market.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used in consumer and other applications.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225" w:lineRule="exact"/>
        <w:rPr>
          <w:sz w:val="20"/>
          <w:szCs w:val="20"/>
          <w:color w:val="auto"/>
        </w:rPr>
      </w:pPr>
    </w:p>
    <w:p>
      <w:pPr>
        <w:jc w:val="both"/>
        <w:ind w:right="360" w:firstLine="348"/>
        <w:spacing w:after="0" w:line="306" w:lineRule="auto"/>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All periods presented are 52-week years. For presentation purposes, the financial statements and notes refer to January 31 as the Company's year-end.</w:t>
      </w:r>
    </w:p>
    <w:p>
      <w:pPr>
        <w:spacing w:after="0" w:line="161" w:lineRule="exact"/>
        <w:rPr>
          <w:sz w:val="20"/>
          <w:szCs w:val="20"/>
          <w:color w:val="auto"/>
        </w:rPr>
      </w:pPr>
    </w:p>
    <w:p>
      <w:pPr>
        <w:ind w:right="280" w:firstLine="351"/>
        <w:spacing w:after="0" w:line="303" w:lineRule="auto"/>
        <w:rPr>
          <w:sz w:val="20"/>
          <w:szCs w:val="20"/>
          <w:color w:val="auto"/>
        </w:rPr>
      </w:pPr>
      <w:r>
        <w:rPr>
          <w:rFonts w:ascii="Arial" w:cs="Arial" w:eastAsia="Arial" w:hAnsi="Arial"/>
          <w:sz w:val="15"/>
          <w:szCs w:val="15"/>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w:t>
      </w:r>
    </w:p>
    <w:p>
      <w:pPr>
        <w:spacing w:after="0" w:line="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consolidated financial statements and related notes have been retroactively adjusted to reflect the stock split for all periods presented.</w:t>
      </w:r>
    </w:p>
    <w:p>
      <w:pPr>
        <w:spacing w:after="0" w:line="19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25" w:lineRule="exact"/>
        <w:rPr>
          <w:sz w:val="20"/>
          <w:szCs w:val="20"/>
          <w:color w:val="auto"/>
        </w:rPr>
      </w:pPr>
    </w:p>
    <w:p>
      <w:pPr>
        <w:ind w:right="140" w:firstLine="348"/>
        <w:spacing w:after="0" w:line="256"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225" w:lineRule="exact"/>
        <w:rPr>
          <w:sz w:val="20"/>
          <w:szCs w:val="20"/>
          <w:color w:val="auto"/>
        </w:rPr>
      </w:pPr>
    </w:p>
    <w:p>
      <w:pPr>
        <w:ind w:right="200" w:firstLine="348"/>
        <w:spacing w:after="0" w:line="332" w:lineRule="auto"/>
        <w:rPr>
          <w:sz w:val="20"/>
          <w:szCs w:val="20"/>
          <w:color w:val="auto"/>
        </w:rPr>
      </w:pPr>
      <w:r>
        <w:rPr>
          <w:rFonts w:ascii="Arial" w:cs="Arial" w:eastAsia="Arial" w:hAnsi="Arial"/>
          <w:sz w:val="16"/>
          <w:szCs w:val="16"/>
          <w:color w:val="auto"/>
        </w:rPr>
        <w:t>The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3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5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341" w:right="299" w:bottom="1440" w:gutter="0" w:footer="0" w:header="0"/>
        </w:sectPr>
      </w:pPr>
    </w:p>
    <w:bookmarkStart w:id="78" w:name="page79"/>
    <w:bookmarkEnd w:id="78"/>
    <w:p>
      <w:pPr>
        <w:ind w:left="540"/>
        <w:spacing w:after="0"/>
        <w:rPr>
          <w:sz w:val="20"/>
          <w:szCs w:val="20"/>
          <w:color w:val="auto"/>
        </w:rPr>
      </w:pPr>
      <w:r>
        <w:rPr>
          <w:rFonts w:ascii="Arial" w:cs="Arial" w:eastAsia="Arial" w:hAnsi="Arial"/>
          <w:sz w:val="18"/>
          <w:szCs w:val="18"/>
          <w:b w:val="1"/>
          <w:bCs w:val="1"/>
          <w:i w:val="1"/>
          <w:iCs w:val="1"/>
          <w:color w:val="auto"/>
        </w:rPr>
        <w:t>Fair Value of Financial Instruments</w:t>
      </w:r>
    </w:p>
    <w:p>
      <w:pPr>
        <w:spacing w:after="0" w:line="225" w:lineRule="exact"/>
        <w:rPr>
          <w:sz w:val="20"/>
          <w:szCs w:val="20"/>
          <w:color w:val="auto"/>
        </w:rPr>
      </w:pPr>
    </w:p>
    <w:p>
      <w:pPr>
        <w:ind w:right="380" w:firstLine="348"/>
        <w:spacing w:after="0" w:line="306" w:lineRule="auto"/>
        <w:rPr>
          <w:sz w:val="20"/>
          <w:szCs w:val="20"/>
          <w:color w:val="auto"/>
        </w:rPr>
      </w:pPr>
      <w:r>
        <w:rPr>
          <w:rFonts w:ascii="Arial" w:cs="Arial" w:eastAsia="Arial" w:hAnsi="Arial"/>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acquisition costs approximate their respective fair values because of the short-term nature of these items.</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225" w:lineRule="exact"/>
        <w:rPr>
          <w:sz w:val="20"/>
          <w:szCs w:val="20"/>
          <w:color w:val="auto"/>
        </w:rPr>
      </w:pPr>
    </w:p>
    <w:p>
      <w:pPr>
        <w:ind w:right="20" w:firstLine="348"/>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Investments</w:t>
      </w:r>
    </w:p>
    <w:p>
      <w:pPr>
        <w:spacing w:after="0" w:line="225" w:lineRule="exact"/>
        <w:rPr>
          <w:sz w:val="20"/>
          <w:szCs w:val="20"/>
          <w:color w:val="auto"/>
        </w:rPr>
      </w:pPr>
    </w:p>
    <w:p>
      <w:pPr>
        <w:ind w:right="40" w:firstLine="348"/>
        <w:spacing w:after="0" w:line="308" w:lineRule="auto"/>
        <w:rPr>
          <w:sz w:val="20"/>
          <w:szCs w:val="20"/>
          <w:color w:val="auto"/>
        </w:rPr>
      </w:pPr>
      <w:r>
        <w:rPr>
          <w:rFonts w:ascii="Arial" w:cs="Arial" w:eastAsia="Arial" w:hAnsi="Arial"/>
          <w:sz w:val="15"/>
          <w:szCs w:val="15"/>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 and losses and declines in value judged to be other than temporary on available-for-sale securities are included in interest and other income, net. In order to determine if a decline in value on an available-for-sale security is other than temporary, we evaluate, among other factors, general market conditions, the duration and extent to which the fair value is less than cost, as well as our intent and ability to hold the investment. We also may consider specific adverse conditions related to the financial health of and business outlook for the investee, including industry and sector performance, changes in technology, operational and financing cash flow factors, and rating agency actions. Once a decline in fair value is determined to be other than temporary, an impairment charge is recorded and a new cost basis in the investment is established.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163"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Company also has equity investments in privately-held companies. These investments are recorded at cost because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by considering available evidence generally including financial, operational and economic data and makes appropriate reductions in carrying values when an impairment is deemed to be other than temporary.</w:t>
      </w:r>
    </w:p>
    <w:p>
      <w:pPr>
        <w:spacing w:after="0" w:line="167" w:lineRule="exact"/>
        <w:rPr>
          <w:sz w:val="20"/>
          <w:szCs w:val="20"/>
          <w:color w:val="auto"/>
        </w:rPr>
      </w:pPr>
    </w:p>
    <w:p>
      <w:pPr>
        <w:jc w:val="both"/>
        <w:ind w:right="160" w:firstLine="348"/>
        <w:spacing w:after="0" w:line="370" w:lineRule="auto"/>
        <w:rPr>
          <w:sz w:val="20"/>
          <w:szCs w:val="20"/>
          <w:color w:val="auto"/>
        </w:rPr>
      </w:pPr>
      <w:r>
        <w:rPr>
          <w:rFonts w:ascii="Arial" w:cs="Arial" w:eastAsia="Arial" w:hAnsi="Arial"/>
          <w:sz w:val="15"/>
          <w:szCs w:val="15"/>
          <w:color w:val="auto"/>
        </w:rPr>
        <w:t>When the Company has investments in which it has the ability to exercise significant influence over operating and financial policies, these investments are accounted for using the equity method. Accordingly, the Company's share of the income (loss) in these investments is included in other operating income (loss).</w:t>
      </w:r>
    </w:p>
    <w:p>
      <w:pPr>
        <w:spacing w:after="0" w:line="11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225"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5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79" w:name="page80"/>
    <w:bookmarkEnd w:id="79"/>
    <w:p>
      <w:pPr>
        <w:spacing w:after="0" w:line="288" w:lineRule="auto"/>
        <w:rPr>
          <w:sz w:val="20"/>
          <w:szCs w:val="20"/>
          <w:color w:val="auto"/>
        </w:rPr>
      </w:pPr>
      <w:r>
        <w:rPr>
          <w:rFonts w:ascii="Arial" w:cs="Arial" w:eastAsia="Arial" w:hAnsi="Arial"/>
          <w:sz w:val="16"/>
          <w:szCs w:val="16"/>
          <w:color w:val="auto"/>
        </w:rPr>
        <w:t>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 The Company recorded charges for allowance for bad debt and doubtful accounts of $500,000, $703,000 and $557,000 in fiscal 2005, 2004 and 2003, respectively. Receivables and adjustments written off against the allowance aggregated $26,000, $100,000 and $476,000 in fiscal 2005, 2004 and 2003, respectively. The allowance for bad and doubtful accounts at January 31, 2005, 2004 and 2003 was $1.7 million, $1.3 million and $651,000, respectively. Refer to the Revenue Recognition caption in Note 1 for additional information on sales returns and allowances.</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sets forth sales to end users comprising 10% or more of the Company's net revenue for the periods indicated:</w:t>
      </w:r>
    </w:p>
    <w:p>
      <w:pPr>
        <w:spacing w:after="0" w:line="221" w:lineRule="exact"/>
        <w:rPr>
          <w:sz w:val="20"/>
          <w:szCs w:val="20"/>
          <w:color w:val="auto"/>
        </w:rPr>
      </w:pPr>
    </w:p>
    <w:tbl>
      <w:tblPr>
        <w:tblLayout w:type="fixed"/>
        <w:tblInd w:w="20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36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Years Ended January 31,</w:t>
            </w:r>
          </w:p>
        </w:tc>
        <w:tc>
          <w:tcPr>
            <w:tcW w:w="0" w:type="dxa"/>
            <w:vAlign w:val="bottom"/>
          </w:tcPr>
          <w:p>
            <w:pPr>
              <w:spacing w:after="0"/>
              <w:rPr>
                <w:sz w:val="1"/>
                <w:szCs w:val="1"/>
                <w:color w:val="auto"/>
              </w:rPr>
            </w:pPr>
          </w:p>
        </w:tc>
      </w:tr>
      <w:tr>
        <w:trPr>
          <w:trHeight w:val="105"/>
        </w:trPr>
        <w:tc>
          <w:tcPr>
            <w:tcW w:w="482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506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600" w:type="dxa"/>
            <w:vAlign w:val="bottom"/>
          </w:tcPr>
          <w:p>
            <w:pPr>
              <w:jc w:val="right"/>
              <w:ind w:right="77"/>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23"/>
                <w:szCs w:val="23"/>
                <w:color w:val="auto"/>
              </w:rPr>
            </w:pPr>
          </w:p>
        </w:tc>
        <w:tc>
          <w:tcPr>
            <w:tcW w:w="600" w:type="dxa"/>
            <w:vAlign w:val="bottom"/>
          </w:tcPr>
          <w:p>
            <w:pPr>
              <w:jc w:val="right"/>
              <w:ind w:right="75"/>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3"/>
                <w:szCs w:val="23"/>
                <w:color w:val="auto"/>
              </w:rPr>
            </w:pPr>
          </w:p>
        </w:tc>
        <w:tc>
          <w:tcPr>
            <w:tcW w:w="580" w:type="dxa"/>
            <w:vAlign w:val="bottom"/>
          </w:tcPr>
          <w:p>
            <w:pPr>
              <w:jc w:val="right"/>
              <w:ind w:right="75"/>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80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18%</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gridSpan w:val="2"/>
          </w:tcPr>
          <w:p>
            <w:pPr>
              <w:spacing w:after="0"/>
              <w:rPr>
                <w:sz w:val="20"/>
                <w:szCs w:val="20"/>
                <w:color w:val="auto"/>
              </w:rPr>
            </w:pPr>
            <w:r>
              <w:rPr>
                <w:rFonts w:ascii="Arial" w:cs="Arial" w:eastAsia="Arial" w:hAnsi="Arial"/>
                <w:sz w:val="18"/>
                <w:szCs w:val="18"/>
                <w:color w:val="auto"/>
              </w:rPr>
              <w:t>Samsung</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14%</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14%</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Toshiba</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gridSpan w:val="2"/>
          </w:tcPr>
          <w:p>
            <w:pPr>
              <w:spacing w:after="0"/>
              <w:rPr>
                <w:sz w:val="20"/>
                <w:szCs w:val="20"/>
                <w:color w:val="auto"/>
              </w:rPr>
            </w:pPr>
            <w:r>
              <w:rPr>
                <w:rFonts w:ascii="Arial" w:cs="Arial" w:eastAsia="Arial" w:hAnsi="Arial"/>
                <w:sz w:val="18"/>
                <w:szCs w:val="18"/>
                <w:color w:val="auto"/>
              </w:rPr>
              <w:t>Intel</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18%</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Hitachi</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40" w:type="dxa"/>
            <w:vAlign w:val="bottom"/>
            <w:gridSpan w:val="2"/>
          </w:tcPr>
          <w:p>
            <w:pPr>
              <w:spacing w:after="0"/>
              <w:rPr>
                <w:sz w:val="20"/>
                <w:szCs w:val="20"/>
                <w:color w:val="auto"/>
              </w:rPr>
            </w:pPr>
            <w:r>
              <w:rPr>
                <w:rFonts w:ascii="Arial" w:cs="Arial" w:eastAsia="Arial" w:hAnsi="Arial"/>
                <w:sz w:val="18"/>
                <w:szCs w:val="18"/>
                <w:color w:val="auto"/>
              </w:rPr>
              <w:t>Seagate</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5877560</wp:posOffset>
            </wp:positionH>
            <wp:positionV relativeFrom="paragraph">
              <wp:posOffset>-1156970</wp:posOffset>
            </wp:positionV>
            <wp:extent cx="12700" cy="8890"/>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5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4479925</wp:posOffset>
            </wp:positionH>
            <wp:positionV relativeFrom="paragraph">
              <wp:posOffset>-1156970</wp:posOffset>
            </wp:positionV>
            <wp:extent cx="12700" cy="8890"/>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5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-908050</wp:posOffset>
            </wp:positionV>
            <wp:extent cx="12700" cy="889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5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1272540</wp:posOffset>
            </wp:positionH>
            <wp:positionV relativeFrom="paragraph">
              <wp:posOffset>-908050</wp:posOffset>
            </wp:positionV>
            <wp:extent cx="12700" cy="8890"/>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-908050</wp:posOffset>
            </wp:positionV>
            <wp:extent cx="12700" cy="889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5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4479925</wp:posOffset>
            </wp:positionH>
            <wp:positionV relativeFrom="paragraph">
              <wp:posOffset>-908050</wp:posOffset>
            </wp:positionV>
            <wp:extent cx="12700" cy="889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5371465</wp:posOffset>
            </wp:positionH>
            <wp:positionV relativeFrom="paragraph">
              <wp:posOffset>-908050</wp:posOffset>
            </wp:positionV>
            <wp:extent cx="12700" cy="8890"/>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5002530</wp:posOffset>
            </wp:positionH>
            <wp:positionV relativeFrom="paragraph">
              <wp:posOffset>-908050</wp:posOffset>
            </wp:positionV>
            <wp:extent cx="12700" cy="8890"/>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5877560</wp:posOffset>
            </wp:positionH>
            <wp:positionV relativeFrom="paragraph">
              <wp:posOffset>-908050</wp:posOffset>
            </wp:positionV>
            <wp:extent cx="12700" cy="8890"/>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-908050</wp:posOffset>
            </wp:positionV>
            <wp:extent cx="12700" cy="8890"/>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62230</wp:posOffset>
            </wp:positionV>
            <wp:extent cx="535940" cy="21590"/>
            <wp:wrapNone/>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05">
                      <a:extLst>
                        <a:ext uri="{28A0092B-C50C-407E-A947-70E740481C1C}"/>
                      </a:extLst>
                    </a:blip>
                    <a:srcRect/>
                    <a:stretch>
                      <a:fillRect/>
                    </a:stretch>
                  </pic:blipFill>
                  <pic:spPr bwMode="auto">
                    <a:xfrm>
                      <a:off x="0" y="0"/>
                      <a:ext cx="535940" cy="21590"/>
                    </a:xfrm>
                    <a:prstGeom prst="rect">
                      <a:avLst/>
                    </a:prstGeom>
                    <a:noFill/>
                  </pic:spPr>
                </pic:pic>
              </a:graphicData>
            </a:graphic>
          </wp:anchor>
        </w:drawing>
      </w:r>
    </w:p>
    <w:p>
      <w:pPr>
        <w:spacing w:after="0" w:line="330" w:lineRule="exact"/>
        <w:rPr>
          <w:sz w:val="20"/>
          <w:szCs w:val="20"/>
          <w:color w:val="auto"/>
        </w:rPr>
      </w:pPr>
    </w:p>
    <w:p>
      <w:pPr>
        <w:ind w:left="540" w:hanging="532"/>
        <w:spacing w:after="0"/>
        <w:tabs>
          <w:tab w:leader="none" w:pos="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225" w:lineRule="exact"/>
        <w:rPr>
          <w:sz w:val="20"/>
          <w:szCs w:val="20"/>
          <w:color w:val="auto"/>
        </w:rPr>
      </w:pPr>
    </w:p>
    <w:p>
      <w:pPr>
        <w:ind w:right="640" w:firstLine="348"/>
        <w:spacing w:after="0" w:line="370" w:lineRule="auto"/>
        <w:rPr>
          <w:sz w:val="20"/>
          <w:szCs w:val="20"/>
          <w:color w:val="auto"/>
        </w:rPr>
      </w:pPr>
      <w:r>
        <w:rPr>
          <w:rFonts w:ascii="Arial" w:cs="Arial" w:eastAsia="Arial" w:hAnsi="Arial"/>
          <w:sz w:val="15"/>
          <w:szCs w:val="15"/>
          <w:color w:val="auto"/>
        </w:rPr>
        <w:t>The Company's accounts receivable were concentrated with three customers at January 31, 2005, representing 20%, 13% and 12% of gross accounts receivable, and were concentrated with four customers at January 31, 2004, representing 17%, 16%, 15% and 10% of gross accounts receivable.</w:t>
      </w:r>
    </w:p>
    <w:p>
      <w:pPr>
        <w:spacing w:after="0" w:line="116" w:lineRule="exact"/>
        <w:rPr>
          <w:sz w:val="20"/>
          <w:szCs w:val="20"/>
          <w:color w:val="auto"/>
        </w:rPr>
      </w:pPr>
    </w:p>
    <w:p>
      <w:pPr>
        <w:ind w:right="140" w:firstLine="351"/>
        <w:spacing w:after="0" w:line="256" w:lineRule="auto"/>
        <w:rPr>
          <w:sz w:val="20"/>
          <w:szCs w:val="20"/>
          <w:color w:val="auto"/>
        </w:rPr>
      </w:pPr>
      <w:r>
        <w:rPr>
          <w:rFonts w:ascii="Arial" w:cs="Arial" w:eastAsia="Arial" w:hAnsi="Arial"/>
          <w:sz w:val="18"/>
          <w:szCs w:val="18"/>
          <w:color w:val="auto"/>
        </w:rPr>
        <w:t>In fiscal 2005 and fiscal 2004, one distributor accounted for 13% and 11% of the Company's net revenue, respectively. This distributor also accounted for less than 10% and 12% of total accounts receivable as of January 31, 2005 and January 31, 2004, respectively. The Company continuously monitors the creditworthiness of its distributors and believes their sales to diverse end customers and to diverse geographies further serve to mitigate the Company's exposure to credit risk.</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225" w:lineRule="exact"/>
        <w:rPr>
          <w:sz w:val="20"/>
          <w:szCs w:val="20"/>
          <w:color w:val="auto"/>
        </w:rPr>
      </w:pPr>
    </w:p>
    <w:p>
      <w:pPr>
        <w:ind w:right="200" w:firstLine="348"/>
        <w:spacing w:after="0" w:line="254"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demand for the Company's products; the timely introduction of new products; implementation of new manufacturing technologies; manufacturing capacity; the ability to manufacture efficiently; the availability of materials and supplies; competition; the ability to safeguard patents and intellectual property in a rapidly evolving market; and reliance on assembly and wafer fabrication subcontractors and on independent distributors and sales representatives. As a result, the</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60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80" w:name="page81"/>
    <w:bookmarkEnd w:id="80"/>
    <w:p>
      <w:pPr>
        <w:spacing w:after="0"/>
        <w:rPr>
          <w:sz w:val="20"/>
          <w:szCs w:val="20"/>
          <w:color w:val="auto"/>
        </w:rPr>
      </w:pPr>
      <w:r>
        <w:rPr>
          <w:rFonts w:ascii="Arial" w:cs="Arial" w:eastAsia="Arial" w:hAnsi="Arial"/>
          <w:sz w:val="16"/>
          <w:szCs w:val="16"/>
          <w:color w:val="auto"/>
        </w:rPr>
        <w:t>Company may experience substantial period-to-period fluctuations in future operating results due to the factors mentioned above or other factors.</w:t>
      </w:r>
    </w:p>
    <w:p>
      <w:pPr>
        <w:spacing w:after="0" w:line="24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Inventory</w:t>
      </w:r>
    </w:p>
    <w:p>
      <w:pPr>
        <w:spacing w:after="0" w:line="225" w:lineRule="exact"/>
        <w:rPr>
          <w:sz w:val="20"/>
          <w:szCs w:val="20"/>
          <w:color w:val="auto"/>
        </w:rPr>
      </w:pPr>
    </w:p>
    <w:p>
      <w:pPr>
        <w:ind w:right="40" w:firstLine="351"/>
        <w:spacing w:after="0" w:line="291" w:lineRule="auto"/>
        <w:rPr>
          <w:sz w:val="20"/>
          <w:szCs w:val="20"/>
          <w:color w:val="auto"/>
        </w:rPr>
      </w:pPr>
      <w:r>
        <w:rPr>
          <w:rFonts w:ascii="Arial" w:cs="Arial" w:eastAsia="Arial" w:hAnsi="Arial"/>
          <w:sz w:val="16"/>
          <w:szCs w:val="16"/>
          <w:color w:val="auto"/>
        </w:rPr>
        <w:t>Inventory is stated at the lower of cost or market, cost being determined under the first-in, first-out method. The Company has taken adjustments to write-down the cost of obsolete and excess inventory to the estimated market value based on historical and forecasted demand for its products. If actual future demand for the Company's products is less than currently forecasted, additional inventory adjustments may be required. Once a reserve is established, it is maintained until the product to which it relates to is sold or otherwise disposed of. This treatment is in accordance with Accounting Research Bulletin 43 and Staff Accounting Bulletin 100 "Restructuring and Impairment Charges." The Company recorded charges for inventory obsolescence of $12.9 million, $1.0 million and $3.0 million, for fiscal 2005, 2004 and 2003, respectively.</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225"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30 years. Land is not depreciated. Assets held under capital leases and leasehold improvements are amortized over the shorter of term of the lease or their estimated useful lives.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Goodwill and Acquired Intangible Assets</w:t>
      </w:r>
    </w:p>
    <w:p>
      <w:pPr>
        <w:spacing w:after="0" w:line="225" w:lineRule="exact"/>
        <w:rPr>
          <w:sz w:val="20"/>
          <w:szCs w:val="20"/>
          <w:color w:val="auto"/>
        </w:rPr>
      </w:pPr>
    </w:p>
    <w:p>
      <w:pPr>
        <w:ind w:right="40" w:firstLine="351"/>
        <w:spacing w:after="0" w:line="259"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five years for purchased technology, two years for trade name and five and six years for customer contracts.</w:t>
      </w:r>
    </w:p>
    <w:p>
      <w:pPr>
        <w:spacing w:after="0" w:line="194"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we believe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The Company has not been required to perform this second step of the process since its implementation of SFAS 142 because the fair value of the reporting unit has exceeded its net book value at every measurement date.</w:t>
      </w:r>
    </w:p>
    <w:p>
      <w:pPr>
        <w:spacing w:after="0" w:line="17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See Note 5, "Goodwill and Purchased Intangible Assets," for detail of the activities in these accounts during fiscal 2005 and 2004.</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Long-Lived Assets</w:t>
      </w:r>
    </w:p>
    <w:p>
      <w:pPr>
        <w:spacing w:after="0" w:line="225" w:lineRule="exact"/>
        <w:rPr>
          <w:sz w:val="20"/>
          <w:szCs w:val="20"/>
          <w:color w:val="auto"/>
        </w:rPr>
      </w:pPr>
    </w:p>
    <w:p>
      <w:pPr>
        <w:ind w:right="580" w:firstLine="351"/>
        <w:spacing w:after="0" w:line="370" w:lineRule="auto"/>
        <w:rPr>
          <w:sz w:val="20"/>
          <w:szCs w:val="20"/>
          <w:color w:val="auto"/>
        </w:rPr>
      </w:pPr>
      <w:r>
        <w:rPr>
          <w:rFonts w:ascii="Arial" w:cs="Arial" w:eastAsia="Arial" w:hAnsi="Arial"/>
          <w:sz w:val="15"/>
          <w:szCs w:val="15"/>
          <w:color w:val="auto"/>
        </w:rPr>
        <w:t>Long-lived assets include equipment, furniture and fixtures, privately held equity investments and intangible assets. Whenever events or changes in circumstances indicate that the carrying amount of long-lived assets may not be recoverable, we estimate the future cash flows, undiscounted and without</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60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81" w:name="page82"/>
    <w:bookmarkEnd w:id="81"/>
    <w:p>
      <w:pPr>
        <w:ind w:right="500"/>
        <w:spacing w:after="0" w:line="332" w:lineRule="auto"/>
        <w:rPr>
          <w:sz w:val="20"/>
          <w:szCs w:val="20"/>
          <w:color w:val="auto"/>
        </w:rPr>
      </w:pPr>
      <w:r>
        <w:rPr>
          <w:rFonts w:ascii="Arial" w:cs="Arial" w:eastAsia="Arial" w:hAnsi="Arial"/>
          <w:sz w:val="16"/>
          <w:szCs w:val="16"/>
          <w:color w:val="auto"/>
        </w:rPr>
        <w:t>interest charges, expected to result from the use of those assets and their eventual cash position. If the sum of the expected future cash flows is less than the carrying amount of those assets, we recognize an impairment loss based on the excess of the carrying amount over the fair value of the assets.</w:t>
      </w:r>
    </w:p>
    <w:p>
      <w:pPr>
        <w:spacing w:after="0" w:line="139"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225" w:lineRule="exact"/>
        <w:rPr>
          <w:sz w:val="20"/>
          <w:szCs w:val="20"/>
          <w:color w:val="auto"/>
        </w:rPr>
      </w:pPr>
    </w:p>
    <w:p>
      <w:pPr>
        <w:ind w:right="100" w:firstLine="348"/>
        <w:spacing w:after="0" w:line="298" w:lineRule="auto"/>
        <w:rPr>
          <w:sz w:val="20"/>
          <w:szCs w:val="20"/>
          <w:color w:val="auto"/>
        </w:rPr>
      </w:pPr>
      <w:r>
        <w:rPr>
          <w:rFonts w:ascii="Arial" w:cs="Arial" w:eastAsia="Arial" w:hAnsi="Arial"/>
          <w:sz w:val="16"/>
          <w:szCs w:val="16"/>
          <w:color w:val="auto"/>
        </w:rPr>
        <w:t>The functional currency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2005, 2004 or 2003.</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Reclassifications</w:t>
      </w:r>
    </w:p>
    <w:p>
      <w:pPr>
        <w:spacing w:after="0" w:line="225" w:lineRule="exact"/>
        <w:rPr>
          <w:sz w:val="20"/>
          <w:szCs w:val="20"/>
          <w:color w:val="auto"/>
        </w:rPr>
      </w:pPr>
    </w:p>
    <w:p>
      <w:pPr>
        <w:jc w:val="both"/>
        <w:ind w:right="160" w:firstLine="351"/>
        <w:spacing w:after="0" w:line="259" w:lineRule="auto"/>
        <w:rPr>
          <w:sz w:val="20"/>
          <w:szCs w:val="20"/>
          <w:color w:val="auto"/>
        </w:rPr>
      </w:pPr>
      <w:r>
        <w:rPr>
          <w:rFonts w:ascii="Arial" w:cs="Arial" w:eastAsia="Arial" w:hAnsi="Arial"/>
          <w:sz w:val="18"/>
          <w:szCs w:val="18"/>
          <w:color w:val="auto"/>
        </w:rPr>
        <w:t>Certain items have been reclassified to be consistent with current presentation. The Company reclassified certain auction rate securities from cash and cash equivalents to short-term investments as of January 31, 2004 and for all prior periods presented (see Note 3). The reclassifications have no effect on previously disclosed net income (loss), shareholders' equity or operating cash flows.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25" w:lineRule="exact"/>
        <w:rPr>
          <w:sz w:val="20"/>
          <w:szCs w:val="20"/>
          <w:color w:val="auto"/>
        </w:rPr>
      </w:pPr>
    </w:p>
    <w:p>
      <w:pPr>
        <w:ind w:right="20" w:firstLine="348"/>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right="100" w:firstLine="348"/>
        <w:spacing w:after="0" w:line="294"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The Company recorded charges for sales returns and allowances on product sales of none, $400,000 and $805,000 in fiscal 2005, 2004 and 2003, respectively. Amounts written off against the sales return and allowance reserve aggregated $196,000, $193,000 and $79,000 in fiscal 2005, 2004 and 2003, respectively. The sales return and allowance reserve at January 31, 2005 and 2004 was $1.4 million and $1.6 million, respectively.</w:t>
      </w:r>
    </w:p>
    <w:p>
      <w:pPr>
        <w:spacing w:after="0" w:line="170"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proportionate performance of its development contracts based on an analysis of progress toward completion.</w:t>
      </w:r>
    </w:p>
    <w:p>
      <w:pPr>
        <w:spacing w:after="0" w:line="194" w:lineRule="exact"/>
        <w:rPr>
          <w:sz w:val="20"/>
          <w:szCs w:val="20"/>
          <w:color w:val="auto"/>
        </w:rPr>
      </w:pPr>
    </w:p>
    <w:p>
      <w:pPr>
        <w:jc w:val="both"/>
        <w:ind w:right="220" w:firstLine="351"/>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60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82" w:name="page83"/>
    <w:bookmarkEnd w:id="82"/>
    <w:p>
      <w:pPr>
        <w:ind w:right="80" w:firstLine="351"/>
        <w:spacing w:after="0" w:line="255" w:lineRule="auto"/>
        <w:rPr>
          <w:sz w:val="20"/>
          <w:szCs w:val="20"/>
          <w:color w:val="auto"/>
        </w:rPr>
      </w:pPr>
      <w:r>
        <w:rPr>
          <w:rFonts w:ascii="Arial" w:cs="Arial" w:eastAsia="Arial" w:hAnsi="Arial"/>
          <w:sz w:val="18"/>
          <w:szCs w:val="18"/>
          <w:color w:val="auto"/>
        </w:rPr>
        <w:t>In arrangements that include a combination of our hardware and our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Statement of Position ("SOP") 97-2, "Software Revenue Recognition," and related interpretations.</w:t>
      </w:r>
    </w:p>
    <w:p>
      <w:pPr>
        <w:spacing w:after="0" w:line="197" w:lineRule="exact"/>
        <w:rPr>
          <w:sz w:val="20"/>
          <w:szCs w:val="20"/>
          <w:color w:val="auto"/>
        </w:rPr>
      </w:pPr>
    </w:p>
    <w:p>
      <w:pPr>
        <w:ind w:right="40" w:firstLine="348"/>
        <w:spacing w:after="0" w:line="294" w:lineRule="auto"/>
        <w:rPr>
          <w:sz w:val="20"/>
          <w:szCs w:val="20"/>
          <w:color w:val="auto"/>
        </w:rPr>
      </w:pPr>
      <w:r>
        <w:rPr>
          <w:rFonts w:ascii="Arial" w:cs="Arial" w:eastAsia="Arial" w:hAnsi="Arial"/>
          <w:sz w:val="16"/>
          <w:szCs w:val="16"/>
          <w:color w:val="auto"/>
        </w:rPr>
        <w:t>The provisions of EITF Issue No. 00-21 "Accounting for Revenue Arrangements with Multiple Deliverables" apply to sales arrangements with multiple arrangements that include a combination of hardware, software and/or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Research and Development</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Research and development costs are expensed as incurred.</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Advertising Expenses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Advertising costs are expensed as incurred.</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25" w:lineRule="exact"/>
        <w:rPr>
          <w:sz w:val="20"/>
          <w:szCs w:val="20"/>
          <w:color w:val="auto"/>
        </w:rPr>
      </w:pPr>
    </w:p>
    <w:p>
      <w:pPr>
        <w:ind w:firstLine="348"/>
        <w:spacing w:after="0" w:line="286"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178" w:lineRule="exact"/>
        <w:rPr>
          <w:sz w:val="20"/>
          <w:szCs w:val="20"/>
          <w:color w:val="auto"/>
        </w:rPr>
      </w:pPr>
    </w:p>
    <w:p>
      <w:pPr>
        <w:ind w:right="240" w:firstLine="351"/>
        <w:spacing w:after="0" w:line="306" w:lineRule="auto"/>
        <w:rPr>
          <w:sz w:val="20"/>
          <w:szCs w:val="20"/>
          <w:color w:val="auto"/>
        </w:rPr>
      </w:pPr>
      <w:r>
        <w:rPr>
          <w:rFonts w:ascii="Arial" w:cs="Arial" w:eastAsia="Arial" w:hAnsi="Arial"/>
          <w:sz w:val="16"/>
          <w:szCs w:val="16"/>
          <w:color w:val="auto"/>
        </w:rPr>
        <w:t>During fiscal 2004, the Company recorded $7.6 million of deferred stock-based compensation related to the exchange of stock options with employees of companies acquired during fiscal 2004. During fiscal 2003, the Company recorded $5.4 million of deferred stock-based compensation relating to the grant of stock options to SysKonnect employees as a result of the acquisition of SysKonnect. Such deferred stock-</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60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83" w:name="page84"/>
    <w:bookmarkEnd w:id="83"/>
    <w:p>
      <w:pPr>
        <w:jc w:val="both"/>
        <w:spacing w:after="0" w:line="259" w:lineRule="auto"/>
        <w:rPr>
          <w:sz w:val="20"/>
          <w:szCs w:val="20"/>
          <w:color w:val="auto"/>
        </w:rPr>
      </w:pPr>
      <w:r>
        <w:rPr>
          <w:rFonts w:ascii="Arial" w:cs="Arial" w:eastAsia="Arial" w:hAnsi="Arial"/>
          <w:sz w:val="18"/>
          <w:szCs w:val="18"/>
          <w:color w:val="auto"/>
        </w:rPr>
        <w:t>based compensation is being amortized using an accelerated method over the remaining vesting periods of the options. Such deferred stock-based compensation is being amortized using an accelerated method over the remaining vesting periods of the options. No deferred stock-based compensation was recorded during fiscal 2005.</w:t>
      </w:r>
    </w:p>
    <w:p>
      <w:pPr>
        <w:spacing w:after="0" w:line="194" w:lineRule="exact"/>
        <w:rPr>
          <w:sz w:val="20"/>
          <w:szCs w:val="20"/>
          <w:color w:val="auto"/>
        </w:rPr>
      </w:pPr>
    </w:p>
    <w:p>
      <w:pPr>
        <w:ind w:right="420" w:firstLine="351"/>
        <w:spacing w:after="0" w:line="268" w:lineRule="auto"/>
        <w:rPr>
          <w:sz w:val="20"/>
          <w:szCs w:val="20"/>
          <w:color w:val="auto"/>
        </w:rPr>
      </w:pPr>
      <w:r>
        <w:rPr>
          <w:rFonts w:ascii="Arial" w:cs="Arial" w:eastAsia="Arial" w:hAnsi="Arial"/>
          <w:sz w:val="18"/>
          <w:szCs w:val="18"/>
          <w:color w:val="auto"/>
        </w:rPr>
        <w:t>During fiscal 2005, the Company recorded approximately $1.0 million of compensation expense resulting from the accelerated vesting of stock options previously granted to an employee.</w:t>
      </w:r>
    </w:p>
    <w:p>
      <w:pPr>
        <w:spacing w:after="0" w:line="186" w:lineRule="exact"/>
        <w:rPr>
          <w:sz w:val="20"/>
          <w:szCs w:val="20"/>
          <w:color w:val="auto"/>
        </w:rPr>
      </w:pPr>
    </w:p>
    <w:p>
      <w:pPr>
        <w:jc w:val="center"/>
        <w:ind w:right="160"/>
        <w:spacing w:after="0"/>
        <w:rPr>
          <w:sz w:val="20"/>
          <w:szCs w:val="20"/>
          <w:color w:val="auto"/>
        </w:rPr>
      </w:pPr>
      <w:r>
        <w:rPr>
          <w:rFonts w:ascii="Arial" w:cs="Arial" w:eastAsia="Arial" w:hAnsi="Arial"/>
          <w:sz w:val="16"/>
          <w:szCs w:val="16"/>
          <w:color w:val="auto"/>
        </w:rPr>
        <w:t>In accordance with the requirements of the disclosure-only alternative of SFAS 123, set forth below are pro forma statements of operations data of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Company giving effect to the valuation of stock-based awards to employees using the Black-Scholes option pricing model instead of the guidelines provided by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APB 25 (in thousands, except per share amounts):</w:t>
      </w:r>
    </w:p>
    <w:p>
      <w:pPr>
        <w:spacing w:after="0" w:line="214" w:lineRule="exact"/>
        <w:rPr>
          <w:sz w:val="20"/>
          <w:szCs w:val="20"/>
          <w:color w:val="auto"/>
        </w:rPr>
      </w:pPr>
    </w:p>
    <w:tbl>
      <w:tblPr>
        <w:tblLayout w:type="fixed"/>
        <w:tblInd w:w="9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720" w:type="dxa"/>
            <w:vAlign w:val="bottom"/>
            <w:gridSpan w:val="5"/>
          </w:tcPr>
          <w:p>
            <w:pPr>
              <w:jc w:val="right"/>
              <w:ind w:right="203"/>
              <w:spacing w:after="0"/>
              <w:rPr>
                <w:sz w:val="20"/>
                <w:szCs w:val="20"/>
                <w:color w:val="auto"/>
              </w:rPr>
            </w:pPr>
            <w:r>
              <w:rPr>
                <w:rFonts w:ascii="Arial" w:cs="Arial" w:eastAsia="Arial" w:hAnsi="Arial"/>
                <w:sz w:val="14"/>
                <w:szCs w:val="14"/>
                <w:b w:val="1"/>
                <w:bCs w:val="1"/>
                <w:color w:val="auto"/>
                <w:w w:val="85"/>
              </w:rPr>
              <w:t>Years Ended January 31,</w:t>
            </w:r>
          </w:p>
        </w:tc>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52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80" w:type="dxa"/>
            <w:vAlign w:val="bottom"/>
          </w:tcPr>
          <w:p>
            <w:pPr>
              <w:jc w:val="right"/>
              <w:ind w:right="414"/>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20" w:type="dxa"/>
            <w:vAlign w:val="bottom"/>
          </w:tcPr>
          <w:p>
            <w:pPr>
              <w:jc w:val="right"/>
              <w:ind w:right="314"/>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80" w:type="dxa"/>
            <w:vAlign w:val="bottom"/>
          </w:tcPr>
          <w:p>
            <w:pPr>
              <w:jc w:val="right"/>
              <w:ind w:right="414"/>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141,661</w:t>
            </w:r>
          </w:p>
        </w:tc>
        <w:tc>
          <w:tcPr>
            <w:tcW w:w="4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45,510</w:t>
            </w:r>
          </w:p>
        </w:tc>
        <w:tc>
          <w:tcPr>
            <w:tcW w:w="200" w:type="dxa"/>
            <w:vAlign w:val="bottom"/>
          </w:tcPr>
          <w:p>
            <w:pPr>
              <w:spacing w:after="0"/>
              <w:rPr>
                <w:sz w:val="18"/>
                <w:szCs w:val="18"/>
                <w:color w:val="auto"/>
              </w:rPr>
            </w:pP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(72,174)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w w:val="92"/>
              </w:rPr>
              <w:t>Stock-based employee compensation expense included in reported net</w:t>
            </w: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00" w:type="dxa"/>
            <w:vAlign w:val="bottom"/>
            <w:gridSpan w:val="2"/>
          </w:tcPr>
          <w:p>
            <w:pPr>
              <w:spacing w:after="0"/>
              <w:rPr>
                <w:sz w:val="20"/>
                <w:szCs w:val="20"/>
                <w:color w:val="auto"/>
              </w:rPr>
            </w:pPr>
            <w:r>
              <w:rPr>
                <w:rFonts w:ascii="Arial" w:cs="Arial" w:eastAsia="Arial" w:hAnsi="Arial"/>
                <w:sz w:val="18"/>
                <w:szCs w:val="18"/>
                <w:color w:val="auto"/>
              </w:rPr>
              <w:t>loss, net of tax effects</w:t>
            </w: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4,991</w:t>
            </w:r>
          </w:p>
        </w:tc>
        <w:tc>
          <w:tcPr>
            <w:tcW w:w="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4,943</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7,491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w w:val="95"/>
              </w:rPr>
              <w:t>Stock-based employee compensation expense determined under fair</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value based method for all awards, net of tax effects</w:t>
            </w:r>
          </w:p>
        </w:tc>
        <w:tc>
          <w:tcPr>
            <w:tcW w:w="280" w:type="dxa"/>
            <w:vAlign w:val="bottom"/>
            <w:shd w:val="clear" w:color="auto" w:fill="CCEEFF"/>
          </w:tcPr>
          <w:p>
            <w:pPr>
              <w:spacing w:after="0"/>
              <w:rPr>
                <w:sz w:val="19"/>
                <w:szCs w:val="19"/>
                <w:color w:val="auto"/>
              </w:rPr>
            </w:pPr>
          </w:p>
        </w:tc>
        <w:tc>
          <w:tcPr>
            <w:tcW w:w="1160" w:type="dxa"/>
            <w:vAlign w:val="bottom"/>
            <w:gridSpan w:val="2"/>
            <w:shd w:val="clear" w:color="auto" w:fill="CCEEFF"/>
          </w:tcPr>
          <w:p>
            <w:pPr>
              <w:jc w:val="right"/>
              <w:ind w:right="55"/>
              <w:spacing w:after="0"/>
              <w:rPr>
                <w:sz w:val="20"/>
                <w:szCs w:val="20"/>
                <w:color w:val="auto"/>
              </w:rPr>
            </w:pPr>
            <w:r>
              <w:rPr>
                <w:rFonts w:ascii="Arial" w:cs="Arial" w:eastAsia="Arial" w:hAnsi="Arial"/>
                <w:sz w:val="18"/>
                <w:szCs w:val="18"/>
                <w:color w:val="auto"/>
              </w:rPr>
              <w:t>(133,573)</w:t>
            </w:r>
          </w:p>
        </w:tc>
        <w:tc>
          <w:tcPr>
            <w:tcW w:w="24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(84,736)</w:t>
            </w:r>
          </w:p>
        </w:tc>
        <w:tc>
          <w:tcPr>
            <w:tcW w:w="28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(78,663)</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528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280" w:type="dxa"/>
            <w:vAlign w:val="bottom"/>
          </w:tcPr>
          <w:p>
            <w:pPr>
              <w:ind w:left="160"/>
              <w:spacing w:after="0"/>
              <w:rPr>
                <w:sz w:val="20"/>
                <w:szCs w:val="20"/>
                <w:color w:val="auto"/>
              </w:rPr>
            </w:pPr>
            <w:r>
              <w:rPr>
                <w:rFonts w:ascii="Arial" w:cs="Arial" w:eastAsia="Arial" w:hAnsi="Arial"/>
                <w:sz w:val="18"/>
                <w:szCs w:val="18"/>
                <w:color w:val="auto"/>
              </w:rPr>
              <w:t>Pro forma</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13,079</w:t>
            </w:r>
          </w:p>
        </w:tc>
        <w:tc>
          <w:tcPr>
            <w:tcW w:w="4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(34,283)</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(143,346)</w:t>
            </w:r>
          </w:p>
        </w:tc>
        <w:tc>
          <w:tcPr>
            <w:tcW w:w="0" w:type="dxa"/>
            <w:vAlign w:val="bottom"/>
          </w:tcPr>
          <w:p>
            <w:pPr>
              <w:spacing w:after="0"/>
              <w:rPr>
                <w:sz w:val="1"/>
                <w:szCs w:val="1"/>
                <w:color w:val="auto"/>
              </w:rPr>
            </w:pPr>
          </w:p>
        </w:tc>
      </w:tr>
      <w:tr>
        <w:trPr>
          <w:trHeight w:val="107"/>
        </w:trPr>
        <w:tc>
          <w:tcPr>
            <w:tcW w:w="530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8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0.53</w:t>
            </w:r>
          </w:p>
        </w:tc>
        <w:tc>
          <w:tcPr>
            <w:tcW w:w="4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0.18</w:t>
            </w:r>
          </w:p>
        </w:tc>
        <w:tc>
          <w:tcPr>
            <w:tcW w:w="200" w:type="dxa"/>
            <w:vAlign w:val="bottom"/>
          </w:tcPr>
          <w:p>
            <w:pPr>
              <w:spacing w:after="0"/>
              <w:rPr>
                <w:sz w:val="18"/>
                <w:szCs w:val="18"/>
                <w:color w:val="auto"/>
              </w:rPr>
            </w:pP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 forma</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(0.14)</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0.47</w:t>
            </w:r>
          </w:p>
        </w:tc>
        <w:tc>
          <w:tcPr>
            <w:tcW w:w="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80" w:type="dxa"/>
            <w:vAlign w:val="bottom"/>
          </w:tcPr>
          <w:p>
            <w:pPr>
              <w:ind w:left="160"/>
              <w:spacing w:after="0"/>
              <w:rPr>
                <w:sz w:val="20"/>
                <w:szCs w:val="20"/>
                <w:color w:val="auto"/>
              </w:rPr>
            </w:pPr>
            <w:r>
              <w:rPr>
                <w:rFonts w:ascii="Arial" w:cs="Arial" w:eastAsia="Arial" w:hAnsi="Arial"/>
                <w:sz w:val="18"/>
                <w:szCs w:val="18"/>
                <w:color w:val="auto"/>
              </w:rPr>
              <w:t>Pro forma</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0.05</w:t>
            </w:r>
          </w:p>
        </w:tc>
        <w:tc>
          <w:tcPr>
            <w:tcW w:w="4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(0.14)</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(0.60)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6494780</wp:posOffset>
            </wp:positionH>
            <wp:positionV relativeFrom="paragraph">
              <wp:posOffset>-2717800</wp:posOffset>
            </wp:positionV>
            <wp:extent cx="12700" cy="8890"/>
            <wp:wrapNone/>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6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3982085</wp:posOffset>
            </wp:positionH>
            <wp:positionV relativeFrom="paragraph">
              <wp:posOffset>-2717800</wp:posOffset>
            </wp:positionV>
            <wp:extent cx="12700" cy="8890"/>
            <wp:wrapNone/>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6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-2468880</wp:posOffset>
            </wp:positionV>
            <wp:extent cx="12700" cy="8890"/>
            <wp:wrapNone/>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6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3982085</wp:posOffset>
            </wp:positionH>
            <wp:positionV relativeFrom="paragraph">
              <wp:posOffset>-2468880</wp:posOffset>
            </wp:positionV>
            <wp:extent cx="12700" cy="8890"/>
            <wp:wrapNone/>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6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-2468880</wp:posOffset>
            </wp:positionV>
            <wp:extent cx="12700" cy="8890"/>
            <wp:wrapNone/>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6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4899660</wp:posOffset>
            </wp:positionH>
            <wp:positionV relativeFrom="paragraph">
              <wp:posOffset>-2468880</wp:posOffset>
            </wp:positionV>
            <wp:extent cx="12700" cy="8890"/>
            <wp:wrapNone/>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6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-2468880</wp:posOffset>
            </wp:positionV>
            <wp:extent cx="12700" cy="8890"/>
            <wp:wrapNone/>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6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-2468880</wp:posOffset>
            </wp:positionV>
            <wp:extent cx="12700" cy="8890"/>
            <wp:wrapNone/>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6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-1353820</wp:posOffset>
            </wp:positionV>
            <wp:extent cx="12700" cy="8890"/>
            <wp:wrapNone/>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6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3982085</wp:posOffset>
            </wp:positionH>
            <wp:positionV relativeFrom="paragraph">
              <wp:posOffset>-1353820</wp:posOffset>
            </wp:positionV>
            <wp:extent cx="12700" cy="8890"/>
            <wp:wrapNone/>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6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-1353820</wp:posOffset>
            </wp:positionV>
            <wp:extent cx="12700" cy="8890"/>
            <wp:wrapNone/>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6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4899660</wp:posOffset>
            </wp:positionH>
            <wp:positionV relativeFrom="paragraph">
              <wp:posOffset>-1353820</wp:posOffset>
            </wp:positionV>
            <wp:extent cx="12700" cy="8890"/>
            <wp:wrapNone/>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6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-1353820</wp:posOffset>
            </wp:positionV>
            <wp:extent cx="12700" cy="8890"/>
            <wp:wrapNone/>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6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-1353820</wp:posOffset>
            </wp:positionV>
            <wp:extent cx="12700" cy="8890"/>
            <wp:wrapNone/>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6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51"/>
        <w:spacing w:after="0" w:line="294" w:lineRule="auto"/>
        <w:rPr>
          <w:sz w:val="20"/>
          <w:szCs w:val="20"/>
          <w:color w:val="auto"/>
        </w:rPr>
      </w:pPr>
      <w:r>
        <w:rPr>
          <w:rFonts w:ascii="Arial" w:cs="Arial" w:eastAsia="Arial" w:hAnsi="Arial"/>
          <w:sz w:val="16"/>
          <w:szCs w:val="16"/>
          <w:color w:val="auto"/>
        </w:rPr>
        <w:t>For the purpose of the above SFAS 123 pro forma disclosure, the fair value of each stock option granted prior to the Company's initial public offering in June 2000 was estimated on the date of grant using the minimum value method, which does not consider stock price volatility, as prescribed by SFAS 123. Stock options granted subsequent to the Company's initial public offering have been valued using the Black-Scholes option pricing model. Among other things, the Black-Scholes model considers the expected volatility of the Company's stock price in arriving at an option valuation. The following table summarizes the estimated fair value of options granted and additional assumptions used in the SFAS 123 calculations:</w:t>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980" w:type="dxa"/>
            <w:vAlign w:val="bottom"/>
          </w:tcPr>
          <w:p>
            <w:pPr>
              <w:spacing w:after="0"/>
              <w:rPr>
                <w:sz w:val="15"/>
                <w:szCs w:val="15"/>
                <w:color w:val="auto"/>
              </w:rPr>
            </w:pPr>
          </w:p>
        </w:tc>
        <w:tc>
          <w:tcPr>
            <w:tcW w:w="2820" w:type="dxa"/>
            <w:vAlign w:val="bottom"/>
          </w:tcPr>
          <w:p>
            <w:pPr>
              <w:spacing w:after="0"/>
              <w:rPr>
                <w:sz w:val="15"/>
                <w:szCs w:val="15"/>
                <w:color w:val="auto"/>
              </w:rPr>
            </w:pPr>
          </w:p>
        </w:tc>
        <w:tc>
          <w:tcPr>
            <w:tcW w:w="242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rPr>
              <w:t>Stock Option Plans</w:t>
            </w:r>
          </w:p>
        </w:tc>
        <w:tc>
          <w:tcPr>
            <w:tcW w:w="6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380" w:type="dxa"/>
            <w:vAlign w:val="bottom"/>
            <w:gridSpan w:val="2"/>
          </w:tcPr>
          <w:p>
            <w:pPr>
              <w:ind w:left="40"/>
              <w:spacing w:after="0"/>
              <w:rPr>
                <w:sz w:val="20"/>
                <w:szCs w:val="20"/>
                <w:color w:val="auto"/>
              </w:rPr>
            </w:pPr>
            <w:r>
              <w:rPr>
                <w:rFonts w:ascii="Arial" w:cs="Arial" w:eastAsia="Arial" w:hAnsi="Arial"/>
                <w:sz w:val="14"/>
                <w:szCs w:val="14"/>
                <w:b w:val="1"/>
                <w:bCs w:val="1"/>
                <w:color w:val="auto"/>
                <w:w w:val="85"/>
              </w:rPr>
              <w:t>ESPP</w:t>
            </w:r>
          </w:p>
        </w:tc>
        <w:tc>
          <w:tcPr>
            <w:tcW w:w="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98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980" w:type="dxa"/>
            <w:vAlign w:val="bottom"/>
          </w:tcPr>
          <w:p>
            <w:pPr>
              <w:spacing w:after="0"/>
              <w:rPr>
                <w:sz w:val="23"/>
                <w:szCs w:val="23"/>
                <w:color w:val="auto"/>
              </w:rPr>
            </w:pPr>
          </w:p>
        </w:tc>
        <w:tc>
          <w:tcPr>
            <w:tcW w:w="2820" w:type="dxa"/>
            <w:vAlign w:val="bottom"/>
          </w:tcPr>
          <w:p>
            <w:pPr>
              <w:spacing w:after="0"/>
              <w:rPr>
                <w:sz w:val="23"/>
                <w:szCs w:val="23"/>
                <w:color w:val="auto"/>
              </w:rPr>
            </w:pPr>
          </w:p>
        </w:tc>
        <w:tc>
          <w:tcPr>
            <w:tcW w:w="1280" w:type="dxa"/>
            <w:vAlign w:val="bottom"/>
          </w:tcPr>
          <w:p>
            <w:pPr>
              <w:jc w:val="right"/>
              <w:ind w:right="418"/>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23"/>
                <w:szCs w:val="23"/>
                <w:color w:val="auto"/>
              </w:rPr>
            </w:pPr>
          </w:p>
        </w:tc>
        <w:tc>
          <w:tcPr>
            <w:tcW w:w="780" w:type="dxa"/>
            <w:vAlign w:val="bottom"/>
          </w:tcPr>
          <w:p>
            <w:pPr>
              <w:jc w:val="right"/>
              <w:ind w:right="175"/>
              <w:spacing w:after="0"/>
              <w:rPr>
                <w:sz w:val="20"/>
                <w:szCs w:val="20"/>
                <w:color w:val="auto"/>
              </w:rPr>
            </w:pPr>
            <w:r>
              <w:rPr>
                <w:rFonts w:ascii="Arial" w:cs="Arial" w:eastAsia="Arial" w:hAnsi="Arial"/>
                <w:sz w:val="14"/>
                <w:szCs w:val="14"/>
                <w:b w:val="1"/>
                <w:bCs w:val="1"/>
                <w:color w:val="auto"/>
              </w:rPr>
              <w:t>2004</w:t>
            </w:r>
          </w:p>
        </w:tc>
        <w:tc>
          <w:tcPr>
            <w:tcW w:w="180" w:type="dxa"/>
            <w:vAlign w:val="bottom"/>
          </w:tcPr>
          <w:p>
            <w:pPr>
              <w:spacing w:after="0"/>
              <w:rPr>
                <w:sz w:val="23"/>
                <w:szCs w:val="23"/>
                <w:color w:val="auto"/>
              </w:rPr>
            </w:pPr>
          </w:p>
        </w:tc>
        <w:tc>
          <w:tcPr>
            <w:tcW w:w="680" w:type="dxa"/>
            <w:vAlign w:val="bottom"/>
          </w:tcPr>
          <w:p>
            <w:pPr>
              <w:jc w:val="right"/>
              <w:ind w:right="116"/>
              <w:spacing w:after="0"/>
              <w:rPr>
                <w:sz w:val="20"/>
                <w:szCs w:val="20"/>
                <w:color w:val="auto"/>
              </w:rPr>
            </w:pPr>
            <w:r>
              <w:rPr>
                <w:rFonts w:ascii="Arial" w:cs="Arial" w:eastAsia="Arial" w:hAnsi="Arial"/>
                <w:sz w:val="14"/>
                <w:szCs w:val="14"/>
                <w:b w:val="1"/>
                <w:bCs w:val="1"/>
                <w:color w:val="auto"/>
              </w:rPr>
              <w:t>2003</w:t>
            </w:r>
          </w:p>
        </w:tc>
        <w:tc>
          <w:tcPr>
            <w:tcW w:w="180" w:type="dxa"/>
            <w:vAlign w:val="bottom"/>
          </w:tcPr>
          <w:p>
            <w:pPr>
              <w:spacing w:after="0"/>
              <w:rPr>
                <w:sz w:val="23"/>
                <w:szCs w:val="23"/>
                <w:color w:val="auto"/>
              </w:rPr>
            </w:pPr>
          </w:p>
        </w:tc>
        <w:tc>
          <w:tcPr>
            <w:tcW w:w="1380" w:type="dxa"/>
            <w:vAlign w:val="bottom"/>
          </w:tcPr>
          <w:p>
            <w:pPr>
              <w:jc w:val="right"/>
              <w:ind w:right="476"/>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500" w:type="dxa"/>
            <w:vAlign w:val="bottom"/>
          </w:tcPr>
          <w:p>
            <w:pPr>
              <w:jc w:val="right"/>
              <w:ind w:right="116"/>
              <w:spacing w:after="0"/>
              <w:rPr>
                <w:sz w:val="20"/>
                <w:szCs w:val="20"/>
                <w:color w:val="auto"/>
              </w:rPr>
            </w:pPr>
            <w:r>
              <w:rPr>
                <w:rFonts w:ascii="Arial" w:cs="Arial" w:eastAsia="Arial" w:hAnsi="Arial"/>
                <w:sz w:val="14"/>
                <w:szCs w:val="14"/>
                <w:b w:val="1"/>
                <w:bCs w:val="1"/>
                <w:color w:val="auto"/>
                <w:w w:val="89"/>
              </w:rPr>
              <w:t>2004</w:t>
            </w:r>
          </w:p>
        </w:tc>
        <w:tc>
          <w:tcPr>
            <w:tcW w:w="180" w:type="dxa"/>
            <w:vAlign w:val="bottom"/>
          </w:tcPr>
          <w:p>
            <w:pPr>
              <w:spacing w:after="0"/>
              <w:rPr>
                <w:sz w:val="23"/>
                <w:szCs w:val="23"/>
                <w:color w:val="auto"/>
              </w:rPr>
            </w:pPr>
          </w:p>
        </w:tc>
        <w:tc>
          <w:tcPr>
            <w:tcW w:w="720" w:type="dxa"/>
            <w:vAlign w:val="bottom"/>
          </w:tcPr>
          <w:p>
            <w:pPr>
              <w:jc w:val="right"/>
              <w:ind w:right="136"/>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98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980" w:type="dxa"/>
            <w:vAlign w:val="bottom"/>
            <w:vMerge w:val="restart"/>
          </w:tcPr>
          <w:p>
            <w:pPr>
              <w:spacing w:after="0"/>
              <w:rPr>
                <w:sz w:val="9"/>
                <w:szCs w:val="9"/>
                <w:color w:val="auto"/>
              </w:rPr>
            </w:pPr>
          </w:p>
        </w:tc>
        <w:tc>
          <w:tcPr>
            <w:tcW w:w="282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980" w:type="dxa"/>
            <w:vAlign w:val="bottom"/>
            <w:vMerge w:val="continue"/>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$16.47</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$10.45</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$7.23</w:t>
            </w:r>
          </w:p>
        </w:tc>
        <w:tc>
          <w:tcPr>
            <w:tcW w:w="158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$12.23</w:t>
            </w: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$6.43</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w:t>
            </w:r>
          </w:p>
        </w:tc>
        <w:tc>
          <w:tcPr>
            <w:tcW w:w="200" w:type="dxa"/>
            <w:vAlign w:val="bottom"/>
            <w:shd w:val="clear" w:color="auto" w:fill="CCEEFF"/>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2820" w:type="dxa"/>
            <w:vAlign w:val="bottom"/>
          </w:tcPr>
          <w:p>
            <w:pPr>
              <w:spacing w:after="0"/>
              <w:rPr>
                <w:sz w:val="20"/>
                <w:szCs w:val="20"/>
                <w:color w:val="auto"/>
              </w:rPr>
            </w:pPr>
            <w:r>
              <w:rPr>
                <w:rFonts w:ascii="Arial" w:cs="Arial" w:eastAsia="Arial" w:hAnsi="Arial"/>
                <w:sz w:val="18"/>
                <w:szCs w:val="18"/>
                <w:color w:val="auto"/>
              </w:rPr>
              <w:t>Volatility</w:t>
            </w:r>
          </w:p>
        </w:tc>
        <w:tc>
          <w:tcPr>
            <w:tcW w:w="1460" w:type="dxa"/>
            <w:vAlign w:val="bottom"/>
            <w:gridSpan w:val="2"/>
          </w:tcPr>
          <w:p>
            <w:pPr>
              <w:jc w:val="right"/>
              <w:ind w:right="40"/>
              <w:spacing w:after="0"/>
              <w:rPr>
                <w:sz w:val="20"/>
                <w:szCs w:val="20"/>
                <w:color w:val="auto"/>
              </w:rPr>
            </w:pPr>
            <w:r>
              <w:rPr>
                <w:rFonts w:ascii="Arial" w:cs="Arial" w:eastAsia="Arial" w:hAnsi="Arial"/>
                <w:sz w:val="18"/>
                <w:szCs w:val="18"/>
                <w:color w:val="auto"/>
              </w:rPr>
              <w:t>81% - 115%</w:t>
            </w: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95%</w:t>
            </w: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89%</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110% - 112%</w:t>
            </w:r>
          </w:p>
        </w:tc>
        <w:tc>
          <w:tcPr>
            <w:tcW w:w="18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95%</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89%</w:t>
            </w: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4.0</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4.4</w:t>
            </w:r>
          </w:p>
        </w:tc>
        <w:tc>
          <w:tcPr>
            <w:tcW w:w="158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1.3</w:t>
            </w: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1.5</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200" w:type="dxa"/>
            <w:vAlign w:val="bottom"/>
            <w:shd w:val="clear" w:color="auto" w:fill="CCEEFF"/>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282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460" w:type="dxa"/>
            <w:vAlign w:val="bottom"/>
            <w:gridSpan w:val="2"/>
          </w:tcPr>
          <w:p>
            <w:pPr>
              <w:jc w:val="right"/>
              <w:ind w:right="40"/>
              <w:spacing w:after="0"/>
              <w:rPr>
                <w:sz w:val="20"/>
                <w:szCs w:val="20"/>
                <w:color w:val="auto"/>
              </w:rPr>
            </w:pPr>
            <w:r>
              <w:rPr>
                <w:rFonts w:ascii="Arial" w:cs="Arial" w:eastAsia="Arial" w:hAnsi="Arial"/>
                <w:sz w:val="18"/>
                <w:szCs w:val="18"/>
                <w:color w:val="auto"/>
              </w:rPr>
              <w:t>3.4%</w:t>
            </w: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2.7%</w:t>
            </w: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3.6%</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18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1.3%</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w:t>
            </w: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282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76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98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jc w:val="right"/>
              <w:ind w:right="155"/>
              <w:spacing w:after="0"/>
              <w:rPr>
                <w:sz w:val="20"/>
                <w:szCs w:val="20"/>
                <w:color w:val="auto"/>
              </w:rPr>
            </w:pPr>
            <w:r>
              <w:rPr>
                <w:rFonts w:ascii="Arial" w:cs="Arial" w:eastAsia="Arial" w:hAnsi="Arial"/>
                <w:sz w:val="18"/>
                <w:szCs w:val="18"/>
                <w:color w:val="auto"/>
              </w:rPr>
              <w:t>83</w:t>
            </w: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980" w:type="dxa"/>
            <w:vAlign w:val="bottom"/>
            <w:tcBorders>
              <w:bottom w:val="single" w:sz="8" w:color="808080"/>
            </w:tcBorders>
          </w:tcPr>
          <w:p>
            <w:pPr>
              <w:spacing w:after="0"/>
              <w:rPr>
                <w:sz w:val="19"/>
                <w:szCs w:val="19"/>
                <w:color w:val="auto"/>
              </w:rPr>
            </w:pPr>
          </w:p>
        </w:tc>
        <w:tc>
          <w:tcPr>
            <w:tcW w:w="2820" w:type="dxa"/>
            <w:vAlign w:val="bottom"/>
            <w:tcBorders>
              <w:bottom w:val="single" w:sz="8" w:color="808080"/>
            </w:tcBorders>
          </w:tcPr>
          <w:p>
            <w:pPr>
              <w:spacing w:after="0"/>
              <w:rPr>
                <w:sz w:val="19"/>
                <w:szCs w:val="19"/>
                <w:color w:val="auto"/>
              </w:rPr>
            </w:pPr>
          </w:p>
        </w:tc>
        <w:tc>
          <w:tcPr>
            <w:tcW w:w="12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7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6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13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7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4368165</wp:posOffset>
            </wp:positionH>
            <wp:positionV relativeFrom="paragraph">
              <wp:posOffset>-1446530</wp:posOffset>
            </wp:positionV>
            <wp:extent cx="12700" cy="8890"/>
            <wp:wrapNone/>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6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2413000</wp:posOffset>
            </wp:positionH>
            <wp:positionV relativeFrom="paragraph">
              <wp:posOffset>-1446530</wp:posOffset>
            </wp:positionV>
            <wp:extent cx="12700" cy="8890"/>
            <wp:wrapNone/>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6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6486525</wp:posOffset>
            </wp:positionH>
            <wp:positionV relativeFrom="paragraph">
              <wp:posOffset>-1446530</wp:posOffset>
            </wp:positionV>
            <wp:extent cx="12700" cy="8890"/>
            <wp:wrapNone/>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6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-1446530</wp:posOffset>
            </wp:positionV>
            <wp:extent cx="12700" cy="8890"/>
            <wp:wrapNone/>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6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3210560</wp:posOffset>
            </wp:positionH>
            <wp:positionV relativeFrom="paragraph">
              <wp:posOffset>-1197610</wp:posOffset>
            </wp:positionV>
            <wp:extent cx="12700" cy="8890"/>
            <wp:wrapNone/>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6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2413000</wp:posOffset>
            </wp:positionH>
            <wp:positionV relativeFrom="paragraph">
              <wp:posOffset>-1197610</wp:posOffset>
            </wp:positionV>
            <wp:extent cx="12700" cy="8890"/>
            <wp:wrapNone/>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6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3819525</wp:posOffset>
            </wp:positionH>
            <wp:positionV relativeFrom="paragraph">
              <wp:posOffset>-1197610</wp:posOffset>
            </wp:positionV>
            <wp:extent cx="12700" cy="8890"/>
            <wp:wrapNone/>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6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3338830</wp:posOffset>
            </wp:positionH>
            <wp:positionV relativeFrom="paragraph">
              <wp:posOffset>-1197610</wp:posOffset>
            </wp:positionV>
            <wp:extent cx="12700" cy="8890"/>
            <wp:wrapNone/>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6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4368165</wp:posOffset>
            </wp:positionH>
            <wp:positionV relativeFrom="paragraph">
              <wp:posOffset>-1197610</wp:posOffset>
            </wp:positionV>
            <wp:extent cx="12700" cy="8890"/>
            <wp:wrapNone/>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6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-1197610</wp:posOffset>
            </wp:positionV>
            <wp:extent cx="12700" cy="8890"/>
            <wp:wrapNone/>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6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-1197610</wp:posOffset>
            </wp:positionV>
            <wp:extent cx="12700" cy="8890"/>
            <wp:wrapNone/>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6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-1197610</wp:posOffset>
            </wp:positionV>
            <wp:extent cx="12700" cy="8890"/>
            <wp:wrapNone/>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6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5920105</wp:posOffset>
            </wp:positionH>
            <wp:positionV relativeFrom="paragraph">
              <wp:posOffset>-1197610</wp:posOffset>
            </wp:positionV>
            <wp:extent cx="12700" cy="8890"/>
            <wp:wrapNone/>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6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5491480</wp:posOffset>
            </wp:positionH>
            <wp:positionV relativeFrom="paragraph">
              <wp:posOffset>-1197610</wp:posOffset>
            </wp:positionV>
            <wp:extent cx="12700" cy="8890"/>
            <wp:wrapNone/>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6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6486525</wp:posOffset>
            </wp:positionH>
            <wp:positionV relativeFrom="paragraph">
              <wp:posOffset>-1197610</wp:posOffset>
            </wp:positionV>
            <wp:extent cx="12700" cy="8890"/>
            <wp:wrapNone/>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6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-1197610</wp:posOffset>
            </wp:positionV>
            <wp:extent cx="12700" cy="8890"/>
            <wp:wrapNone/>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6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6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6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84" w:name="page85"/>
    <w:bookmarkEnd w:id="84"/>
    <w:p>
      <w:pPr>
        <w:ind w:left="54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225" w:lineRule="exact"/>
        <w:rPr>
          <w:sz w:val="20"/>
          <w:szCs w:val="20"/>
          <w:color w:val="auto"/>
        </w:rPr>
      </w:pPr>
    </w:p>
    <w:p>
      <w:pPr>
        <w:ind w:right="300" w:firstLine="351"/>
        <w:spacing w:after="0" w:line="306" w:lineRule="auto"/>
        <w:rPr>
          <w:sz w:val="20"/>
          <w:szCs w:val="20"/>
          <w:color w:val="auto"/>
        </w:rPr>
      </w:pPr>
      <w:r>
        <w:rPr>
          <w:rFonts w:ascii="Arial" w:cs="Arial" w:eastAsia="Arial" w:hAnsi="Arial"/>
          <w:sz w:val="16"/>
          <w:szCs w:val="16"/>
          <w:color w:val="auto"/>
        </w:rPr>
        <w:t>For the years ended January 31, 2005, 2004 and 2003, comprehensive income (loss) is comprised of net income (loss) and unrealized gains and losses on available-for-sale securities, net of tax. For the years ended January 31, 2005, 2004 and 2003, $2.6 million, $1.3 million and $1.6 million respectively of net unrealized gains were reclassified as realized gains and recognized in the accompanying statement of operations upon the sale of the related securities.</w:t>
      </w:r>
    </w:p>
    <w:p>
      <w:pPr>
        <w:spacing w:after="0" w:line="161" w:lineRule="exact"/>
        <w:rPr>
          <w:sz w:val="20"/>
          <w:szCs w:val="20"/>
          <w:color w:val="auto"/>
        </w:rPr>
      </w:pPr>
    </w:p>
    <w:p>
      <w:pPr>
        <w:ind w:right="80" w:firstLine="341"/>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net of tax.</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225" w:lineRule="exact"/>
        <w:rPr>
          <w:sz w:val="20"/>
          <w:szCs w:val="20"/>
          <w:color w:val="auto"/>
        </w:rPr>
      </w:pPr>
    </w:p>
    <w:p>
      <w:pPr>
        <w:ind w:right="20" w:firstLine="348"/>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92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8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w w:val="86"/>
              </w:rPr>
              <w:t>Years Ended January 31,</w:t>
            </w:r>
          </w:p>
        </w:tc>
        <w:tc>
          <w:tcPr>
            <w:tcW w:w="2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920" w:type="dxa"/>
            <w:vAlign w:val="bottom"/>
          </w:tcPr>
          <w:p>
            <w:pPr>
              <w:spacing w:after="0"/>
              <w:rPr>
                <w:sz w:val="23"/>
                <w:szCs w:val="23"/>
                <w:color w:val="auto"/>
              </w:rPr>
            </w:pPr>
          </w:p>
        </w:tc>
        <w:tc>
          <w:tcPr>
            <w:tcW w:w="428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880" w:type="dxa"/>
            <w:vAlign w:val="bottom"/>
          </w:tcPr>
          <w:p>
            <w:pPr>
              <w:jc w:val="right"/>
              <w:ind w:right="354"/>
              <w:spacing w:after="0"/>
              <w:rPr>
                <w:sz w:val="20"/>
                <w:szCs w:val="20"/>
                <w:color w:val="auto"/>
              </w:rPr>
            </w:pPr>
            <w:r>
              <w:rPr>
                <w:rFonts w:ascii="Arial" w:cs="Arial" w:eastAsia="Arial" w:hAnsi="Arial"/>
                <w:sz w:val="14"/>
                <w:szCs w:val="14"/>
                <w:b w:val="1"/>
                <w:bCs w:val="1"/>
                <w:color w:val="auto"/>
              </w:rPr>
              <w:t>2005</w:t>
            </w:r>
          </w:p>
        </w:tc>
        <w:tc>
          <w:tcPr>
            <w:tcW w:w="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00" w:type="dxa"/>
            <w:vAlign w:val="bottom"/>
          </w:tcPr>
          <w:p>
            <w:pPr>
              <w:jc w:val="right"/>
              <w:ind w:right="354"/>
              <w:spacing w:after="0"/>
              <w:rPr>
                <w:sz w:val="20"/>
                <w:szCs w:val="20"/>
                <w:color w:val="auto"/>
              </w:rPr>
            </w:pPr>
            <w:r>
              <w:rPr>
                <w:rFonts w:ascii="Arial" w:cs="Arial" w:eastAsia="Arial" w:hAnsi="Arial"/>
                <w:sz w:val="14"/>
                <w:szCs w:val="14"/>
                <w:b w:val="1"/>
                <w:bCs w:val="1"/>
                <w:color w:val="auto"/>
              </w:rPr>
              <w:t>2004</w:t>
            </w:r>
          </w:p>
        </w:tc>
        <w:tc>
          <w:tcPr>
            <w:tcW w:w="1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20" w:type="dxa"/>
            <w:vAlign w:val="bottom"/>
          </w:tcPr>
          <w:p>
            <w:pPr>
              <w:jc w:val="right"/>
              <w:ind w:right="374"/>
              <w:spacing w:after="0"/>
              <w:rPr>
                <w:sz w:val="20"/>
                <w:szCs w:val="20"/>
                <w:color w:val="auto"/>
              </w:rPr>
            </w:pPr>
            <w:r>
              <w:rPr>
                <w:rFonts w:ascii="Arial" w:cs="Arial" w:eastAsia="Arial" w:hAnsi="Arial"/>
                <w:sz w:val="14"/>
                <w:szCs w:val="14"/>
                <w:b w:val="1"/>
                <w:bCs w:val="1"/>
                <w:color w:val="auto"/>
              </w:rPr>
              <w:t>2003</w:t>
            </w:r>
          </w:p>
        </w:tc>
        <w:tc>
          <w:tcPr>
            <w:tcW w:w="10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Net income (loss)</w:t>
            </w: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141,661</w:t>
            </w:r>
          </w:p>
        </w:tc>
        <w:tc>
          <w:tcPr>
            <w:tcW w:w="60" w:type="dxa"/>
            <w:vAlign w:val="bottom"/>
          </w:tcPr>
          <w:p>
            <w:pPr>
              <w:spacing w:after="0"/>
              <w:rPr>
                <w:sz w:val="19"/>
                <w:szCs w:val="19"/>
                <w:color w:val="auto"/>
              </w:rPr>
            </w:pPr>
          </w:p>
        </w:tc>
        <w:tc>
          <w:tcPr>
            <w:tcW w:w="4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45,510</w:t>
            </w:r>
          </w:p>
        </w:tc>
        <w:tc>
          <w:tcPr>
            <w:tcW w:w="180" w:type="dxa"/>
            <w:vAlign w:val="bottom"/>
          </w:tcPr>
          <w:p>
            <w:pPr>
              <w:spacing w:after="0"/>
              <w:rPr>
                <w:sz w:val="19"/>
                <w:szCs w:val="19"/>
                <w:color w:val="auto"/>
              </w:rPr>
            </w:pP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(72,174)</w:t>
            </w: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920" w:type="dxa"/>
            <w:vAlign w:val="bottom"/>
          </w:tcPr>
          <w:p>
            <w:pPr>
              <w:spacing w:after="0"/>
              <w:rPr>
                <w:sz w:val="8"/>
                <w:szCs w:val="8"/>
                <w:color w:val="auto"/>
              </w:rPr>
            </w:pPr>
          </w:p>
        </w:tc>
        <w:tc>
          <w:tcPr>
            <w:tcW w:w="4280" w:type="dxa"/>
            <w:vAlign w:val="bottom"/>
          </w:tcPr>
          <w:p>
            <w:pPr>
              <w:spacing w:after="0"/>
              <w:rPr>
                <w:sz w:val="8"/>
                <w:szCs w:val="8"/>
                <w:color w:val="auto"/>
              </w:rPr>
            </w:pPr>
          </w:p>
        </w:tc>
        <w:tc>
          <w:tcPr>
            <w:tcW w:w="1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9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9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920" w:type="dxa"/>
            <w:vAlign w:val="bottom"/>
          </w:tcPr>
          <w:p>
            <w:pPr>
              <w:spacing w:after="0"/>
              <w:rPr>
                <w:sz w:val="5"/>
                <w:szCs w:val="5"/>
                <w:color w:val="auto"/>
              </w:rPr>
            </w:pPr>
          </w:p>
        </w:tc>
        <w:tc>
          <w:tcPr>
            <w:tcW w:w="4280" w:type="dxa"/>
            <w:vAlign w:val="bottom"/>
          </w:tcPr>
          <w:p>
            <w:pPr>
              <w:spacing w:after="0"/>
              <w:rPr>
                <w:sz w:val="5"/>
                <w:szCs w:val="5"/>
                <w:color w:val="auto"/>
              </w:rPr>
            </w:pPr>
          </w:p>
        </w:tc>
        <w:tc>
          <w:tcPr>
            <w:tcW w:w="13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2"/>
        </w:trPr>
        <w:tc>
          <w:tcPr>
            <w:tcW w:w="920" w:type="dxa"/>
            <w:vAlign w:val="bottom"/>
          </w:tcPr>
          <w:p>
            <w:pPr>
              <w:spacing w:after="0"/>
              <w:rPr>
                <w:sz w:val="24"/>
                <w:szCs w:val="24"/>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3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80" w:type="dxa"/>
            <w:vAlign w:val="bottom"/>
            <w:shd w:val="clear" w:color="auto" w:fill="CCEEFF"/>
          </w:tcPr>
          <w:p>
            <w:pPr>
              <w:spacing w:after="0"/>
              <w:rPr>
                <w:sz w:val="24"/>
                <w:szCs w:val="24"/>
                <w:color w:val="auto"/>
              </w:rPr>
            </w:pPr>
          </w:p>
        </w:tc>
        <w:tc>
          <w:tcPr>
            <w:tcW w:w="6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w w:val="95"/>
              </w:rPr>
              <w:t>Weighted average shares of common stock outstanding</w:t>
            </w:r>
          </w:p>
        </w:tc>
        <w:tc>
          <w:tcPr>
            <w:tcW w:w="1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269,721</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251,846</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239,799</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unvested common shares subject to repurchase</w:t>
            </w:r>
          </w:p>
        </w:tc>
        <w:tc>
          <w:tcPr>
            <w:tcW w:w="1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(292)</w:t>
            </w:r>
          </w:p>
        </w:tc>
        <w:tc>
          <w:tcPr>
            <w:tcW w:w="2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(1,318)</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920" w:type="dxa"/>
            <w:vAlign w:val="bottom"/>
          </w:tcPr>
          <w:p>
            <w:pPr>
              <w:spacing w:after="0"/>
              <w:rPr>
                <w:sz w:val="10"/>
                <w:szCs w:val="10"/>
                <w:color w:val="auto"/>
              </w:rPr>
            </w:pPr>
          </w:p>
        </w:tc>
        <w:tc>
          <w:tcPr>
            <w:tcW w:w="428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920" w:type="dxa"/>
            <w:vAlign w:val="bottom"/>
          </w:tcPr>
          <w:p>
            <w:pPr>
              <w:spacing w:after="0"/>
              <w:rPr>
                <w:sz w:val="24"/>
                <w:szCs w:val="24"/>
                <w:color w:val="auto"/>
              </w:rPr>
            </w:pPr>
          </w:p>
        </w:tc>
        <w:tc>
          <w:tcPr>
            <w:tcW w:w="4280" w:type="dxa"/>
            <w:vAlign w:val="bottom"/>
          </w:tcPr>
          <w:p>
            <w:pPr>
              <w:ind w:left="200"/>
              <w:spacing w:after="0"/>
              <w:rPr>
                <w:sz w:val="20"/>
                <w:szCs w:val="20"/>
                <w:color w:val="auto"/>
              </w:rPr>
            </w:pPr>
            <w:r>
              <w:rPr>
                <w:rFonts w:ascii="Arial" w:cs="Arial" w:eastAsia="Arial" w:hAnsi="Arial"/>
                <w:sz w:val="18"/>
                <w:szCs w:val="18"/>
                <w:color w:val="auto"/>
              </w:rPr>
              <w:t>Weighted average shares — basic</w:t>
            </w:r>
          </w:p>
        </w:tc>
        <w:tc>
          <w:tcPr>
            <w:tcW w:w="1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269,687</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251,554</w:t>
            </w: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238,481</w:t>
            </w: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 —</w:t>
            </w:r>
          </w:p>
        </w:tc>
        <w:tc>
          <w:tcPr>
            <w:tcW w:w="1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1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34</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292</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1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1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968</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1,324</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w:t>
            </w:r>
          </w:p>
        </w:tc>
        <w:tc>
          <w:tcPr>
            <w:tcW w:w="1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27,634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22,971</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920" w:type="dxa"/>
            <w:vAlign w:val="bottom"/>
          </w:tcPr>
          <w:p>
            <w:pPr>
              <w:spacing w:after="0"/>
              <w:rPr>
                <w:sz w:val="10"/>
                <w:szCs w:val="10"/>
                <w:color w:val="auto"/>
              </w:rPr>
            </w:pPr>
          </w:p>
        </w:tc>
        <w:tc>
          <w:tcPr>
            <w:tcW w:w="428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920" w:type="dxa"/>
            <w:vAlign w:val="bottom"/>
          </w:tcPr>
          <w:p>
            <w:pPr>
              <w:spacing w:after="0"/>
              <w:rPr>
                <w:sz w:val="24"/>
                <w:szCs w:val="24"/>
                <w:color w:val="auto"/>
              </w:rPr>
            </w:pPr>
          </w:p>
        </w:tc>
        <w:tc>
          <w:tcPr>
            <w:tcW w:w="4280" w:type="dxa"/>
            <w:vAlign w:val="bottom"/>
          </w:tcPr>
          <w:p>
            <w:pPr>
              <w:ind w:left="200"/>
              <w:spacing w:after="0"/>
              <w:rPr>
                <w:sz w:val="20"/>
                <w:szCs w:val="20"/>
                <w:color w:val="auto"/>
              </w:rPr>
            </w:pPr>
            <w:r>
              <w:rPr>
                <w:rFonts w:ascii="Arial" w:cs="Arial" w:eastAsia="Arial" w:hAnsi="Arial"/>
                <w:sz w:val="18"/>
                <w:szCs w:val="18"/>
                <w:color w:val="auto"/>
              </w:rPr>
              <w:t>Weighted average shares — diluted</w:t>
            </w:r>
          </w:p>
        </w:tc>
        <w:tc>
          <w:tcPr>
            <w:tcW w:w="1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299,012</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276,483</w:t>
            </w: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238,481</w:t>
            </w: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920" w:type="dxa"/>
            <w:vAlign w:val="bottom"/>
          </w:tcPr>
          <w:p>
            <w:pPr>
              <w:spacing w:after="0"/>
              <w:rPr>
                <w:sz w:val="10"/>
                <w:szCs w:val="10"/>
                <w:color w:val="auto"/>
              </w:rPr>
            </w:pPr>
          </w:p>
        </w:tc>
        <w:tc>
          <w:tcPr>
            <w:tcW w:w="428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2"/>
        </w:trPr>
        <w:tc>
          <w:tcPr>
            <w:tcW w:w="920" w:type="dxa"/>
            <w:vAlign w:val="bottom"/>
          </w:tcPr>
          <w:p>
            <w:pPr>
              <w:spacing w:after="0"/>
              <w:rPr>
                <w:sz w:val="24"/>
                <w:szCs w:val="24"/>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60" w:type="dxa"/>
            <w:vAlign w:val="bottom"/>
            <w:shd w:val="clear" w:color="auto" w:fill="CCEEFF"/>
          </w:tcPr>
          <w:p>
            <w:pPr>
              <w:spacing w:after="0"/>
              <w:rPr>
                <w:sz w:val="24"/>
                <w:szCs w:val="24"/>
                <w:color w:val="auto"/>
              </w:rPr>
            </w:pPr>
          </w:p>
        </w:tc>
        <w:tc>
          <w:tcPr>
            <w:tcW w:w="4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180" w:type="dxa"/>
            <w:vAlign w:val="bottom"/>
            <w:shd w:val="clear" w:color="auto" w:fill="CCEEFF"/>
          </w:tcPr>
          <w:p>
            <w:pPr>
              <w:spacing w:after="0"/>
              <w:rPr>
                <w:sz w:val="24"/>
                <w:szCs w:val="24"/>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(0.30)</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580" w:type="dxa"/>
            <w:vAlign w:val="bottom"/>
            <w:gridSpan w:val="2"/>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gridSpan w:val="2"/>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20" w:type="dxa"/>
            <w:vAlign w:val="bottom"/>
            <w:gridSpan w:val="2"/>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920" w:type="dxa"/>
            <w:vAlign w:val="bottom"/>
          </w:tcPr>
          <w:p>
            <w:pPr>
              <w:spacing w:after="0"/>
              <w:rPr>
                <w:sz w:val="5"/>
                <w:szCs w:val="5"/>
                <w:color w:val="auto"/>
              </w:rPr>
            </w:pPr>
          </w:p>
        </w:tc>
        <w:tc>
          <w:tcPr>
            <w:tcW w:w="4280" w:type="dxa"/>
            <w:vAlign w:val="bottom"/>
          </w:tcPr>
          <w:p>
            <w:pPr>
              <w:spacing w:after="0"/>
              <w:rPr>
                <w:sz w:val="5"/>
                <w:szCs w:val="5"/>
                <w:color w:val="auto"/>
              </w:rPr>
            </w:pPr>
          </w:p>
        </w:tc>
        <w:tc>
          <w:tcPr>
            <w:tcW w:w="13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920" w:type="dxa"/>
            <w:vAlign w:val="bottom"/>
          </w:tcPr>
          <w:p>
            <w:pPr>
              <w:spacing w:after="0"/>
              <w:rPr>
                <w:sz w:val="24"/>
                <w:szCs w:val="24"/>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0.47</w:t>
            </w:r>
          </w:p>
        </w:tc>
        <w:tc>
          <w:tcPr>
            <w:tcW w:w="60" w:type="dxa"/>
            <w:vAlign w:val="bottom"/>
          </w:tcPr>
          <w:p>
            <w:pPr>
              <w:spacing w:after="0"/>
              <w:rPr>
                <w:sz w:val="24"/>
                <w:szCs w:val="24"/>
                <w:color w:val="auto"/>
              </w:rPr>
            </w:pPr>
          </w:p>
        </w:tc>
        <w:tc>
          <w:tcPr>
            <w:tcW w:w="4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spacing w:after="0"/>
              <w:rPr>
                <w:sz w:val="24"/>
                <w:szCs w:val="24"/>
                <w:color w:val="auto"/>
              </w:rPr>
            </w:pP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(0.30)</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9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300" w:type="dxa"/>
            <w:vAlign w:val="bottom"/>
            <w:vMerge w:val="restart"/>
          </w:tcPr>
          <w:p>
            <w:pPr>
              <w:jc w:val="right"/>
              <w:ind w:right="612"/>
              <w:spacing w:after="0"/>
              <w:rPr>
                <w:sz w:val="20"/>
                <w:szCs w:val="20"/>
                <w:color w:val="auto"/>
              </w:rPr>
            </w:pPr>
            <w:r>
              <w:rPr>
                <w:rFonts w:ascii="Arial" w:cs="Arial" w:eastAsia="Arial" w:hAnsi="Arial"/>
                <w:sz w:val="18"/>
                <w:szCs w:val="18"/>
                <w:color w:val="auto"/>
              </w:rPr>
              <w:t>84</w:t>
            </w:r>
          </w:p>
        </w:tc>
        <w:tc>
          <w:tcPr>
            <w:tcW w:w="28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920" w:type="dxa"/>
            <w:vAlign w:val="bottom"/>
          </w:tcPr>
          <w:p>
            <w:pPr>
              <w:spacing w:after="0"/>
              <w:rPr>
                <w:sz w:val="5"/>
                <w:szCs w:val="5"/>
                <w:color w:val="auto"/>
              </w:rPr>
            </w:pPr>
          </w:p>
        </w:tc>
        <w:tc>
          <w:tcPr>
            <w:tcW w:w="428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92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130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920" w:type="dxa"/>
            <w:vAlign w:val="bottom"/>
            <w:tcBorders>
              <w:bottom w:val="single" w:sz="8" w:color="808080"/>
            </w:tcBorders>
          </w:tcPr>
          <w:p>
            <w:pPr>
              <w:spacing w:after="0"/>
              <w:rPr>
                <w:sz w:val="19"/>
                <w:szCs w:val="19"/>
                <w:color w:val="auto"/>
              </w:rPr>
            </w:pPr>
          </w:p>
        </w:tc>
        <w:tc>
          <w:tcPr>
            <w:tcW w:w="4280" w:type="dxa"/>
            <w:vAlign w:val="bottom"/>
            <w:tcBorders>
              <w:bottom w:val="single" w:sz="8" w:color="808080"/>
            </w:tcBorders>
          </w:tcPr>
          <w:p>
            <w:pPr>
              <w:spacing w:after="0"/>
              <w:rPr>
                <w:sz w:val="19"/>
                <w:szCs w:val="19"/>
                <w:color w:val="auto"/>
              </w:rPr>
            </w:pPr>
          </w:p>
        </w:tc>
        <w:tc>
          <w:tcPr>
            <w:tcW w:w="13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92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9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6589395</wp:posOffset>
            </wp:positionH>
            <wp:positionV relativeFrom="paragraph">
              <wp:posOffset>-4070350</wp:posOffset>
            </wp:positionV>
            <wp:extent cx="12700" cy="8890"/>
            <wp:wrapNone/>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6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-4070350</wp:posOffset>
            </wp:positionV>
            <wp:extent cx="12700" cy="8890"/>
            <wp:wrapNone/>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6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-3822065</wp:posOffset>
            </wp:positionV>
            <wp:extent cx="12700" cy="8890"/>
            <wp:wrapNone/>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6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-3822065</wp:posOffset>
            </wp:positionV>
            <wp:extent cx="12700" cy="8890"/>
            <wp:wrapNone/>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6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-3822065</wp:posOffset>
            </wp:positionV>
            <wp:extent cx="12700" cy="8890"/>
            <wp:wrapNone/>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6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-3822065</wp:posOffset>
            </wp:positionV>
            <wp:extent cx="12700" cy="8890"/>
            <wp:wrapNone/>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6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-3822065</wp:posOffset>
            </wp:positionV>
            <wp:extent cx="12700" cy="8890"/>
            <wp:wrapNone/>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6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-3822065</wp:posOffset>
            </wp:positionV>
            <wp:extent cx="12700" cy="8890"/>
            <wp:wrapNone/>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6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-2672715</wp:posOffset>
            </wp:positionV>
            <wp:extent cx="12700" cy="8890"/>
            <wp:wrapNone/>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6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-2672715</wp:posOffset>
            </wp:positionV>
            <wp:extent cx="12700" cy="8890"/>
            <wp:wrapNone/>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6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-2672715</wp:posOffset>
            </wp:positionV>
            <wp:extent cx="12700" cy="8890"/>
            <wp:wrapNone/>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6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-2672715</wp:posOffset>
            </wp:positionV>
            <wp:extent cx="12700" cy="8890"/>
            <wp:wrapNone/>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6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-2672715</wp:posOffset>
            </wp:positionV>
            <wp:extent cx="12700" cy="8890"/>
            <wp:wrapNone/>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6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-2672715</wp:posOffset>
            </wp:positionV>
            <wp:extent cx="12700" cy="8890"/>
            <wp:wrapNone/>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6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-1695450</wp:posOffset>
            </wp:positionV>
            <wp:extent cx="12700" cy="8890"/>
            <wp:wrapNone/>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6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-1695450</wp:posOffset>
            </wp:positionV>
            <wp:extent cx="12700" cy="8890"/>
            <wp:wrapNone/>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6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-1695450</wp:posOffset>
            </wp:positionV>
            <wp:extent cx="12700" cy="8890"/>
            <wp:wrapNone/>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6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-1695450</wp:posOffset>
            </wp:positionV>
            <wp:extent cx="12700" cy="8890"/>
            <wp:wrapNone/>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6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-1695450</wp:posOffset>
            </wp:positionV>
            <wp:extent cx="12700" cy="8890"/>
            <wp:wrapNone/>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6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-1695450</wp:posOffset>
            </wp:positionV>
            <wp:extent cx="12700" cy="8890"/>
            <wp:wrapNone/>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6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-1403350</wp:posOffset>
            </wp:positionV>
            <wp:extent cx="12700" cy="8890"/>
            <wp:wrapNone/>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6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4128135</wp:posOffset>
            </wp:positionH>
            <wp:positionV relativeFrom="paragraph">
              <wp:posOffset>-1403350</wp:posOffset>
            </wp:positionV>
            <wp:extent cx="12700" cy="8890"/>
            <wp:wrapNone/>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6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-1403350</wp:posOffset>
            </wp:positionV>
            <wp:extent cx="12700" cy="8890"/>
            <wp:wrapNone/>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6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-1403350</wp:posOffset>
            </wp:positionV>
            <wp:extent cx="12700" cy="8890"/>
            <wp:wrapNone/>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6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-1403350</wp:posOffset>
            </wp:positionV>
            <wp:extent cx="12700" cy="8890"/>
            <wp:wrapNone/>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6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-1403350</wp:posOffset>
            </wp:positionV>
            <wp:extent cx="12700" cy="8890"/>
            <wp:wrapNone/>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6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6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66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85" w:name="page86"/>
    <w:bookmarkEnd w:id="85"/>
    <w:p>
      <w:pPr>
        <w:ind w:firstLine="351"/>
        <w:spacing w:after="0" w:line="291" w:lineRule="auto"/>
        <w:rPr>
          <w:sz w:val="20"/>
          <w:szCs w:val="20"/>
          <w:color w:val="auto"/>
        </w:rPr>
      </w:pPr>
      <w:r>
        <w:rPr>
          <w:rFonts w:ascii="Arial" w:cs="Arial" w:eastAsia="Arial" w:hAnsi="Arial"/>
          <w:sz w:val="16"/>
          <w:szCs w:val="16"/>
          <w:color w:val="auto"/>
        </w:rPr>
        <w:t>Options to purchase 616,645 common shares at a weighted average exercise price of $29.86 per share have been excluded from the computation of diluted net income per share because their exercise prices were greater than the average market price of the common shares for fiscal 2005. Options to purchase 5,109,192 common shares at a weighted average exercise price of $20.36 per share have been excluded from the computation of diluted net income per share because their exercise prices were greater than the average market price of the common shares for fiscal 2004. Options to purchase 49,614,496 common shares at a weighted average exercise price of $8.55 per share and 1,318,674 common shares subject to repurchase by the Company have been excluded from the computation of diluted net loss per share for fiscal 2003 because their effect would have been anti-dilutive.</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Warranty</w:t>
      </w:r>
    </w:p>
    <w:p>
      <w:pPr>
        <w:spacing w:after="0" w:line="225" w:lineRule="exact"/>
        <w:rPr>
          <w:sz w:val="20"/>
          <w:szCs w:val="20"/>
          <w:color w:val="auto"/>
        </w:rPr>
      </w:pPr>
    </w:p>
    <w:p>
      <w:pPr>
        <w:ind w:right="40" w:firstLine="348"/>
        <w:spacing w:after="0" w:line="318" w:lineRule="auto"/>
        <w:rPr>
          <w:sz w:val="20"/>
          <w:szCs w:val="20"/>
          <w:color w:val="auto"/>
        </w:rPr>
      </w:pPr>
      <w:r>
        <w:rPr>
          <w:rFonts w:ascii="Arial" w:cs="Arial" w:eastAsia="Arial" w:hAnsi="Arial"/>
          <w:sz w:val="15"/>
          <w:szCs w:val="15"/>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three years. The warranty accrual is estimated based on historical claims compared to historical revenues and assumes that the Company will have to replace products subject to a claim. For new products, the Company uses a historical percentage for the appropriate class of product. Changes in the Company's warranty accrual during fiscal 2005 and 2004, respectively are as follows (in thousands):</w:t>
      </w:r>
    </w:p>
    <w:p>
      <w:pPr>
        <w:spacing w:after="0" w:line="137" w:lineRule="exact"/>
        <w:rPr>
          <w:sz w:val="20"/>
          <w:szCs w:val="20"/>
          <w:color w:val="auto"/>
        </w:rPr>
      </w:pPr>
    </w:p>
    <w:tbl>
      <w:tblPr>
        <w:tblLayout w:type="fixed"/>
        <w:tblInd w:w="820" w:type="dxa"/>
        <w:tblCellMar>
          <w:top w:w="0" w:type="dxa"/>
          <w:left w:w="0" w:type="dxa"/>
          <w:bottom w:w="0" w:type="dxa"/>
          <w:right w:w="0" w:type="dxa"/>
        </w:tblCellMar>
      </w:tblPr>
      <w:tr>
        <w:trPr>
          <w:trHeight w:val="161"/>
        </w:trPr>
        <w:tc>
          <w:tcPr>
            <w:tcW w:w="4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January 31,</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January 31,</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January 31,</w:t>
            </w:r>
          </w:p>
        </w:tc>
      </w:tr>
      <w:tr>
        <w:trPr>
          <w:trHeight w:val="174"/>
        </w:trPr>
        <w:tc>
          <w:tcPr>
            <w:tcW w:w="46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20" w:type="dxa"/>
            <w:vAlign w:val="bottom"/>
          </w:tcPr>
          <w:p>
            <w:pPr>
              <w:jc w:val="right"/>
              <w:ind w:right="459"/>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40" w:type="dxa"/>
            <w:vAlign w:val="bottom"/>
          </w:tcPr>
          <w:p>
            <w:pPr>
              <w:jc w:val="right"/>
              <w:ind w:right="459"/>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60" w:type="dxa"/>
            <w:vAlign w:val="bottom"/>
          </w:tcPr>
          <w:p>
            <w:pPr>
              <w:jc w:val="right"/>
              <w:ind w:right="479"/>
              <w:spacing w:after="0"/>
              <w:rPr>
                <w:sz w:val="20"/>
                <w:szCs w:val="20"/>
                <w:color w:val="auto"/>
              </w:rPr>
            </w:pPr>
            <w:r>
              <w:rPr>
                <w:rFonts w:ascii="Arial" w:cs="Arial" w:eastAsia="Arial" w:hAnsi="Arial"/>
                <w:sz w:val="14"/>
                <w:szCs w:val="14"/>
                <w:b w:val="1"/>
                <w:bCs w:val="1"/>
                <w:color w:val="auto"/>
              </w:rPr>
              <w:t>2003</w:t>
            </w:r>
          </w:p>
        </w:tc>
        <w:tc>
          <w:tcPr>
            <w:tcW w:w="100" w:type="dxa"/>
            <w:vAlign w:val="bottom"/>
          </w:tcPr>
          <w:p>
            <w:pPr>
              <w:spacing w:after="0"/>
              <w:rPr>
                <w:sz w:val="15"/>
                <w:szCs w:val="15"/>
                <w:color w:val="auto"/>
              </w:rPr>
            </w:pPr>
          </w:p>
        </w:tc>
      </w:tr>
      <w:tr>
        <w:trPr>
          <w:trHeight w:val="105"/>
        </w:trPr>
        <w:tc>
          <w:tcPr>
            <w:tcW w:w="46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r>
      <w:tr>
        <w:trPr>
          <w:trHeight w:val="105"/>
        </w:trPr>
        <w:tc>
          <w:tcPr>
            <w:tcW w:w="46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r>
      <w:tr>
        <w:trPr>
          <w:trHeight w:val="216"/>
        </w:trPr>
        <w:tc>
          <w:tcPr>
            <w:tcW w:w="4620" w:type="dxa"/>
            <w:vAlign w:val="bottom"/>
            <w:shd w:val="clear" w:color="auto" w:fill="CCEEFF"/>
          </w:tcPr>
          <w:p>
            <w:pPr>
              <w:ind w:left="180"/>
              <w:spacing w:after="0"/>
              <w:rPr>
                <w:sz w:val="20"/>
                <w:szCs w:val="20"/>
                <w:color w:val="auto"/>
              </w:rPr>
            </w:pPr>
            <w:r>
              <w:rPr>
                <w:rFonts w:ascii="Arial" w:cs="Arial" w:eastAsia="Arial" w:hAnsi="Arial"/>
                <w:sz w:val="18"/>
                <w:szCs w:val="18"/>
                <w:b w:val="1"/>
                <w:bCs w:val="1"/>
                <w:color w:val="auto"/>
              </w:rPr>
              <w:t>Warranty accrual (included in accrued liabilities):</w:t>
            </w:r>
          </w:p>
        </w:tc>
        <w:tc>
          <w:tcPr>
            <w:tcW w:w="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620" w:type="dxa"/>
            <w:vAlign w:val="bottom"/>
          </w:tcPr>
          <w:p>
            <w:pPr>
              <w:ind w:left="360"/>
              <w:spacing w:after="0"/>
              <w:rPr>
                <w:sz w:val="20"/>
                <w:szCs w:val="20"/>
                <w:color w:val="auto"/>
              </w:rPr>
            </w:pPr>
            <w:r>
              <w:rPr>
                <w:rFonts w:ascii="Arial" w:cs="Arial" w:eastAsia="Arial" w:hAnsi="Arial"/>
                <w:sz w:val="18"/>
                <w:szCs w:val="18"/>
                <w:color w:val="auto"/>
              </w:rPr>
              <w:t>Beginning balance</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812</w:t>
            </w:r>
          </w:p>
        </w:tc>
        <w:tc>
          <w:tcPr>
            <w:tcW w:w="120" w:type="dxa"/>
            <w:vAlign w:val="bottom"/>
          </w:tcPr>
          <w:p>
            <w:pPr>
              <w:spacing w:after="0"/>
              <w:rPr>
                <w:sz w:val="18"/>
                <w:szCs w:val="18"/>
                <w:color w:val="auto"/>
              </w:rPr>
            </w:pPr>
          </w:p>
        </w:tc>
        <w:tc>
          <w:tcPr>
            <w:tcW w:w="2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526</w:t>
            </w:r>
          </w:p>
        </w:tc>
        <w:tc>
          <w:tcPr>
            <w:tcW w:w="120" w:type="dxa"/>
            <w:vAlign w:val="bottom"/>
          </w:tcPr>
          <w:p>
            <w:pPr>
              <w:spacing w:after="0"/>
              <w:rPr>
                <w:sz w:val="18"/>
                <w:szCs w:val="18"/>
                <w:color w:val="auto"/>
              </w:rPr>
            </w:pPr>
          </w:p>
        </w:tc>
        <w:tc>
          <w:tcPr>
            <w:tcW w:w="2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474</w:t>
            </w:r>
          </w:p>
        </w:tc>
        <w:tc>
          <w:tcPr>
            <w:tcW w:w="100" w:type="dxa"/>
            <w:vAlign w:val="bottom"/>
          </w:tcPr>
          <w:p>
            <w:pPr>
              <w:spacing w:after="0"/>
              <w:rPr>
                <w:sz w:val="18"/>
                <w:szCs w:val="18"/>
                <w:color w:val="auto"/>
              </w:rPr>
            </w:pPr>
          </w:p>
        </w:tc>
      </w:tr>
      <w:tr>
        <w:trPr>
          <w:trHeight w:val="216"/>
        </w:trPr>
        <w:tc>
          <w:tcPr>
            <w:tcW w:w="4620" w:type="dxa"/>
            <w:vAlign w:val="bottom"/>
            <w:shd w:val="clear" w:color="auto" w:fill="CCEEFF"/>
          </w:tcPr>
          <w:p>
            <w:pPr>
              <w:ind w:left="560"/>
              <w:spacing w:after="0"/>
              <w:rPr>
                <w:sz w:val="20"/>
                <w:szCs w:val="20"/>
                <w:color w:val="auto"/>
              </w:rPr>
            </w:pPr>
            <w:r>
              <w:rPr>
                <w:rFonts w:ascii="Arial" w:cs="Arial" w:eastAsia="Arial" w:hAnsi="Arial"/>
                <w:sz w:val="18"/>
                <w:szCs w:val="18"/>
                <w:color w:val="auto"/>
              </w:rPr>
              <w:t>Charges to cost of goods sold</w:t>
            </w:r>
          </w:p>
        </w:tc>
        <w:tc>
          <w:tcPr>
            <w:tcW w:w="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1,545</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w:t>
            </w:r>
          </w:p>
        </w:tc>
        <w:tc>
          <w:tcPr>
            <w:tcW w:w="100" w:type="dxa"/>
            <w:vAlign w:val="bottom"/>
            <w:shd w:val="clear" w:color="auto" w:fill="CCEEFF"/>
          </w:tcPr>
          <w:p>
            <w:pPr>
              <w:spacing w:after="0"/>
              <w:rPr>
                <w:sz w:val="18"/>
                <w:szCs w:val="18"/>
                <w:color w:val="auto"/>
              </w:rPr>
            </w:pPr>
          </w:p>
        </w:tc>
      </w:tr>
      <w:tr>
        <w:trPr>
          <w:trHeight w:val="222"/>
        </w:trPr>
        <w:tc>
          <w:tcPr>
            <w:tcW w:w="4620" w:type="dxa"/>
            <w:vAlign w:val="bottom"/>
          </w:tcPr>
          <w:p>
            <w:pPr>
              <w:ind w:left="560"/>
              <w:spacing w:after="0"/>
              <w:rPr>
                <w:sz w:val="20"/>
                <w:szCs w:val="20"/>
                <w:color w:val="auto"/>
              </w:rPr>
            </w:pPr>
            <w:r>
              <w:rPr>
                <w:rFonts w:ascii="Arial" w:cs="Arial" w:eastAsia="Arial" w:hAnsi="Arial"/>
                <w:sz w:val="18"/>
                <w:szCs w:val="18"/>
                <w:color w:val="auto"/>
              </w:rPr>
              <w:t>Payments and other charges</w:t>
            </w: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(786)</w:t>
            </w:r>
          </w:p>
        </w:tc>
        <w:tc>
          <w:tcPr>
            <w:tcW w:w="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(874)</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(541)</w:t>
            </w:r>
          </w:p>
        </w:tc>
      </w:tr>
      <w:tr>
        <w:trPr>
          <w:trHeight w:val="112"/>
        </w:trPr>
        <w:tc>
          <w:tcPr>
            <w:tcW w:w="46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r>
      <w:tr>
        <w:trPr>
          <w:trHeight w:val="105"/>
        </w:trPr>
        <w:tc>
          <w:tcPr>
            <w:tcW w:w="46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r>
      <w:tr>
        <w:trPr>
          <w:trHeight w:val="216"/>
        </w:trPr>
        <w:tc>
          <w:tcPr>
            <w:tcW w:w="4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Ending balance</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1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w:t>
            </w: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526</w:t>
            </w:r>
          </w:p>
        </w:tc>
        <w:tc>
          <w:tcPr>
            <w:tcW w:w="100" w:type="dxa"/>
            <w:vAlign w:val="bottom"/>
            <w:shd w:val="clear" w:color="auto" w:fill="CCEEFF"/>
          </w:tcPr>
          <w:p>
            <w:pPr>
              <w:spacing w:after="0"/>
              <w:rPr>
                <w:sz w:val="18"/>
                <w:szCs w:val="18"/>
                <w:color w:val="auto"/>
              </w:rPr>
            </w:pPr>
          </w:p>
        </w:tc>
      </w:tr>
      <w:tr>
        <w:trPr>
          <w:trHeight w:val="105"/>
        </w:trPr>
        <w:tc>
          <w:tcPr>
            <w:tcW w:w="46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r>
      <w:tr>
        <w:trPr>
          <w:trHeight w:val="61"/>
        </w:trPr>
        <w:tc>
          <w:tcPr>
            <w:tcW w:w="46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4711065</wp:posOffset>
            </wp:positionH>
            <wp:positionV relativeFrom="paragraph">
              <wp:posOffset>-1026160</wp:posOffset>
            </wp:positionV>
            <wp:extent cx="12700" cy="8890"/>
            <wp:wrapNone/>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6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-1026160</wp:posOffset>
            </wp:positionV>
            <wp:extent cx="12700" cy="8890"/>
            <wp:wrapNone/>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6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-1026160</wp:posOffset>
            </wp:positionV>
            <wp:extent cx="12700" cy="8890"/>
            <wp:wrapNone/>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6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-1026160</wp:posOffset>
            </wp:positionV>
            <wp:extent cx="12700" cy="8890"/>
            <wp:wrapNone/>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6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6666230</wp:posOffset>
            </wp:positionH>
            <wp:positionV relativeFrom="paragraph">
              <wp:posOffset>-1026160</wp:posOffset>
            </wp:positionV>
            <wp:extent cx="12700" cy="8890"/>
            <wp:wrapNone/>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6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-1026160</wp:posOffset>
            </wp:positionV>
            <wp:extent cx="12700" cy="8890"/>
            <wp:wrapNone/>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6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-323215</wp:posOffset>
            </wp:positionV>
            <wp:extent cx="12700" cy="8890"/>
            <wp:wrapNone/>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6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-323215</wp:posOffset>
            </wp:positionV>
            <wp:extent cx="12700" cy="8890"/>
            <wp:wrapNone/>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6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-323215</wp:posOffset>
            </wp:positionV>
            <wp:extent cx="12700" cy="8890"/>
            <wp:wrapNone/>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6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-323215</wp:posOffset>
            </wp:positionV>
            <wp:extent cx="12700" cy="8890"/>
            <wp:wrapNone/>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6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6666230</wp:posOffset>
            </wp:positionH>
            <wp:positionV relativeFrom="paragraph">
              <wp:posOffset>-323215</wp:posOffset>
            </wp:positionV>
            <wp:extent cx="12700" cy="8890"/>
            <wp:wrapNone/>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6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-323215</wp:posOffset>
            </wp:positionV>
            <wp:extent cx="12700" cy="8890"/>
            <wp:wrapNone/>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68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25"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In September 2004, the Emerging Issues Task Force ("EITF") delayed the effective date for the recognition and measurement guidance previously discussed under EITF Issue No. 03-01, "The Meaning of Other-Than-Temporary Impairment and Its Application to Certain Investments" ("EITF 03-01"). EITF 03-01 clarifies the meaning of other-than-temporary impairment and its application to investments in debt and equity securities, in particular investments within the scope of Financial Accounting Standards Board ("FASB") Statement No. 115, "Accounting for Certain Investments in Debt and Equity Securities," and investments accounted for under the cost method. The Company is complying with the disclosure requirements. The Company does not believe that EITF 03-01 will have a material impact on its consolidated results of operations when EITF 03-01 becomes effective.</w:t>
      </w:r>
    </w:p>
    <w:p>
      <w:pPr>
        <w:spacing w:after="0" w:line="174" w:lineRule="exact"/>
        <w:rPr>
          <w:sz w:val="20"/>
          <w:szCs w:val="20"/>
          <w:color w:val="auto"/>
        </w:rPr>
      </w:pPr>
    </w:p>
    <w:p>
      <w:pPr>
        <w:ind w:right="60" w:firstLine="351"/>
        <w:spacing w:after="0" w:line="294" w:lineRule="auto"/>
        <w:rPr>
          <w:sz w:val="20"/>
          <w:szCs w:val="20"/>
          <w:color w:val="auto"/>
        </w:rPr>
      </w:pPr>
      <w:r>
        <w:rPr>
          <w:rFonts w:ascii="Arial" w:cs="Arial" w:eastAsia="Arial" w:hAnsi="Arial"/>
          <w:sz w:val="16"/>
          <w:szCs w:val="16"/>
          <w:color w:val="auto"/>
        </w:rPr>
        <w:t>In November 2004, the FASB issued Statement of Financial Accounting Standards No. 151 ("SFAS 151"), Inventory Costs, an amendment of ARB 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periods beginning after June 15, 2005. Earlier application is permitted for inventory costs incurred during fiscal periods beginning</w:t>
      </w:r>
    </w:p>
    <w:p>
      <w:pPr>
        <w:spacing w:after="0" w:line="17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6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131" w:right="319" w:bottom="1440" w:gutter="0" w:footer="0" w:header="0"/>
        </w:sectPr>
      </w:pPr>
    </w:p>
    <w:bookmarkStart w:id="86" w:name="page87"/>
    <w:bookmarkEnd w:id="86"/>
    <w:p>
      <w:pPr>
        <w:spacing w:after="0"/>
        <w:rPr>
          <w:sz w:val="20"/>
          <w:szCs w:val="20"/>
          <w:color w:val="auto"/>
        </w:rPr>
      </w:pPr>
      <w:r>
        <w:rPr>
          <w:rFonts w:ascii="Arial" w:cs="Arial" w:eastAsia="Arial" w:hAnsi="Arial"/>
          <w:sz w:val="16"/>
          <w:szCs w:val="16"/>
          <w:color w:val="auto"/>
        </w:rPr>
        <w:t>after November 24, 2004. The Company is currently evaluating the impact of adoption of SFAS 151 on its financial position and results of operations.</w:t>
      </w:r>
    </w:p>
    <w:p>
      <w:pPr>
        <w:spacing w:after="0" w:line="248" w:lineRule="exact"/>
        <w:rPr>
          <w:sz w:val="20"/>
          <w:szCs w:val="20"/>
          <w:color w:val="auto"/>
        </w:rPr>
      </w:pPr>
    </w:p>
    <w:p>
      <w:pPr>
        <w:ind w:firstLine="351"/>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The statement requires companies to assess the most appropriate model to calculate the value of the options. The Company currently uses the Black-Scholes option pricing model to value options and is currently assessing which model it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the Company's consolidated financial statements is its quarter ended October 31, 2005.</w:t>
      </w:r>
    </w:p>
    <w:p>
      <w:pPr>
        <w:spacing w:after="0" w:line="175" w:lineRule="exact"/>
        <w:rPr>
          <w:sz w:val="20"/>
          <w:szCs w:val="20"/>
          <w:color w:val="auto"/>
        </w:rPr>
      </w:pPr>
    </w:p>
    <w:p>
      <w:pPr>
        <w:ind w:right="200" w:firstLine="351"/>
        <w:spacing w:after="0" w:line="290" w:lineRule="auto"/>
        <w:rPr>
          <w:sz w:val="20"/>
          <w:szCs w:val="20"/>
          <w:color w:val="auto"/>
        </w:rPr>
      </w:pPr>
      <w:r>
        <w:rPr>
          <w:rFonts w:ascii="Arial" w:cs="Arial" w:eastAsia="Arial" w:hAnsi="Arial"/>
          <w:sz w:val="16"/>
          <w:szCs w:val="16"/>
          <w:color w:val="auto"/>
        </w:rPr>
        <w:t>Upon adoption, this statement will have a significant impact on the Company's consolidated financial statements because the Company will be required to expense the fair value of our stock option grants and stock purchases under its employee stock purchase plan rather than disclose the impact on its consolidated net income within the footnotes as is the Company's current practice (see Note 1). The amounts disclosed within the Company's footnotes are not necessarily indicative of the amounts that will be expensed upon the adoption of FAS 123R. Compensation expense calculated under FAS 123R may differ from amounts currently disclosed within the Company's footnotes based on changes in the fair value of our common stock, changes in the number of options granted or the terms of such options, the treatment of tax benefits and changes in interest rates or other factors. In addition, upon adoption of FAS 123R the Company may choose to use a different valuation model to value the compensation expense associated with employee stock options.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Acquisitions:</w:t>
      </w:r>
    </w:p>
    <w:p>
      <w:pPr>
        <w:spacing w:after="0" w:line="231" w:lineRule="exact"/>
        <w:rPr>
          <w:sz w:val="20"/>
          <w:szCs w:val="20"/>
          <w:color w:val="auto"/>
        </w:rPr>
      </w:pPr>
    </w:p>
    <w:p>
      <w:pPr>
        <w:jc w:val="both"/>
        <w:ind w:right="80" w:firstLine="351"/>
        <w:spacing w:after="0" w:line="259" w:lineRule="auto"/>
        <w:rPr>
          <w:sz w:val="20"/>
          <w:szCs w:val="20"/>
          <w:color w:val="auto"/>
        </w:rPr>
      </w:pPr>
      <w:r>
        <w:rPr>
          <w:rFonts w:ascii="Arial" w:cs="Arial" w:eastAsia="Arial" w:hAnsi="Arial"/>
          <w:sz w:val="18"/>
          <w:szCs w:val="18"/>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w:t>
      </w:r>
    </w:p>
    <w:p>
      <w:pPr>
        <w:spacing w:after="0" w:line="194" w:lineRule="exact"/>
        <w:rPr>
          <w:sz w:val="20"/>
          <w:szCs w:val="20"/>
          <w:color w:val="auto"/>
        </w:rPr>
      </w:pPr>
    </w:p>
    <w:p>
      <w:pPr>
        <w:ind w:right="720" w:firstLine="348"/>
        <w:spacing w:after="0" w:line="268" w:lineRule="auto"/>
        <w:rPr>
          <w:sz w:val="20"/>
          <w:szCs w:val="20"/>
          <w:color w:val="auto"/>
        </w:rPr>
      </w:pPr>
      <w:r>
        <w:rPr>
          <w:rFonts w:ascii="Arial" w:cs="Arial" w:eastAsia="Arial" w:hAnsi="Arial"/>
          <w:sz w:val="18"/>
          <w:szCs w:val="18"/>
          <w:color w:val="auto"/>
        </w:rPr>
        <w:t>The total purchase price of the acquisition was approximately $9.5 million. The purchase price consisted of restricted shares and options granted to SysKonnect shareholders to purchase a total of</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6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87" w:name="page88"/>
    <w:bookmarkEnd w:id="87"/>
    <w:p>
      <w:pPr>
        <w:ind w:right="200"/>
        <w:spacing w:after="0" w:line="268" w:lineRule="auto"/>
        <w:rPr>
          <w:sz w:val="20"/>
          <w:szCs w:val="20"/>
          <w:color w:val="auto"/>
        </w:rPr>
      </w:pPr>
      <w:r>
        <w:rPr>
          <w:rFonts w:ascii="Arial" w:cs="Arial" w:eastAsia="Arial" w:hAnsi="Arial"/>
          <w:sz w:val="18"/>
          <w:szCs w:val="18"/>
          <w:color w:val="auto"/>
        </w:rPr>
        <w:t>600,000 shares of the Company's common stock (fair value of $7.3 million), settlement of a loan receivable of $1.9 million, and acquisition related expenses of approximately $235,000.</w:t>
      </w:r>
    </w:p>
    <w:p>
      <w:pPr>
        <w:spacing w:after="0" w:line="186" w:lineRule="exact"/>
        <w:rPr>
          <w:sz w:val="20"/>
          <w:szCs w:val="20"/>
          <w:color w:val="auto"/>
        </w:rPr>
      </w:pPr>
    </w:p>
    <w:tbl>
      <w:tblPr>
        <w:tblLayout w:type="fixed"/>
        <w:tblInd w:w="360" w:type="dxa"/>
        <w:tblCellMar>
          <w:top w:w="0" w:type="dxa"/>
          <w:left w:w="0" w:type="dxa"/>
          <w:bottom w:w="0" w:type="dxa"/>
          <w:right w:w="0" w:type="dxa"/>
        </w:tblCellMar>
      </w:tblPr>
      <w:tr>
        <w:trPr>
          <w:trHeight w:val="222"/>
        </w:trPr>
        <w:tc>
          <w:tcPr>
            <w:tcW w:w="6800" w:type="dxa"/>
            <w:vAlign w:val="bottom"/>
            <w:gridSpan w:val="2"/>
          </w:tcPr>
          <w:p>
            <w:pPr>
              <w:spacing w:after="0"/>
              <w:rPr>
                <w:sz w:val="20"/>
                <w:szCs w:val="20"/>
                <w:color w:val="auto"/>
              </w:rPr>
            </w:pPr>
            <w:r>
              <w:rPr>
                <w:rFonts w:ascii="Arial" w:cs="Arial" w:eastAsia="Arial" w:hAnsi="Arial"/>
                <w:sz w:val="18"/>
                <w:szCs w:val="18"/>
                <w:color w:val="auto"/>
              </w:rPr>
              <w:t>The aggregate purchase price was allocated as follows (in thousands):</w:t>
            </w:r>
          </w:p>
        </w:tc>
        <w:tc>
          <w:tcPr>
            <w:tcW w:w="19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200" w:type="dxa"/>
            <w:vAlign w:val="bottom"/>
            <w:vMerge w:val="restart"/>
          </w:tcPr>
          <w:p>
            <w:pPr>
              <w:spacing w:after="0"/>
              <w:rPr>
                <w:sz w:val="18"/>
                <w:szCs w:val="18"/>
                <w:color w:val="auto"/>
              </w:rPr>
            </w:pPr>
          </w:p>
        </w:tc>
        <w:tc>
          <w:tcPr>
            <w:tcW w:w="5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00" w:type="dxa"/>
            <w:vAlign w:val="bottom"/>
            <w:vMerge w:val="continue"/>
          </w:tcPr>
          <w:p>
            <w:pPr>
              <w:spacing w:after="0"/>
              <w:rPr>
                <w:sz w:val="18"/>
                <w:szCs w:val="18"/>
                <w:color w:val="auto"/>
              </w:rPr>
            </w:pPr>
          </w:p>
        </w:tc>
        <w:tc>
          <w:tcPr>
            <w:tcW w:w="560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w:t>
            </w:r>
          </w:p>
        </w:tc>
        <w:tc>
          <w:tcPr>
            <w:tcW w:w="2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4,061</w:t>
            </w:r>
          </w:p>
        </w:tc>
        <w:tc>
          <w:tcPr>
            <w:tcW w:w="0" w:type="dxa"/>
            <w:vAlign w:val="bottom"/>
          </w:tcPr>
          <w:p>
            <w:pPr>
              <w:spacing w:after="0"/>
              <w:rPr>
                <w:sz w:val="1"/>
                <w:szCs w:val="1"/>
                <w:color w:val="auto"/>
              </w:rPr>
            </w:pPr>
          </w:p>
        </w:tc>
      </w:tr>
      <w:tr>
        <w:trPr>
          <w:trHeight w:val="222"/>
        </w:trPr>
        <w:tc>
          <w:tcPr>
            <w:tcW w:w="1200" w:type="dxa"/>
            <w:vAlign w:val="bottom"/>
          </w:tcPr>
          <w:p>
            <w:pPr>
              <w:spacing w:after="0"/>
              <w:rPr>
                <w:sz w:val="19"/>
                <w:szCs w:val="19"/>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Deferred compensation</w:t>
            </w:r>
          </w:p>
        </w:tc>
        <w:tc>
          <w:tcPr>
            <w:tcW w:w="19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5,449</w:t>
            </w:r>
          </w:p>
        </w:tc>
        <w:tc>
          <w:tcPr>
            <w:tcW w:w="0" w:type="dxa"/>
            <w:vAlign w:val="bottom"/>
          </w:tcPr>
          <w:p>
            <w:pPr>
              <w:spacing w:after="0"/>
              <w:rPr>
                <w:sz w:val="1"/>
                <w:szCs w:val="1"/>
                <w:color w:val="auto"/>
              </w:rPr>
            </w:pPr>
          </w:p>
        </w:tc>
      </w:tr>
      <w:tr>
        <w:trPr>
          <w:trHeight w:val="112"/>
        </w:trPr>
        <w:tc>
          <w:tcPr>
            <w:tcW w:w="1200" w:type="dxa"/>
            <w:vAlign w:val="bottom"/>
          </w:tcPr>
          <w:p>
            <w:pPr>
              <w:spacing w:after="0"/>
              <w:rPr>
                <w:sz w:val="9"/>
                <w:szCs w:val="9"/>
                <w:color w:val="auto"/>
              </w:rPr>
            </w:pPr>
          </w:p>
        </w:tc>
        <w:tc>
          <w:tcPr>
            <w:tcW w:w="56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200" w:type="dxa"/>
            <w:vAlign w:val="bottom"/>
            <w:vMerge w:val="restart"/>
          </w:tcPr>
          <w:p>
            <w:pPr>
              <w:spacing w:after="0"/>
              <w:rPr>
                <w:sz w:val="9"/>
                <w:szCs w:val="9"/>
                <w:color w:val="auto"/>
              </w:rPr>
            </w:pPr>
          </w:p>
        </w:tc>
        <w:tc>
          <w:tcPr>
            <w:tcW w:w="56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200" w:type="dxa"/>
            <w:vAlign w:val="bottom"/>
            <w:vMerge w:val="continue"/>
          </w:tcPr>
          <w:p>
            <w:pPr>
              <w:spacing w:after="0"/>
              <w:rPr>
                <w:sz w:val="18"/>
                <w:szCs w:val="18"/>
                <w:color w:val="auto"/>
              </w:rPr>
            </w:pPr>
          </w:p>
        </w:tc>
        <w:tc>
          <w:tcPr>
            <w:tcW w:w="5600" w:type="dxa"/>
            <w:vAlign w:val="bottom"/>
            <w:shd w:val="clear" w:color="auto" w:fill="CCEEFF"/>
          </w:tcPr>
          <w:p>
            <w:pPr>
              <w:spacing w:after="0"/>
              <w:rPr>
                <w:sz w:val="20"/>
                <w:szCs w:val="20"/>
                <w:color w:val="auto"/>
              </w:rPr>
            </w:pPr>
            <w:r>
              <w:rPr>
                <w:rFonts w:ascii="Arial" w:cs="Arial" w:eastAsia="Arial" w:hAnsi="Arial"/>
                <w:sz w:val="18"/>
                <w:szCs w:val="18"/>
                <w:color w:val="auto"/>
              </w:rPr>
              <w:t>Aggregate purchase price</w:t>
            </w:r>
          </w:p>
        </w:tc>
        <w:tc>
          <w:tcPr>
            <w:tcW w:w="2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9,510</w:t>
            </w:r>
          </w:p>
        </w:tc>
        <w:tc>
          <w:tcPr>
            <w:tcW w:w="0" w:type="dxa"/>
            <w:vAlign w:val="bottom"/>
          </w:tcPr>
          <w:p>
            <w:pPr>
              <w:spacing w:after="0"/>
              <w:rPr>
                <w:sz w:val="1"/>
                <w:szCs w:val="1"/>
                <w:color w:val="auto"/>
              </w:rPr>
            </w:pPr>
          </w:p>
        </w:tc>
      </w:tr>
      <w:tr>
        <w:trPr>
          <w:trHeight w:val="105"/>
        </w:trPr>
        <w:tc>
          <w:tcPr>
            <w:tcW w:w="1200" w:type="dxa"/>
            <w:vAlign w:val="bottom"/>
          </w:tcPr>
          <w:p>
            <w:pPr>
              <w:spacing w:after="0"/>
              <w:rPr>
                <w:sz w:val="9"/>
                <w:szCs w:val="9"/>
                <w:color w:val="auto"/>
              </w:rPr>
            </w:pPr>
          </w:p>
        </w:tc>
        <w:tc>
          <w:tcPr>
            <w:tcW w:w="56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200" w:type="dxa"/>
            <w:vAlign w:val="bottom"/>
          </w:tcPr>
          <w:p>
            <w:pPr>
              <w:spacing w:after="0"/>
              <w:rPr>
                <w:sz w:val="5"/>
                <w:szCs w:val="5"/>
                <w:color w:val="auto"/>
              </w:rPr>
            </w:pPr>
          </w:p>
        </w:tc>
        <w:tc>
          <w:tcPr>
            <w:tcW w:w="5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6263640</wp:posOffset>
            </wp:positionH>
            <wp:positionV relativeFrom="paragraph">
              <wp:posOffset>-323215</wp:posOffset>
            </wp:positionV>
            <wp:extent cx="12700" cy="8890"/>
            <wp:wrapNone/>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6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5748655</wp:posOffset>
            </wp:positionH>
            <wp:positionV relativeFrom="paragraph">
              <wp:posOffset>-323215</wp:posOffset>
            </wp:positionV>
            <wp:extent cx="12700" cy="8890"/>
            <wp:wrapNone/>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68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160" w:firstLine="348"/>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 28.</w:t>
      </w:r>
    </w:p>
    <w:p>
      <w:pPr>
        <w:spacing w:after="0" w:line="194" w:lineRule="exact"/>
        <w:rPr>
          <w:sz w:val="20"/>
          <w:szCs w:val="20"/>
          <w:color w:val="auto"/>
        </w:rPr>
      </w:pPr>
    </w:p>
    <w:p>
      <w:pPr>
        <w:ind w:right="100" w:firstLine="351"/>
        <w:spacing w:after="0" w:line="254"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98"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initial total estimated purchase price was approximately $64.7 million and consisted of 2,635,284 shares issued upon closing (valued at $24.0 million), $22.5 million of cash payable upon a future date defined in the share purchase agreement, 1,086,366 warrants to purchase shares of the Company's common stock at an exercise price of $9.21 per share (valued at $7.5 million), 313,926 vested options assumed (valued at $2.9 million), the Company's existing investment in preferred stock of RADLAN of $6.6 million after taking a charge of $1.9 million to retroactively recognize pre-acquisition losses due to the Company's prior investment in RADLAN, and direct transaction costs of approximately $1.2 million. The value of the common stock and stock options was determined based on the average market price of the Company's common stock over a 5-day period around February 6, 2003 (the announcement date), or $9.13 per share. The value of the warrants was determined using the Black-Scholes options pricing model with inputs of 100% for volatility, 5-year expected life, risk-free interest rate of 3% and a market value of $9.13 as described above.</w:t>
      </w:r>
    </w:p>
    <w:p>
      <w:pPr>
        <w:spacing w:after="0" w:line="172"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On the date that the $22.5 million of cash became payable, 2,325,582 shares of the Company's common stock were worth more than $22.5 million and therefore in accordance with the share purchase agreement, instead of paying $22.5 million in cash, 2,325,582 shares of common stock were issued. Accordingly, the Company recorded a $24.9 million adjustment to increase goodwill in the quarter ended October 31, 2003. The $24.9 million adjustment was calculated based on the 2,325,582 shares issued multiplied by the $20.40 closing price of the Company's stock on October 6, 2003, less the $22.5 million that was previously accrued upon the close of the transaction on June 27, 2003.</w:t>
      </w:r>
    </w:p>
    <w:p>
      <w:pPr>
        <w:spacing w:after="0" w:line="197" w:lineRule="exact"/>
        <w:rPr>
          <w:sz w:val="20"/>
          <w:szCs w:val="20"/>
          <w:color w:val="auto"/>
        </w:rPr>
      </w:pPr>
    </w:p>
    <w:p>
      <w:pPr>
        <w:ind w:right="60" w:firstLine="351"/>
        <w:spacing w:after="0" w:line="259" w:lineRule="auto"/>
        <w:rPr>
          <w:sz w:val="20"/>
          <w:szCs w:val="20"/>
          <w:color w:val="auto"/>
        </w:rPr>
      </w:pPr>
      <w:r>
        <w:rPr>
          <w:rFonts w:ascii="Arial" w:cs="Arial" w:eastAsia="Arial" w:hAnsi="Arial"/>
          <w:sz w:val="18"/>
          <w:szCs w:val="18"/>
          <w:color w:val="auto"/>
        </w:rPr>
        <w:t>On December 8, 2003, certain milestones were achieved and 1,023,256 shares of common stock valued at $19.6 million were earned and issued to former RADLAN shareholders. The $19.6 million adjustment to increase goodwill was calculated based on the 1,023,256 shares issued multiplied by the $19.19 closing price of the Company's stock on December 8, 2003.</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6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88" w:name="page89"/>
    <w:bookmarkEnd w:id="88"/>
    <w:p>
      <w:pPr>
        <w:ind w:right="80" w:firstLine="341"/>
        <w:spacing w:after="0" w:line="291" w:lineRule="auto"/>
        <w:rPr>
          <w:sz w:val="20"/>
          <w:szCs w:val="20"/>
          <w:color w:val="auto"/>
        </w:rPr>
      </w:pPr>
      <w:r>
        <w:rPr>
          <w:rFonts w:ascii="Arial" w:cs="Arial" w:eastAsia="Arial" w:hAnsi="Arial"/>
          <w:sz w:val="16"/>
          <w:szCs w:val="16"/>
          <w:color w:val="auto"/>
        </w:rPr>
        <w:t>Additionally, 1,023,256 shares of the Company's common stock were reserved for future issuance over a one-year period to former RADLAN shareholders, which was dependent upon the Company's revenues from certain products for the year ended January 31, 2005 compared to the year ended January 31, 2004. As of January 31, 2005, all 1,023,256 shares reserved for future issuance to former RADLAN shareholders were earned based on the Company's achievement of revenues from certain products during fiscal 2005. Total goodwill adjustments of approximately $25.5 million were recorded in fiscal 2005 for the shares earned during fiscal 2005. Certificates for 614,624 shares earned through August 1, 2004 were issued on December 28, 2004. The remaining 408,632 shares earned subsequent to August 1, 2004 are to be issued approximately 24 months from the closing date.</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57"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Amortizable intangible assets:</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ind w:left="240"/>
              <w:spacing w:after="0"/>
              <w:rPr>
                <w:sz w:val="20"/>
                <w:szCs w:val="20"/>
                <w:color w:val="auto"/>
              </w:rPr>
            </w:pPr>
            <w:r>
              <w:rPr>
                <w:rFonts w:ascii="Arial" w:cs="Arial" w:eastAsia="Arial" w:hAnsi="Arial"/>
                <w:sz w:val="18"/>
                <w:szCs w:val="18"/>
                <w:color w:val="auto"/>
              </w:rPr>
              <w:t>Purchased technology</w:t>
            </w:r>
          </w:p>
        </w:tc>
        <w:tc>
          <w:tcPr>
            <w:tcW w:w="360" w:type="dxa"/>
            <w:vAlign w:val="bottom"/>
          </w:tcPr>
          <w:p>
            <w:pPr>
              <w:jc w:val="right"/>
              <w:ind w:right="172"/>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5,400</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Trade name</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60" w:type="dxa"/>
            <w:vAlign w:val="bottom"/>
            <w:shd w:val="clear" w:color="auto" w:fill="CCEEFF"/>
          </w:tcPr>
          <w:p>
            <w:pPr>
              <w:spacing w:after="0"/>
              <w:rPr>
                <w:sz w:val="18"/>
                <w:szCs w:val="18"/>
                <w:color w:val="auto"/>
              </w:rPr>
            </w:pPr>
          </w:p>
        </w:tc>
      </w:tr>
      <w:tr>
        <w:trPr>
          <w:trHeight w:val="222"/>
        </w:trPr>
        <w:tc>
          <w:tcPr>
            <w:tcW w:w="7300" w:type="dxa"/>
            <w:vAlign w:val="bottom"/>
          </w:tcPr>
          <w:p>
            <w:pPr>
              <w:ind w:left="240"/>
              <w:spacing w:after="0"/>
              <w:rPr>
                <w:sz w:val="20"/>
                <w:szCs w:val="20"/>
                <w:color w:val="auto"/>
              </w:rPr>
            </w:pPr>
            <w:r>
              <w:rPr>
                <w:rFonts w:ascii="Arial" w:cs="Arial" w:eastAsia="Arial" w:hAnsi="Arial"/>
                <w:sz w:val="18"/>
                <w:szCs w:val="18"/>
                <w:color w:val="auto"/>
              </w:rPr>
              <w:t>Customer contracts and relationships</w:t>
            </w:r>
          </w:p>
        </w:tc>
        <w:tc>
          <w:tcPr>
            <w:tcW w:w="36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200</w:t>
            </w:r>
          </w:p>
        </w:tc>
        <w:tc>
          <w:tcPr>
            <w:tcW w:w="60" w:type="dxa"/>
            <w:vAlign w:val="bottom"/>
          </w:tcPr>
          <w:p>
            <w:pPr>
              <w:spacing w:after="0"/>
              <w:rPr>
                <w:sz w:val="19"/>
                <w:szCs w:val="19"/>
                <w:color w:val="auto"/>
              </w:rPr>
            </w:pPr>
          </w:p>
        </w:tc>
      </w:tr>
      <w:tr>
        <w:trPr>
          <w:trHeight w:val="112"/>
        </w:trPr>
        <w:tc>
          <w:tcPr>
            <w:tcW w:w="73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7300" w:type="dxa"/>
            <w:vAlign w:val="bottom"/>
            <w:shd w:val="clear" w:color="auto" w:fill="CCEEFF"/>
          </w:tcPr>
          <w:p>
            <w:pPr>
              <w:ind w:left="480"/>
              <w:spacing w:after="0"/>
              <w:rPr>
                <w:sz w:val="20"/>
                <w:szCs w:val="20"/>
                <w:color w:val="auto"/>
              </w:rPr>
            </w:pPr>
            <w:r>
              <w:rPr>
                <w:rFonts w:ascii="Arial" w:cs="Arial" w:eastAsia="Arial" w:hAnsi="Arial"/>
                <w:sz w:val="18"/>
                <w:szCs w:val="18"/>
                <w:color w:val="auto"/>
              </w:rPr>
              <w:t>Total amortizable intangible assets</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5,700</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spacing w:after="0"/>
              <w:rPr>
                <w:sz w:val="20"/>
                <w:szCs w:val="20"/>
                <w:color w:val="auto"/>
              </w:rPr>
            </w:pPr>
            <w:r>
              <w:rPr>
                <w:rFonts w:ascii="Arial" w:cs="Arial" w:eastAsia="Arial" w:hAnsi="Arial"/>
                <w:sz w:val="18"/>
                <w:szCs w:val="18"/>
                <w:color w:val="auto"/>
              </w:rPr>
              <w:t>Goodwill</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143,522</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Current assets</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2,325</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36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(2,500)</w:t>
            </w:r>
          </w:p>
        </w:tc>
      </w:tr>
      <w:tr>
        <w:trPr>
          <w:trHeight w:val="216"/>
        </w:trPr>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Property, plant and equipment</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1,995</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1,526</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(15,719)</w:t>
            </w:r>
          </w:p>
        </w:tc>
      </w:tr>
      <w:tr>
        <w:trPr>
          <w:trHeight w:val="222"/>
        </w:trPr>
        <w:tc>
          <w:tcPr>
            <w:tcW w:w="730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360" w:type="dxa"/>
            <w:vAlign w:val="bottom"/>
          </w:tcPr>
          <w:p>
            <w:pPr>
              <w:spacing w:after="0"/>
              <w:rPr>
                <w:sz w:val="19"/>
                <w:szCs w:val="19"/>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(2,136)</w:t>
            </w:r>
          </w:p>
        </w:tc>
      </w:tr>
      <w:tr>
        <w:trPr>
          <w:trHeight w:val="112"/>
        </w:trPr>
        <w:tc>
          <w:tcPr>
            <w:tcW w:w="73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7300" w:type="dxa"/>
            <w:vAlign w:val="bottom"/>
            <w:shd w:val="clear" w:color="auto" w:fill="CCEEFF"/>
          </w:tcPr>
          <w:p>
            <w:pPr>
              <w:ind w:left="480"/>
              <w:spacing w:after="0"/>
              <w:rPr>
                <w:sz w:val="20"/>
                <w:szCs w:val="20"/>
                <w:color w:val="auto"/>
              </w:rPr>
            </w:pPr>
            <w:r>
              <w:rPr>
                <w:rFonts w:ascii="Arial" w:cs="Arial" w:eastAsia="Arial" w:hAnsi="Arial"/>
                <w:sz w:val="18"/>
                <w:szCs w:val="18"/>
                <w:color w:val="auto"/>
              </w:rPr>
              <w:t>Total purchase price</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134,713</w:t>
            </w:r>
          </w:p>
        </w:tc>
        <w:tc>
          <w:tcPr>
            <w:tcW w:w="60" w:type="dxa"/>
            <w:vAlign w:val="bottom"/>
            <w:shd w:val="clear" w:color="auto" w:fill="CCEEFF"/>
          </w:tcPr>
          <w:p>
            <w:pPr>
              <w:spacing w:after="0"/>
              <w:rPr>
                <w:sz w:val="18"/>
                <w:szCs w:val="18"/>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61"/>
        </w:trPr>
        <w:tc>
          <w:tcPr>
            <w:tcW w:w="730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6289040</wp:posOffset>
            </wp:positionH>
            <wp:positionV relativeFrom="paragraph">
              <wp:posOffset>-1574800</wp:posOffset>
            </wp:positionV>
            <wp:extent cx="12700" cy="8890"/>
            <wp:wrapNone/>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6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-1574800</wp:posOffset>
            </wp:positionV>
            <wp:extent cx="12700" cy="8890"/>
            <wp:wrapNone/>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6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-323215</wp:posOffset>
            </wp:positionV>
            <wp:extent cx="12700" cy="8890"/>
            <wp:wrapNone/>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6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-323215</wp:posOffset>
            </wp:positionV>
            <wp:extent cx="12700" cy="8890"/>
            <wp:wrapNone/>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69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60" w:firstLine="341"/>
        <w:spacing w:after="0" w:line="306" w:lineRule="auto"/>
        <w:rPr>
          <w:sz w:val="20"/>
          <w:szCs w:val="20"/>
          <w:color w:val="auto"/>
        </w:rPr>
      </w:pPr>
      <w:r>
        <w:rPr>
          <w:rFonts w:ascii="Arial" w:cs="Arial" w:eastAsia="Arial" w:hAnsi="Arial"/>
          <w:sz w:val="16"/>
          <w:szCs w:val="16"/>
          <w:color w:val="auto"/>
        </w:rPr>
        <w:t>Amortizable intangible assets consist of purchased technology, trade name, and customer related intangibles with useful lives of two to five years. Approximately $143.5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61" w:lineRule="exact"/>
        <w:rPr>
          <w:sz w:val="20"/>
          <w:szCs w:val="20"/>
          <w:color w:val="auto"/>
        </w:rPr>
      </w:pPr>
    </w:p>
    <w:p>
      <w:pPr>
        <w:ind w:firstLine="348"/>
        <w:spacing w:after="0" w:line="306" w:lineRule="auto"/>
        <w:rPr>
          <w:sz w:val="20"/>
          <w:szCs w:val="20"/>
          <w:color w:val="auto"/>
        </w:rPr>
      </w:pPr>
      <w:r>
        <w:rPr>
          <w:rFonts w:ascii="Arial" w:cs="Arial" w:eastAsia="Arial" w:hAnsi="Arial"/>
          <w:sz w:val="16"/>
          <w:szCs w:val="16"/>
          <w:color w:val="auto"/>
        </w:rPr>
        <w:t>The results of operations of RADLAN have been included in the Company's consolidated statements of operations since the completion of the acquisition on June 27, 2003. The following unaudited pro forma information presents a summary of the results of operations of the Company assuming the acquisition of RADLAN occurred at the beginning of the periods presented (in thousands, except for per share amounts):</w:t>
      </w:r>
    </w:p>
    <w:p>
      <w:pPr>
        <w:spacing w:after="0" w:line="156"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26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Year Ended January 31,</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426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60" w:type="dxa"/>
            <w:vAlign w:val="bottom"/>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880" w:type="dxa"/>
            <w:vAlign w:val="bottom"/>
          </w:tcPr>
          <w:p>
            <w:pPr>
              <w:jc w:val="right"/>
              <w:ind w:right="356"/>
              <w:spacing w:after="0"/>
              <w:rPr>
                <w:sz w:val="20"/>
                <w:szCs w:val="20"/>
                <w:color w:val="auto"/>
              </w:rPr>
            </w:pPr>
            <w:r>
              <w:rPr>
                <w:rFonts w:ascii="Arial" w:cs="Arial" w:eastAsia="Arial" w:hAnsi="Arial"/>
                <w:sz w:val="14"/>
                <w:szCs w:val="14"/>
                <w:b w:val="1"/>
                <w:bCs w:val="1"/>
                <w:color w:val="auto"/>
              </w:rPr>
              <w:t>2003</w:t>
            </w: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260" w:type="dxa"/>
            <w:vAlign w:val="bottom"/>
          </w:tcPr>
          <w:p>
            <w:pPr>
              <w:spacing w:after="0"/>
              <w:rPr>
                <w:sz w:val="9"/>
                <w:szCs w:val="9"/>
                <w:color w:val="auto"/>
              </w:rPr>
            </w:pPr>
          </w:p>
        </w:tc>
        <w:tc>
          <w:tcPr>
            <w:tcW w:w="96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820,150</w:t>
            </w: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511,067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60" w:type="dxa"/>
            <w:vAlign w:val="bottom"/>
          </w:tcPr>
          <w:p>
            <w:pPr>
              <w:spacing w:after="0"/>
              <w:rPr>
                <w:sz w:val="20"/>
                <w:szCs w:val="20"/>
                <w:color w:val="auto"/>
              </w:rPr>
            </w:pPr>
            <w:r>
              <w:rPr>
                <w:rFonts w:ascii="Arial" w:cs="Arial" w:eastAsia="Arial" w:hAnsi="Arial"/>
                <w:sz w:val="18"/>
                <w:szCs w:val="18"/>
                <w:color w:val="auto"/>
              </w:rPr>
              <w:t>Net income (loss)</w:t>
            </w:r>
          </w:p>
        </w:tc>
        <w:tc>
          <w:tcPr>
            <w:tcW w:w="21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35,376</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(82,148)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1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0.13</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6366510</wp:posOffset>
            </wp:positionH>
            <wp:positionV relativeFrom="paragraph">
              <wp:posOffset>-882650</wp:posOffset>
            </wp:positionV>
            <wp:extent cx="12700" cy="8890"/>
            <wp:wrapNone/>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6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-882650</wp:posOffset>
            </wp:positionV>
            <wp:extent cx="12700" cy="8890"/>
            <wp:wrapNone/>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6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5483225</wp:posOffset>
            </wp:positionH>
            <wp:positionV relativeFrom="paragraph">
              <wp:posOffset>-633730</wp:posOffset>
            </wp:positionV>
            <wp:extent cx="12700" cy="8890"/>
            <wp:wrapNone/>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6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-633730</wp:posOffset>
            </wp:positionV>
            <wp:extent cx="12700" cy="8890"/>
            <wp:wrapNone/>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6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6366510</wp:posOffset>
            </wp:positionH>
            <wp:positionV relativeFrom="paragraph">
              <wp:posOffset>-633730</wp:posOffset>
            </wp:positionV>
            <wp:extent cx="12700" cy="8890"/>
            <wp:wrapNone/>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6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5654675</wp:posOffset>
            </wp:positionH>
            <wp:positionV relativeFrom="paragraph">
              <wp:posOffset>-633730</wp:posOffset>
            </wp:positionV>
            <wp:extent cx="12700" cy="8890"/>
            <wp:wrapNone/>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69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60" w:firstLine="351"/>
        <w:spacing w:after="0" w:line="268" w:lineRule="auto"/>
        <w:rPr>
          <w:sz w:val="20"/>
          <w:szCs w:val="20"/>
          <w:color w:val="auto"/>
        </w:rPr>
      </w:pPr>
      <w:r>
        <w:rPr>
          <w:rFonts w:ascii="Arial" w:cs="Arial" w:eastAsia="Arial" w:hAnsi="Arial"/>
          <w:sz w:val="18"/>
          <w:szCs w:val="18"/>
          <w:color w:val="auto"/>
        </w:rPr>
        <w:t>Upon closing of the acquisition of RADLAN, the Company effectively granted 330,000 shares of restricted common stock to the employees of RADLAN. The restricted stock was valued on the date of</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69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89" w:name="page90"/>
    <w:bookmarkEnd w:id="89"/>
    <w:p>
      <w:pPr>
        <w:ind w:right="20"/>
        <w:spacing w:after="0" w:line="268" w:lineRule="auto"/>
        <w:rPr>
          <w:sz w:val="20"/>
          <w:szCs w:val="20"/>
          <w:color w:val="auto"/>
        </w:rPr>
      </w:pPr>
      <w:r>
        <w:rPr>
          <w:rFonts w:ascii="Arial" w:cs="Arial" w:eastAsia="Arial" w:hAnsi="Arial"/>
          <w:sz w:val="18"/>
          <w:szCs w:val="18"/>
          <w:color w:val="auto"/>
        </w:rPr>
        <w:t>issuance at $5.5 million and vests over a period of five years. Accordingly, the Company recorded deferred stock-based compensation of $5.5 million that will be amortized on an accelerated basis over the vesting period consistent with the method described in FIN 28.</w:t>
      </w:r>
    </w:p>
    <w:p>
      <w:pPr>
        <w:spacing w:after="0" w:line="186"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On November 24, 2003, the Company acquired the remaining 54% of the shares of Asica not owned by the Company pursuant to a merger agreement. Prior to the merger, the Company owned 46% of the shares of Asica, which designs and develops digital signal processors used in consumer and other applications. The acquisition has been accounted for using the purchase method of accounting, and the operating results of Asica have been included in the Company's consolidated financial statements from the date of acquisition.</w:t>
      </w:r>
    </w:p>
    <w:p>
      <w:pPr>
        <w:spacing w:after="0" w:line="197" w:lineRule="exact"/>
        <w:rPr>
          <w:sz w:val="20"/>
          <w:szCs w:val="20"/>
          <w:color w:val="auto"/>
        </w:rPr>
      </w:pPr>
    </w:p>
    <w:p>
      <w:pPr>
        <w:ind w:firstLine="348"/>
        <w:spacing w:after="0" w:line="310" w:lineRule="auto"/>
        <w:rPr>
          <w:sz w:val="20"/>
          <w:szCs w:val="20"/>
          <w:color w:val="auto"/>
        </w:rPr>
      </w:pPr>
      <w:r>
        <w:rPr>
          <w:rFonts w:ascii="Arial" w:cs="Arial" w:eastAsia="Arial" w:hAnsi="Arial"/>
          <w:sz w:val="15"/>
          <w:szCs w:val="15"/>
          <w:color w:val="auto"/>
        </w:rPr>
        <w:t>The total purchase price of the acquisition was approximately $7.4 million. The purchase price consisted of the issuance of 180,274 shares of the Company's common stock and restricted common stock (valued at $19.36 per share for a total of $3.5 million) to Asica shareholders, the assumption of 52,042 employee stock options (valued at $16.97 per option for a total of $883,000), the Company's existing $2.8 million investment in preferred stock of Asica and acquisition related expenses of approximately $240,000. The value of the common and restricted stock was determined based on the average market price of the Company's common stock over a 3-day period ending on November 24, 2003. The value of the employee stock options assumed was determined using the Black-Scholes option pricing model with inputs of 90% for volatility, 4-year expected life, risk-free interest rate of 3% and a market value of $19.17 (the closing price of the Company's common stock on November 24, 2003). Of the 180,274 shares of common stock issued to Asica shareholders, 83,296 shares are restricted shares that vest over a four-year period. The unvested shares are subject to forfeiture in the event the shareholder terminates his employment with the Company.</w:t>
      </w:r>
    </w:p>
    <w:p>
      <w:pPr>
        <w:spacing w:after="0" w:line="162" w:lineRule="exact"/>
        <w:rPr>
          <w:sz w:val="20"/>
          <w:szCs w:val="20"/>
          <w:color w:val="auto"/>
        </w:rPr>
      </w:pPr>
    </w:p>
    <w:tbl>
      <w:tblPr>
        <w:tblLayout w:type="fixed"/>
        <w:tblInd w:w="360" w:type="dxa"/>
        <w:tblCellMar>
          <w:top w:w="0" w:type="dxa"/>
          <w:left w:w="0" w:type="dxa"/>
          <w:bottom w:w="0" w:type="dxa"/>
          <w:right w:w="0" w:type="dxa"/>
        </w:tblCellMar>
      </w:tblPr>
      <w:tr>
        <w:trPr>
          <w:trHeight w:val="222"/>
        </w:trPr>
        <w:tc>
          <w:tcPr>
            <w:tcW w:w="8580" w:type="dxa"/>
            <w:vAlign w:val="bottom"/>
            <w:gridSpan w:val="2"/>
          </w:tcPr>
          <w:p>
            <w:pPr>
              <w:spacing w:after="0"/>
              <w:rPr>
                <w:sz w:val="20"/>
                <w:szCs w:val="20"/>
                <w:color w:val="auto"/>
              </w:rPr>
            </w:pPr>
            <w:r>
              <w:rPr>
                <w:rFonts w:ascii="Arial" w:cs="Arial" w:eastAsia="Arial" w:hAnsi="Arial"/>
                <w:sz w:val="18"/>
                <w:szCs w:val="18"/>
                <w:color w:val="auto"/>
              </w:rPr>
              <w:t>The aggregate purchase price was allocated as follows (in thousands):</w:t>
            </w:r>
          </w:p>
        </w:tc>
        <w:tc>
          <w:tcPr>
            <w:tcW w:w="3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140" w:type="dxa"/>
            <w:vAlign w:val="bottom"/>
            <w:vMerge w:val="restart"/>
          </w:tcPr>
          <w:p>
            <w:pPr>
              <w:spacing w:after="0"/>
              <w:rPr>
                <w:sz w:val="18"/>
                <w:szCs w:val="18"/>
                <w:color w:val="auto"/>
              </w:rPr>
            </w:pPr>
          </w:p>
        </w:tc>
        <w:tc>
          <w:tcPr>
            <w:tcW w:w="74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440" w:type="dxa"/>
            <w:vAlign w:val="bottom"/>
          </w:tcPr>
          <w:p>
            <w:pPr>
              <w:spacing w:after="0"/>
              <w:rPr>
                <w:sz w:val="20"/>
                <w:szCs w:val="20"/>
                <w:color w:val="auto"/>
              </w:rPr>
            </w:pPr>
            <w:r>
              <w:rPr>
                <w:rFonts w:ascii="Arial" w:cs="Arial" w:eastAsia="Arial" w:hAnsi="Arial"/>
                <w:sz w:val="18"/>
                <w:szCs w:val="18"/>
                <w:color w:val="auto"/>
              </w:rPr>
              <w:t>Goodwill</w:t>
            </w:r>
          </w:p>
        </w:tc>
        <w:tc>
          <w:tcPr>
            <w:tcW w:w="3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5,079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Net liabilities assumed</w:t>
            </w:r>
          </w:p>
        </w:tc>
        <w:tc>
          <w:tcPr>
            <w:tcW w:w="3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440" w:type="dxa"/>
            <w:vAlign w:val="bottom"/>
          </w:tcPr>
          <w:p>
            <w:pPr>
              <w:spacing w:after="0"/>
              <w:rPr>
                <w:sz w:val="20"/>
                <w:szCs w:val="20"/>
                <w:color w:val="auto"/>
              </w:rPr>
            </w:pPr>
            <w:r>
              <w:rPr>
                <w:rFonts w:ascii="Arial" w:cs="Arial" w:eastAsia="Arial" w:hAnsi="Arial"/>
                <w:sz w:val="18"/>
                <w:szCs w:val="18"/>
                <w:color w:val="auto"/>
              </w:rPr>
              <w:t>Deferred tax liability</w:t>
            </w:r>
          </w:p>
        </w:tc>
        <w:tc>
          <w:tcPr>
            <w:tcW w:w="3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(144)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Deferred compensation</w:t>
            </w:r>
          </w:p>
        </w:tc>
        <w:tc>
          <w:tcPr>
            <w:tcW w:w="3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8580" w:type="dxa"/>
            <w:vAlign w:val="bottom"/>
            <w:gridSpan w:val="2"/>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62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8580" w:type="dxa"/>
            <w:vAlign w:val="bottom"/>
            <w:gridSpan w:val="2"/>
          </w:tcPr>
          <w:p>
            <w:pPr>
              <w:ind w:left="1140"/>
              <w:spacing w:after="0"/>
              <w:rPr>
                <w:sz w:val="20"/>
                <w:szCs w:val="20"/>
                <w:color w:val="auto"/>
              </w:rPr>
            </w:pPr>
            <w:r>
              <w:rPr>
                <w:rFonts w:ascii="Arial" w:cs="Arial" w:eastAsia="Arial" w:hAnsi="Arial"/>
                <w:sz w:val="18"/>
                <w:szCs w:val="18"/>
                <w:color w:val="auto"/>
              </w:rPr>
              <w:t>Aggregate purchase price</w:t>
            </w: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7,368</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140" w:type="dxa"/>
            <w:vAlign w:val="bottom"/>
          </w:tcPr>
          <w:p>
            <w:pPr>
              <w:spacing w:after="0"/>
              <w:rPr>
                <w:sz w:val="9"/>
                <w:szCs w:val="9"/>
                <w:color w:val="auto"/>
              </w:rPr>
            </w:pPr>
          </w:p>
        </w:tc>
        <w:tc>
          <w:tcPr>
            <w:tcW w:w="7440" w:type="dxa"/>
            <w:vAlign w:val="bottom"/>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40" w:type="dxa"/>
            <w:vAlign w:val="bottom"/>
          </w:tcPr>
          <w:p>
            <w:pPr>
              <w:spacing w:after="0"/>
              <w:rPr>
                <w:sz w:val="5"/>
                <w:szCs w:val="5"/>
                <w:color w:val="auto"/>
              </w:rPr>
            </w:pPr>
          </w:p>
        </w:tc>
        <w:tc>
          <w:tcPr>
            <w:tcW w:w="744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6246495</wp:posOffset>
            </wp:positionH>
            <wp:positionV relativeFrom="paragraph">
              <wp:posOffset>-323215</wp:posOffset>
            </wp:positionV>
            <wp:extent cx="12700" cy="8890"/>
            <wp:wrapNone/>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6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5671820</wp:posOffset>
            </wp:positionH>
            <wp:positionV relativeFrom="paragraph">
              <wp:posOffset>-323215</wp:posOffset>
            </wp:positionV>
            <wp:extent cx="12700" cy="8890"/>
            <wp:wrapNone/>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69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00" w:firstLine="341"/>
        <w:spacing w:after="0" w:line="332" w:lineRule="auto"/>
        <w:rPr>
          <w:sz w:val="20"/>
          <w:szCs w:val="20"/>
          <w:color w:val="auto"/>
        </w:rPr>
      </w:pPr>
      <w:r>
        <w:rPr>
          <w:rFonts w:ascii="Arial" w:cs="Arial" w:eastAsia="Arial" w:hAnsi="Arial"/>
          <w:sz w:val="16"/>
          <w:szCs w:val="16"/>
          <w:color w:val="auto"/>
        </w:rPr>
        <w:t>Amortizable intangible assets consist of purchased technology with a useful life of five years. Approximately $5.1 million has been allocated to goodwill, which represents the excess purchase price over the fair value of the net tangible and intangible assets acquired, and is not deductible for tax purposes.</w:t>
      </w:r>
    </w:p>
    <w:p>
      <w:pPr>
        <w:spacing w:after="0" w:line="139" w:lineRule="exact"/>
        <w:rPr>
          <w:sz w:val="20"/>
          <w:szCs w:val="20"/>
          <w:color w:val="auto"/>
        </w:rPr>
      </w:pPr>
    </w:p>
    <w:p>
      <w:pPr>
        <w:ind w:right="160" w:firstLine="348"/>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The deferred stock-based compensation is amortized on an accelerated basis over the vesting period of the individual awards consistent with the method described in FIN 28.</w:t>
      </w:r>
    </w:p>
    <w:p>
      <w:pPr>
        <w:spacing w:after="0" w:line="194" w:lineRule="exact"/>
        <w:rPr>
          <w:sz w:val="20"/>
          <w:szCs w:val="20"/>
          <w:color w:val="auto"/>
        </w:rPr>
      </w:pPr>
    </w:p>
    <w:p>
      <w:pPr>
        <w:ind w:right="280" w:firstLine="348"/>
        <w:spacing w:after="0" w:line="268" w:lineRule="auto"/>
        <w:rPr>
          <w:sz w:val="20"/>
          <w:szCs w:val="20"/>
          <w:color w:val="auto"/>
        </w:rPr>
      </w:pPr>
      <w:r>
        <w:rPr>
          <w:rFonts w:ascii="Arial" w:cs="Arial" w:eastAsia="Arial" w:hAnsi="Arial"/>
          <w:sz w:val="18"/>
          <w:szCs w:val="18"/>
          <w:color w:val="auto"/>
        </w:rPr>
        <w:t>The pro-forma results for the last two years for the effect of the Asica acquisition have not been disclosed because they would not be materially different from the statement of operations.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7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90" w:right="299" w:bottom="1440" w:gutter="0" w:footer="0" w:header="0"/>
        </w:sectPr>
      </w:pPr>
    </w:p>
    <w:bookmarkStart w:id="90" w:name="page91"/>
    <w:bookmarkEnd w:id="90"/>
    <w:p>
      <w:pPr>
        <w:spacing w:after="0"/>
        <w:rPr>
          <w:sz w:val="20"/>
          <w:szCs w:val="20"/>
          <w:color w:val="auto"/>
        </w:rPr>
      </w:pPr>
      <w:r>
        <w:rPr>
          <w:rFonts w:ascii="Arial" w:cs="Arial" w:eastAsia="Arial" w:hAnsi="Arial"/>
          <w:sz w:val="18"/>
          <w:szCs w:val="18"/>
          <w:b w:val="1"/>
          <w:bCs w:val="1"/>
          <w:color w:val="auto"/>
        </w:rPr>
        <w:t>Note 3 — Available-for-Sale Securities: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amortized cost and fair value of available-for-sale securities at January 31, 2005 and 2004 are presented in the following tables (in thousands):</w:t>
      </w:r>
    </w:p>
    <w:p>
      <w:pPr>
        <w:spacing w:after="0" w:line="244"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940" w:type="dxa"/>
            <w:vAlign w:val="bottom"/>
            <w:gridSpan w:val="6"/>
          </w:tcPr>
          <w:p>
            <w:pPr>
              <w:jc w:val="center"/>
              <w:ind w:right="880"/>
              <w:spacing w:after="0"/>
              <w:rPr>
                <w:sz w:val="20"/>
                <w:szCs w:val="20"/>
                <w:color w:val="auto"/>
              </w:rPr>
            </w:pPr>
            <w:r>
              <w:rPr>
                <w:rFonts w:ascii="Arial" w:cs="Arial" w:eastAsia="Arial" w:hAnsi="Arial"/>
                <w:sz w:val="14"/>
                <w:szCs w:val="14"/>
                <w:b w:val="1"/>
                <w:bCs w:val="1"/>
                <w:color w:val="auto"/>
                <w:w w:val="87"/>
              </w:rPr>
              <w:t>January 31, 2005</w:t>
            </w: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center"/>
              <w:ind w:left="212"/>
              <w:spacing w:after="0"/>
              <w:rPr>
                <w:sz w:val="20"/>
                <w:szCs w:val="20"/>
                <w:color w:val="auto"/>
              </w:rPr>
            </w:pPr>
            <w:r>
              <w:rPr>
                <w:rFonts w:ascii="Arial" w:cs="Arial" w:eastAsia="Arial" w:hAnsi="Arial"/>
                <w:sz w:val="14"/>
                <w:szCs w:val="14"/>
                <w:b w:val="1"/>
                <w:bCs w:val="1"/>
                <w:color w:val="auto"/>
                <w:w w:val="78"/>
              </w:rPr>
              <w:t>Gross</w:t>
            </w: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3"/>
              </w:rPr>
              <w:t>Gross</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Amortized</w:t>
            </w:r>
          </w:p>
        </w:tc>
        <w:tc>
          <w:tcPr>
            <w:tcW w:w="100" w:type="dxa"/>
            <w:vAlign w:val="bottom"/>
          </w:tcPr>
          <w:p>
            <w:pPr>
              <w:spacing w:after="0"/>
              <w:rPr>
                <w:sz w:val="12"/>
                <w:szCs w:val="12"/>
                <w:color w:val="auto"/>
              </w:rPr>
            </w:pPr>
          </w:p>
        </w:tc>
        <w:tc>
          <w:tcPr>
            <w:tcW w:w="920" w:type="dxa"/>
            <w:vAlign w:val="bottom"/>
          </w:tcPr>
          <w:p>
            <w:pPr>
              <w:jc w:val="center"/>
              <w:ind w:left="212"/>
              <w:spacing w:after="0" w:line="149" w:lineRule="exact"/>
              <w:rPr>
                <w:sz w:val="20"/>
                <w:szCs w:val="20"/>
                <w:color w:val="auto"/>
              </w:rPr>
            </w:pPr>
            <w:r>
              <w:rPr>
                <w:rFonts w:ascii="Arial" w:cs="Arial" w:eastAsia="Arial" w:hAnsi="Arial"/>
                <w:sz w:val="14"/>
                <w:szCs w:val="14"/>
                <w:b w:val="1"/>
                <w:bCs w:val="1"/>
                <w:color w:val="auto"/>
                <w:w w:val="90"/>
              </w:rPr>
              <w:t>Unrealized</w:t>
            </w:r>
          </w:p>
        </w:tc>
        <w:tc>
          <w:tcPr>
            <w:tcW w:w="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5"/>
                <w:szCs w:val="15"/>
                <w:color w:val="auto"/>
              </w:rPr>
            </w:pPr>
          </w:p>
        </w:tc>
        <w:tc>
          <w:tcPr>
            <w:tcW w:w="920" w:type="dxa"/>
            <w:vAlign w:val="bottom"/>
          </w:tcPr>
          <w:p>
            <w:pPr>
              <w:jc w:val="center"/>
              <w:ind w:left="192"/>
              <w:spacing w:after="0"/>
              <w:rPr>
                <w:sz w:val="20"/>
                <w:szCs w:val="20"/>
                <w:color w:val="auto"/>
              </w:rPr>
            </w:pPr>
            <w:r>
              <w:rPr>
                <w:rFonts w:ascii="Arial" w:cs="Arial" w:eastAsia="Arial" w:hAnsi="Arial"/>
                <w:sz w:val="14"/>
                <w:szCs w:val="14"/>
                <w:b w:val="1"/>
                <w:bCs w:val="1"/>
                <w:color w:val="auto"/>
                <w:w w:val="87"/>
              </w:rPr>
              <w:t>Gains</w:t>
            </w:r>
          </w:p>
        </w:tc>
        <w:tc>
          <w:tcPr>
            <w:tcW w:w="3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4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78"/>
              </w:rPr>
              <w:t>Losses</w:t>
            </w: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00" w:type="dxa"/>
            <w:vAlign w:val="bottom"/>
            <w:vMerge w:val="restart"/>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44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6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73,338</w:t>
            </w:r>
          </w:p>
        </w:tc>
        <w:tc>
          <w:tcPr>
            <w:tcW w:w="120" w:type="dxa"/>
            <w:vAlign w:val="bottom"/>
            <w:tcBorders>
              <w:left w:val="single" w:sz="8" w:color="CCEEFF"/>
            </w:tcBorders>
            <w:shd w:val="clear" w:color="auto" w:fill="CCEEFF"/>
          </w:tcPr>
          <w:p>
            <w:pPr>
              <w:spacing w:after="0"/>
              <w:rPr>
                <w:sz w:val="18"/>
                <w:szCs w:val="18"/>
                <w:color w:val="auto"/>
              </w:rPr>
            </w:pPr>
          </w:p>
        </w:tc>
        <w:tc>
          <w:tcPr>
            <w:tcW w:w="1020" w:type="dxa"/>
            <w:vAlign w:val="bottom"/>
            <w:gridSpan w:val="2"/>
            <w:shd w:val="clear" w:color="auto" w:fill="CCEEFF"/>
          </w:tcPr>
          <w:p>
            <w:pPr>
              <w:jc w:val="right"/>
              <w:ind w:right="79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20" w:type="dxa"/>
            <w:vAlign w:val="bottom"/>
            <w:tcBorders>
              <w:left w:val="single" w:sz="8" w:color="CCEEFF"/>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jc w:val="center"/>
              <w:ind w:right="38"/>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(925)</w:t>
            </w:r>
          </w:p>
        </w:tc>
        <w:tc>
          <w:tcPr>
            <w:tcW w:w="1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80"/>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72,414</w:t>
            </w:r>
          </w:p>
        </w:tc>
        <w:tc>
          <w:tcPr>
            <w:tcW w:w="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298,101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5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4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298,101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w w:val="97"/>
              </w:rPr>
              <w:t>U.S. Federal, State, county and municipal debt securities</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124,073</w:t>
            </w:r>
          </w:p>
        </w:tc>
        <w:tc>
          <w:tcPr>
            <w:tcW w:w="120" w:type="dxa"/>
            <w:vAlign w:val="bottom"/>
            <w:tcBorders>
              <w:left w:val="single" w:sz="8" w:color="CCEEFF"/>
            </w:tcBorders>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20" w:type="dxa"/>
            <w:vAlign w:val="bottom"/>
            <w:tcBorders>
              <w:left w:val="single" w:sz="8" w:color="CCEEFF"/>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(1,048)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123,028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4560" w:type="dxa"/>
            <w:vAlign w:val="bottom"/>
            <w:gridSpan w:val="2"/>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4560" w:type="dxa"/>
            <w:vAlign w:val="bottom"/>
            <w:gridSpan w:val="2"/>
          </w:tcPr>
          <w:p>
            <w:pPr>
              <w:ind w:left="100"/>
              <w:spacing w:after="0"/>
              <w:rPr>
                <w:sz w:val="20"/>
                <w:szCs w:val="20"/>
                <w:color w:val="auto"/>
              </w:rPr>
            </w:pPr>
            <w:r>
              <w:rPr>
                <w:rFonts w:ascii="Arial" w:cs="Arial" w:eastAsia="Arial" w:hAnsi="Arial"/>
                <w:sz w:val="18"/>
                <w:szCs w:val="18"/>
                <w:color w:val="auto"/>
              </w:rPr>
              <w:t>Short-term investments</w:t>
            </w:r>
          </w:p>
        </w:tc>
        <w:tc>
          <w:tcPr>
            <w:tcW w:w="160" w:type="dxa"/>
            <w:vAlign w:val="bottom"/>
          </w:tcPr>
          <w:p>
            <w:pPr>
              <w:jc w:val="right"/>
              <w:ind w:right="2"/>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495,512</w:t>
            </w:r>
          </w:p>
        </w:tc>
        <w:tc>
          <w:tcPr>
            <w:tcW w:w="120" w:type="dxa"/>
            <w:vAlign w:val="bottom"/>
          </w:tcPr>
          <w:p>
            <w:pPr>
              <w:spacing w:after="0"/>
              <w:rPr>
                <w:sz w:val="24"/>
                <w:szCs w:val="24"/>
                <w:color w:val="auto"/>
              </w:rPr>
            </w:pPr>
          </w:p>
        </w:tc>
        <w:tc>
          <w:tcPr>
            <w:tcW w:w="1020" w:type="dxa"/>
            <w:vAlign w:val="bottom"/>
            <w:gridSpan w:val="2"/>
          </w:tcPr>
          <w:p>
            <w:pPr>
              <w:jc w:val="right"/>
              <w:ind w:right="792"/>
              <w:spacing w:after="0"/>
              <w:rPr>
                <w:sz w:val="20"/>
                <w:szCs w:val="20"/>
                <w:color w:val="auto"/>
              </w:rPr>
            </w:pPr>
            <w:r>
              <w:rPr>
                <w:rFonts w:ascii="Arial" w:cs="Arial" w:eastAsia="Arial" w:hAnsi="Arial"/>
                <w:sz w:val="18"/>
                <w:szCs w:val="18"/>
                <w:color w:val="auto"/>
              </w:rPr>
              <w:t>$</w:t>
            </w:r>
          </w:p>
        </w:tc>
        <w:tc>
          <w:tcPr>
            <w:tcW w:w="300" w:type="dxa"/>
            <w:vAlign w:val="bottom"/>
          </w:tcPr>
          <w:p>
            <w:pPr>
              <w:jc w:val="right"/>
              <w:spacing w:after="0"/>
              <w:rPr>
                <w:sz w:val="20"/>
                <w:szCs w:val="20"/>
                <w:color w:val="auto"/>
              </w:rPr>
            </w:pPr>
            <w:r>
              <w:rPr>
                <w:rFonts w:ascii="Arial" w:cs="Arial" w:eastAsia="Arial" w:hAnsi="Arial"/>
                <w:sz w:val="18"/>
                <w:szCs w:val="18"/>
                <w:color w:val="auto"/>
              </w:rPr>
              <w:t>4</w:t>
            </w:r>
          </w:p>
        </w:tc>
        <w:tc>
          <w:tcPr>
            <w:tcW w:w="220" w:type="dxa"/>
            <w:vAlign w:val="bottom"/>
          </w:tcPr>
          <w:p>
            <w:pPr>
              <w:spacing w:after="0"/>
              <w:rPr>
                <w:sz w:val="24"/>
                <w:szCs w:val="24"/>
                <w:color w:val="auto"/>
              </w:rPr>
            </w:pPr>
          </w:p>
        </w:tc>
        <w:tc>
          <w:tcPr>
            <w:tcW w:w="180" w:type="dxa"/>
            <w:vAlign w:val="bottom"/>
          </w:tcPr>
          <w:p>
            <w:pPr>
              <w:jc w:val="center"/>
              <w:ind w:right="38"/>
              <w:spacing w:after="0"/>
              <w:rPr>
                <w:sz w:val="20"/>
                <w:szCs w:val="20"/>
                <w:color w:val="auto"/>
              </w:rPr>
            </w:pPr>
            <w:r>
              <w:rPr>
                <w:rFonts w:ascii="Arial" w:cs="Arial" w:eastAsia="Arial" w:hAnsi="Arial"/>
                <w:sz w:val="15"/>
                <w:szCs w:val="15"/>
                <w:color w:val="auto"/>
                <w:w w:val="71"/>
              </w:rPr>
              <w:t>$</w:t>
            </w: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(1,973)</w:t>
            </w:r>
          </w:p>
        </w:tc>
        <w:tc>
          <w:tcPr>
            <w:tcW w:w="120" w:type="dxa"/>
            <w:vAlign w:val="bottom"/>
          </w:tcPr>
          <w:p>
            <w:pPr>
              <w:spacing w:after="0"/>
              <w:rPr>
                <w:sz w:val="24"/>
                <w:szCs w:val="24"/>
                <w:color w:val="auto"/>
              </w:rPr>
            </w:pPr>
          </w:p>
        </w:tc>
        <w:tc>
          <w:tcPr>
            <w:tcW w:w="260" w:type="dxa"/>
            <w:vAlign w:val="bottom"/>
            <w:gridSpan w:val="2"/>
          </w:tcPr>
          <w:p>
            <w:pPr>
              <w:jc w:val="right"/>
              <w:ind w:right="180"/>
              <w:spacing w:after="0"/>
              <w:rPr>
                <w:sz w:val="20"/>
                <w:szCs w:val="20"/>
                <w:color w:val="auto"/>
              </w:rPr>
            </w:pPr>
            <w:r>
              <w:rPr>
                <w:rFonts w:ascii="Arial" w:cs="Arial" w:eastAsia="Arial" w:hAnsi="Arial"/>
                <w:sz w:val="15"/>
                <w:szCs w:val="15"/>
                <w:color w:val="auto"/>
                <w:w w:val="71"/>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493,543</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46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120" w:type="dxa"/>
            <w:vAlign w:val="bottom"/>
            <w:tcBorders>
              <w:left w:val="single" w:sz="8" w:color="808080"/>
            </w:tcBorders>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4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120" w:type="dxa"/>
            <w:vAlign w:val="bottom"/>
            <w:shd w:val="clear" w:color="auto" w:fill="808080"/>
          </w:tcPr>
          <w:p>
            <w:pPr>
              <w:spacing w:after="0"/>
              <w:rPr>
                <w:sz w:val="5"/>
                <w:szCs w:val="5"/>
                <w:color w:val="auto"/>
              </w:rPr>
            </w:pPr>
          </w:p>
        </w:tc>
        <w:tc>
          <w:tcPr>
            <w:tcW w:w="1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4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940" w:type="dxa"/>
            <w:vAlign w:val="bottom"/>
            <w:gridSpan w:val="6"/>
          </w:tcPr>
          <w:p>
            <w:pPr>
              <w:jc w:val="center"/>
              <w:ind w:right="920"/>
              <w:spacing w:after="0"/>
              <w:rPr>
                <w:sz w:val="20"/>
                <w:szCs w:val="20"/>
                <w:color w:val="auto"/>
              </w:rPr>
            </w:pPr>
            <w:r>
              <w:rPr>
                <w:rFonts w:ascii="Arial" w:cs="Arial" w:eastAsia="Arial" w:hAnsi="Arial"/>
                <w:sz w:val="14"/>
                <w:szCs w:val="14"/>
                <w:b w:val="1"/>
                <w:bCs w:val="1"/>
                <w:color w:val="auto"/>
                <w:w w:val="87"/>
              </w:rPr>
              <w:t>January 31, 2004</w:t>
            </w:r>
          </w:p>
        </w:tc>
        <w:tc>
          <w:tcPr>
            <w:tcW w:w="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gridSpan w:val="2"/>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center"/>
              <w:ind w:left="232"/>
              <w:spacing w:after="0"/>
              <w:rPr>
                <w:sz w:val="20"/>
                <w:szCs w:val="20"/>
                <w:color w:val="auto"/>
              </w:rPr>
            </w:pPr>
            <w:r>
              <w:rPr>
                <w:rFonts w:ascii="Arial" w:cs="Arial" w:eastAsia="Arial" w:hAnsi="Arial"/>
                <w:sz w:val="14"/>
                <w:szCs w:val="14"/>
                <w:b w:val="1"/>
                <w:bCs w:val="1"/>
                <w:color w:val="auto"/>
                <w:w w:val="83"/>
              </w:rPr>
              <w:t>Gross</w:t>
            </w: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3"/>
              </w:rPr>
              <w:t>Gross</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96"/>
              </w:rPr>
              <w:t>Amortized</w:t>
            </w:r>
          </w:p>
        </w:tc>
        <w:tc>
          <w:tcPr>
            <w:tcW w:w="100" w:type="dxa"/>
            <w:vAlign w:val="bottom"/>
          </w:tcPr>
          <w:p>
            <w:pPr>
              <w:spacing w:after="0"/>
              <w:rPr>
                <w:sz w:val="12"/>
                <w:szCs w:val="12"/>
                <w:color w:val="auto"/>
              </w:rPr>
            </w:pPr>
          </w:p>
        </w:tc>
        <w:tc>
          <w:tcPr>
            <w:tcW w:w="920" w:type="dxa"/>
            <w:vAlign w:val="bottom"/>
          </w:tcPr>
          <w:p>
            <w:pPr>
              <w:jc w:val="center"/>
              <w:ind w:left="232"/>
              <w:spacing w:after="0" w:line="14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Unrealized</w:t>
            </w: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8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5"/>
                <w:szCs w:val="15"/>
                <w:color w:val="auto"/>
              </w:rPr>
            </w:pPr>
          </w:p>
        </w:tc>
        <w:tc>
          <w:tcPr>
            <w:tcW w:w="920" w:type="dxa"/>
            <w:vAlign w:val="bottom"/>
          </w:tcPr>
          <w:p>
            <w:pPr>
              <w:jc w:val="center"/>
              <w:ind w:left="232"/>
              <w:spacing w:after="0"/>
              <w:rPr>
                <w:sz w:val="20"/>
                <w:szCs w:val="20"/>
                <w:color w:val="auto"/>
              </w:rPr>
            </w:pPr>
            <w:r>
              <w:rPr>
                <w:rFonts w:ascii="Arial" w:cs="Arial" w:eastAsia="Arial" w:hAnsi="Arial"/>
                <w:sz w:val="14"/>
                <w:szCs w:val="14"/>
                <w:b w:val="1"/>
                <w:bCs w:val="1"/>
                <w:color w:val="auto"/>
                <w:w w:val="87"/>
              </w:rPr>
              <w:t>Gains</w:t>
            </w:r>
          </w:p>
        </w:tc>
        <w:tc>
          <w:tcPr>
            <w:tcW w:w="3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4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78"/>
              </w:rPr>
              <w:t>Losses</w:t>
            </w: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4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6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2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gridSpan w:val="2"/>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Borders>
              <w:top w:val="single" w:sz="8" w:color="808080"/>
            </w:tcBorders>
          </w:tcPr>
          <w:p>
            <w:pPr>
              <w:spacing w:after="0"/>
              <w:rPr>
                <w:sz w:val="9"/>
                <w:szCs w:val="9"/>
                <w:color w:val="auto"/>
              </w:rPr>
            </w:pPr>
          </w:p>
        </w:tc>
        <w:tc>
          <w:tcPr>
            <w:tcW w:w="960" w:type="dxa"/>
            <w:vAlign w:val="bottom"/>
            <w:tcBorders>
              <w:top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Borders>
              <w:top w:val="single" w:sz="8" w:color="808080"/>
            </w:tcBorders>
          </w:tcPr>
          <w:p>
            <w:pPr>
              <w:spacing w:after="0"/>
              <w:rPr>
                <w:sz w:val="9"/>
                <w:szCs w:val="9"/>
                <w:color w:val="auto"/>
              </w:rPr>
            </w:pPr>
          </w:p>
        </w:tc>
        <w:tc>
          <w:tcPr>
            <w:tcW w:w="300" w:type="dxa"/>
            <w:vAlign w:val="bottom"/>
            <w:tcBorders>
              <w:top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1040" w:type="dxa"/>
            <w:vAlign w:val="bottom"/>
            <w:tcBorders>
              <w:top w:val="single" w:sz="8" w:color="808080"/>
            </w:tcBorders>
          </w:tcPr>
          <w:p>
            <w:pPr>
              <w:spacing w:after="0"/>
              <w:rPr>
                <w:sz w:val="9"/>
                <w:szCs w:val="9"/>
                <w:color w:val="auto"/>
              </w:rPr>
            </w:pPr>
          </w:p>
        </w:tc>
        <w:tc>
          <w:tcPr>
            <w:tcW w:w="80" w:type="dxa"/>
            <w:vAlign w:val="bottom"/>
            <w:tcBorders>
              <w:top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1120" w:type="dxa"/>
            <w:vAlign w:val="bottom"/>
            <w:tcBorders>
              <w:top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60" w:type="dxa"/>
            <w:vAlign w:val="bottom"/>
            <w:shd w:val="clear" w:color="auto" w:fill="CCEEFF"/>
          </w:tcPr>
          <w:p>
            <w:pPr>
              <w:jc w:val="right"/>
              <w:ind w:right="62"/>
              <w:spacing w:after="0"/>
              <w:rPr>
                <w:sz w:val="20"/>
                <w:szCs w:val="20"/>
                <w:color w:val="auto"/>
              </w:rPr>
            </w:pPr>
            <w:r>
              <w:rPr>
                <w:rFonts w:ascii="Arial" w:cs="Arial" w:eastAsia="Arial" w:hAnsi="Arial"/>
                <w:sz w:val="5"/>
                <w:szCs w:val="5"/>
                <w:color w:val="auto"/>
                <w:w w:val="70"/>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91,794</w:t>
            </w:r>
          </w:p>
        </w:tc>
        <w:tc>
          <w:tcPr>
            <w:tcW w:w="120" w:type="dxa"/>
            <w:vAlign w:val="bottom"/>
            <w:tcBorders>
              <w:left w:val="single" w:sz="8" w:color="CCEEFF"/>
            </w:tcBorders>
            <w:shd w:val="clear" w:color="auto" w:fill="CCEEFF"/>
          </w:tcPr>
          <w:p>
            <w:pPr>
              <w:spacing w:after="0"/>
              <w:rPr>
                <w:sz w:val="18"/>
                <w:szCs w:val="18"/>
                <w:color w:val="auto"/>
              </w:rPr>
            </w:pPr>
          </w:p>
        </w:tc>
        <w:tc>
          <w:tcPr>
            <w:tcW w:w="1020" w:type="dxa"/>
            <w:vAlign w:val="bottom"/>
            <w:gridSpan w:val="2"/>
            <w:shd w:val="clear" w:color="auto" w:fill="CCEEFF"/>
          </w:tcPr>
          <w:p>
            <w:pPr>
              <w:jc w:val="right"/>
              <w:ind w:right="79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488</w:t>
            </w:r>
          </w:p>
        </w:tc>
        <w:tc>
          <w:tcPr>
            <w:tcW w:w="220" w:type="dxa"/>
            <w:vAlign w:val="bottom"/>
            <w:tcBorders>
              <w:left w:val="single" w:sz="8" w:color="CCEEFF"/>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(193)</w:t>
            </w:r>
          </w:p>
        </w:tc>
        <w:tc>
          <w:tcPr>
            <w:tcW w:w="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92,089</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50,430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5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4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50,430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w w:val="99"/>
              </w:rPr>
              <w:t>U.S. Federal, State, county and municipal debt securities</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80,485</w:t>
            </w:r>
          </w:p>
        </w:tc>
        <w:tc>
          <w:tcPr>
            <w:tcW w:w="120" w:type="dxa"/>
            <w:vAlign w:val="bottom"/>
            <w:tcBorders>
              <w:left w:val="single" w:sz="8" w:color="CCEEFF"/>
            </w:tcBorders>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407</w:t>
            </w:r>
          </w:p>
        </w:tc>
        <w:tc>
          <w:tcPr>
            <w:tcW w:w="220" w:type="dxa"/>
            <w:vAlign w:val="bottom"/>
            <w:tcBorders>
              <w:left w:val="single" w:sz="8" w:color="CCEEFF"/>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(39)</w:t>
            </w: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80,853</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46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gridSpan w:val="2"/>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222,709</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w w:val="99"/>
              </w:rPr>
              <w:t>895</w:t>
            </w: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40" w:type="dxa"/>
            <w:vAlign w:val="bottom"/>
            <w:gridSpan w:val="3"/>
          </w:tcPr>
          <w:p>
            <w:pPr>
              <w:jc w:val="right"/>
              <w:ind w:right="80"/>
              <w:spacing w:after="0"/>
              <w:rPr>
                <w:sz w:val="20"/>
                <w:szCs w:val="20"/>
                <w:color w:val="auto"/>
              </w:rPr>
            </w:pPr>
            <w:r>
              <w:rPr>
                <w:rFonts w:ascii="Arial" w:cs="Arial" w:eastAsia="Arial" w:hAnsi="Arial"/>
                <w:sz w:val="18"/>
                <w:szCs w:val="18"/>
                <w:color w:val="auto"/>
              </w:rPr>
              <w:t>(232)</w:t>
            </w: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223,372</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6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1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(11,070)</w:t>
            </w:r>
          </w:p>
        </w:tc>
        <w:tc>
          <w:tcPr>
            <w:tcW w:w="100" w:type="dxa"/>
            <w:vAlign w:val="bottom"/>
            <w:tcBorders>
              <w:right w:val="single" w:sz="8" w:color="CCEEFF"/>
            </w:tcBorders>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520" w:type="dxa"/>
            <w:vAlign w:val="bottom"/>
            <w:tcBorders>
              <w:right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(11,070)</w:t>
            </w:r>
          </w:p>
        </w:tc>
        <w:tc>
          <w:tcPr>
            <w:tcW w:w="0" w:type="dxa"/>
            <w:vAlign w:val="bottom"/>
          </w:tcPr>
          <w:p>
            <w:pPr>
              <w:spacing w:after="0"/>
              <w:rPr>
                <w:sz w:val="1"/>
                <w:szCs w:val="1"/>
                <w:color w:val="auto"/>
              </w:rPr>
            </w:pPr>
          </w:p>
        </w:tc>
      </w:tr>
      <w:tr>
        <w:trPr>
          <w:trHeight w:val="118"/>
        </w:trPr>
        <w:tc>
          <w:tcPr>
            <w:tcW w:w="4580" w:type="dxa"/>
            <w:vAlign w:val="bottom"/>
            <w:gridSpan w:val="3"/>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gridSpan w:val="2"/>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4580" w:type="dxa"/>
            <w:vAlign w:val="bottom"/>
            <w:gridSpan w:val="3"/>
          </w:tcPr>
          <w:p>
            <w:pPr>
              <w:spacing w:after="0"/>
              <w:rPr>
                <w:sz w:val="20"/>
                <w:szCs w:val="20"/>
                <w:color w:val="auto"/>
              </w:rPr>
            </w:pPr>
            <w:r>
              <w:rPr>
                <w:rFonts w:ascii="Arial" w:cs="Arial" w:eastAsia="Arial" w:hAnsi="Arial"/>
                <w:sz w:val="18"/>
                <w:szCs w:val="18"/>
                <w:color w:val="auto"/>
              </w:rPr>
              <w:t>Short-term investments</w:t>
            </w:r>
          </w:p>
        </w:tc>
        <w:tc>
          <w:tcPr>
            <w:tcW w:w="160" w:type="dxa"/>
            <w:vAlign w:val="bottom"/>
          </w:tcPr>
          <w:p>
            <w:pPr>
              <w:jc w:val="right"/>
              <w:ind w:right="62"/>
              <w:spacing w:after="0"/>
              <w:rPr>
                <w:sz w:val="20"/>
                <w:szCs w:val="20"/>
                <w:color w:val="auto"/>
              </w:rPr>
            </w:pPr>
            <w:r>
              <w:rPr>
                <w:rFonts w:ascii="Arial" w:cs="Arial" w:eastAsia="Arial" w:hAnsi="Arial"/>
                <w:sz w:val="5"/>
                <w:szCs w:val="5"/>
                <w:color w:val="auto"/>
                <w:w w:val="70"/>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211,639</w:t>
            </w:r>
          </w:p>
        </w:tc>
        <w:tc>
          <w:tcPr>
            <w:tcW w:w="120" w:type="dxa"/>
            <w:vAlign w:val="bottom"/>
          </w:tcPr>
          <w:p>
            <w:pPr>
              <w:spacing w:after="0"/>
              <w:rPr>
                <w:sz w:val="24"/>
                <w:szCs w:val="24"/>
                <w:color w:val="auto"/>
              </w:rPr>
            </w:pPr>
          </w:p>
        </w:tc>
        <w:tc>
          <w:tcPr>
            <w:tcW w:w="1020" w:type="dxa"/>
            <w:vAlign w:val="bottom"/>
            <w:gridSpan w:val="2"/>
          </w:tcPr>
          <w:p>
            <w:pPr>
              <w:jc w:val="right"/>
              <w:ind w:right="792"/>
              <w:spacing w:after="0"/>
              <w:rPr>
                <w:sz w:val="20"/>
                <w:szCs w:val="20"/>
                <w:color w:val="auto"/>
              </w:rPr>
            </w:pPr>
            <w:r>
              <w:rPr>
                <w:rFonts w:ascii="Arial" w:cs="Arial" w:eastAsia="Arial" w:hAnsi="Arial"/>
                <w:sz w:val="18"/>
                <w:szCs w:val="18"/>
                <w:color w:val="auto"/>
              </w:rPr>
              <w:t>$</w:t>
            </w:r>
          </w:p>
        </w:tc>
        <w:tc>
          <w:tcPr>
            <w:tcW w:w="300" w:type="dxa"/>
            <w:vAlign w:val="bottom"/>
          </w:tcPr>
          <w:p>
            <w:pPr>
              <w:jc w:val="right"/>
              <w:spacing w:after="0"/>
              <w:rPr>
                <w:sz w:val="20"/>
                <w:szCs w:val="20"/>
                <w:color w:val="auto"/>
              </w:rPr>
            </w:pPr>
            <w:r>
              <w:rPr>
                <w:rFonts w:ascii="Arial" w:cs="Arial" w:eastAsia="Arial" w:hAnsi="Arial"/>
                <w:sz w:val="18"/>
                <w:szCs w:val="18"/>
                <w:color w:val="auto"/>
                <w:w w:val="99"/>
              </w:rPr>
              <w:t>895</w:t>
            </w:r>
          </w:p>
        </w:tc>
        <w:tc>
          <w:tcPr>
            <w:tcW w:w="220" w:type="dxa"/>
            <w:vAlign w:val="bottom"/>
          </w:tcPr>
          <w:p>
            <w:pPr>
              <w:spacing w:after="0"/>
              <w:rPr>
                <w:sz w:val="24"/>
                <w:szCs w:val="24"/>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3"/>
          </w:tcPr>
          <w:p>
            <w:pPr>
              <w:jc w:val="right"/>
              <w:ind w:right="80"/>
              <w:spacing w:after="0"/>
              <w:rPr>
                <w:sz w:val="20"/>
                <w:szCs w:val="20"/>
                <w:color w:val="auto"/>
              </w:rPr>
            </w:pPr>
            <w:r>
              <w:rPr>
                <w:rFonts w:ascii="Arial" w:cs="Arial" w:eastAsia="Arial" w:hAnsi="Arial"/>
                <w:sz w:val="18"/>
                <w:szCs w:val="18"/>
                <w:color w:val="auto"/>
              </w:rPr>
              <w:t>(232)</w:t>
            </w:r>
          </w:p>
        </w:tc>
        <w:tc>
          <w:tcPr>
            <w:tcW w:w="2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212,302</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60" w:type="dxa"/>
            <w:vAlign w:val="bottom"/>
          </w:tcPr>
          <w:p>
            <w:pPr>
              <w:spacing w:after="0"/>
              <w:rPr>
                <w:sz w:val="9"/>
                <w:szCs w:val="9"/>
                <w:color w:val="auto"/>
              </w:rPr>
            </w:pPr>
          </w:p>
        </w:tc>
        <w:tc>
          <w:tcPr>
            <w:tcW w:w="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46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4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120" w:type="dxa"/>
            <w:vAlign w:val="bottom"/>
            <w:shd w:val="clear" w:color="auto" w:fill="808080"/>
          </w:tcPr>
          <w:p>
            <w:pPr>
              <w:spacing w:after="0"/>
              <w:rPr>
                <w:sz w:val="5"/>
                <w:szCs w:val="5"/>
                <w:color w:val="auto"/>
              </w:rPr>
            </w:pPr>
          </w:p>
        </w:tc>
        <w:tc>
          <w:tcPr>
            <w:tcW w:w="1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6803390</wp:posOffset>
            </wp:positionH>
            <wp:positionV relativeFrom="paragraph">
              <wp:posOffset>-3315970</wp:posOffset>
            </wp:positionV>
            <wp:extent cx="12700" cy="8890"/>
            <wp:wrapNone/>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7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3279140</wp:posOffset>
            </wp:positionH>
            <wp:positionV relativeFrom="paragraph">
              <wp:posOffset>-3315970</wp:posOffset>
            </wp:positionV>
            <wp:extent cx="12700" cy="8890"/>
            <wp:wrapNone/>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7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3982085</wp:posOffset>
            </wp:positionH>
            <wp:positionV relativeFrom="paragraph">
              <wp:posOffset>-2878455</wp:posOffset>
            </wp:positionV>
            <wp:extent cx="12700" cy="8890"/>
            <wp:wrapNone/>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7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3279140</wp:posOffset>
            </wp:positionH>
            <wp:positionV relativeFrom="paragraph">
              <wp:posOffset>-2878455</wp:posOffset>
            </wp:positionV>
            <wp:extent cx="12700" cy="8890"/>
            <wp:wrapNone/>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7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-2878455</wp:posOffset>
            </wp:positionV>
            <wp:extent cx="12700" cy="8890"/>
            <wp:wrapNone/>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7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-2878455</wp:posOffset>
            </wp:positionV>
            <wp:extent cx="12700" cy="8890"/>
            <wp:wrapNone/>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7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5800090</wp:posOffset>
            </wp:positionH>
            <wp:positionV relativeFrom="paragraph">
              <wp:posOffset>-2878455</wp:posOffset>
            </wp:positionV>
            <wp:extent cx="12700" cy="8890"/>
            <wp:wrapNone/>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7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-2878455</wp:posOffset>
            </wp:positionV>
            <wp:extent cx="12700" cy="8890"/>
            <wp:wrapNone/>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7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6803390</wp:posOffset>
            </wp:positionH>
            <wp:positionV relativeFrom="paragraph">
              <wp:posOffset>-2878455</wp:posOffset>
            </wp:positionV>
            <wp:extent cx="12700" cy="8890"/>
            <wp:wrapNone/>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7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5937250</wp:posOffset>
            </wp:positionH>
            <wp:positionV relativeFrom="paragraph">
              <wp:posOffset>-2878455</wp:posOffset>
            </wp:positionV>
            <wp:extent cx="12700" cy="8890"/>
            <wp:wrapNone/>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7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3982085</wp:posOffset>
            </wp:positionH>
            <wp:positionV relativeFrom="paragraph">
              <wp:posOffset>-2312670</wp:posOffset>
            </wp:positionV>
            <wp:extent cx="12700" cy="8890"/>
            <wp:wrapNone/>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embed="rId7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3279140</wp:posOffset>
            </wp:positionH>
            <wp:positionV relativeFrom="paragraph">
              <wp:posOffset>-2312670</wp:posOffset>
            </wp:positionV>
            <wp:extent cx="12700" cy="8890"/>
            <wp:wrapNone/>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7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-2312670</wp:posOffset>
            </wp:positionV>
            <wp:extent cx="12700" cy="8890"/>
            <wp:wrapNone/>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7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-2312670</wp:posOffset>
            </wp:positionV>
            <wp:extent cx="12700" cy="8890"/>
            <wp:wrapNone/>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7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5800090</wp:posOffset>
            </wp:positionH>
            <wp:positionV relativeFrom="paragraph">
              <wp:posOffset>-2312670</wp:posOffset>
            </wp:positionV>
            <wp:extent cx="12700" cy="8890"/>
            <wp:wrapNone/>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7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-2312670</wp:posOffset>
            </wp:positionV>
            <wp:extent cx="12700" cy="8890"/>
            <wp:wrapNone/>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7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6803390</wp:posOffset>
            </wp:positionH>
            <wp:positionV relativeFrom="paragraph">
              <wp:posOffset>-2312670</wp:posOffset>
            </wp:positionV>
            <wp:extent cx="12700" cy="8890"/>
            <wp:wrapNone/>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7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5937250</wp:posOffset>
            </wp:positionH>
            <wp:positionV relativeFrom="paragraph">
              <wp:posOffset>-2312670</wp:posOffset>
            </wp:positionV>
            <wp:extent cx="12700" cy="8890"/>
            <wp:wrapNone/>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7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6812280</wp:posOffset>
            </wp:positionH>
            <wp:positionV relativeFrom="paragraph">
              <wp:posOffset>-1755140</wp:posOffset>
            </wp:positionV>
            <wp:extent cx="12700" cy="8890"/>
            <wp:wrapNone/>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3253105</wp:posOffset>
            </wp:positionH>
            <wp:positionV relativeFrom="paragraph">
              <wp:posOffset>-1755140</wp:posOffset>
            </wp:positionV>
            <wp:extent cx="12700" cy="8890"/>
            <wp:wrapNone/>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7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3973830</wp:posOffset>
            </wp:positionH>
            <wp:positionV relativeFrom="paragraph">
              <wp:posOffset>-1317625</wp:posOffset>
            </wp:positionV>
            <wp:extent cx="12700" cy="8890"/>
            <wp:wrapNone/>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7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3253105</wp:posOffset>
            </wp:positionH>
            <wp:positionV relativeFrom="paragraph">
              <wp:posOffset>-1317625</wp:posOffset>
            </wp:positionV>
            <wp:extent cx="12700" cy="8890"/>
            <wp:wrapNone/>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7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-1317625</wp:posOffset>
            </wp:positionV>
            <wp:extent cx="12700" cy="8890"/>
            <wp:wrapNone/>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7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-1317625</wp:posOffset>
            </wp:positionV>
            <wp:extent cx="12700" cy="8890"/>
            <wp:wrapNone/>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7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5851525</wp:posOffset>
            </wp:positionH>
            <wp:positionV relativeFrom="paragraph">
              <wp:posOffset>-1317625</wp:posOffset>
            </wp:positionV>
            <wp:extent cx="12700" cy="8890"/>
            <wp:wrapNone/>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7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5045710</wp:posOffset>
            </wp:positionH>
            <wp:positionV relativeFrom="paragraph">
              <wp:posOffset>-1317625</wp:posOffset>
            </wp:positionV>
            <wp:extent cx="12700" cy="8890"/>
            <wp:wrapNone/>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7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6812280</wp:posOffset>
            </wp:positionH>
            <wp:positionV relativeFrom="paragraph">
              <wp:posOffset>-1317625</wp:posOffset>
            </wp:positionV>
            <wp:extent cx="12700" cy="8890"/>
            <wp:wrapNone/>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7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5988685</wp:posOffset>
            </wp:positionH>
            <wp:positionV relativeFrom="paragraph">
              <wp:posOffset>-1317625</wp:posOffset>
            </wp:positionV>
            <wp:extent cx="12700" cy="8890"/>
            <wp:wrapNone/>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7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3973830</wp:posOffset>
            </wp:positionH>
            <wp:positionV relativeFrom="paragraph">
              <wp:posOffset>-751840</wp:posOffset>
            </wp:positionV>
            <wp:extent cx="12700" cy="8890"/>
            <wp:wrapNone/>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7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3253105</wp:posOffset>
            </wp:positionH>
            <wp:positionV relativeFrom="paragraph">
              <wp:posOffset>-751840</wp:posOffset>
            </wp:positionV>
            <wp:extent cx="12700" cy="8890"/>
            <wp:wrapNone/>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7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-751840</wp:posOffset>
            </wp:positionV>
            <wp:extent cx="12700" cy="8890"/>
            <wp:wrapNone/>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7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-751840</wp:posOffset>
            </wp:positionV>
            <wp:extent cx="12700" cy="8890"/>
            <wp:wrapNone/>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7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5851525</wp:posOffset>
            </wp:positionH>
            <wp:positionV relativeFrom="paragraph">
              <wp:posOffset>-751840</wp:posOffset>
            </wp:positionV>
            <wp:extent cx="12700" cy="8890"/>
            <wp:wrapNone/>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7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5045710</wp:posOffset>
            </wp:positionH>
            <wp:positionV relativeFrom="paragraph">
              <wp:posOffset>-751840</wp:posOffset>
            </wp:positionV>
            <wp:extent cx="12700" cy="8890"/>
            <wp:wrapNone/>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7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6812280</wp:posOffset>
            </wp:positionH>
            <wp:positionV relativeFrom="paragraph">
              <wp:posOffset>-751840</wp:posOffset>
            </wp:positionV>
            <wp:extent cx="12700" cy="8890"/>
            <wp:wrapNone/>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7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5988685</wp:posOffset>
            </wp:positionH>
            <wp:positionV relativeFrom="paragraph">
              <wp:posOffset>-751840</wp:posOffset>
            </wp:positionV>
            <wp:extent cx="12700" cy="8890"/>
            <wp:wrapNone/>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7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3973830</wp:posOffset>
            </wp:positionH>
            <wp:positionV relativeFrom="paragraph">
              <wp:posOffset>-323215</wp:posOffset>
            </wp:positionV>
            <wp:extent cx="12700" cy="8890"/>
            <wp:wrapNone/>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7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3253105</wp:posOffset>
            </wp:positionH>
            <wp:positionV relativeFrom="paragraph">
              <wp:posOffset>-323215</wp:posOffset>
            </wp:positionV>
            <wp:extent cx="12700" cy="8890"/>
            <wp:wrapNone/>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7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-323215</wp:posOffset>
            </wp:positionV>
            <wp:extent cx="12700" cy="8890"/>
            <wp:wrapNone/>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7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-323215</wp:posOffset>
            </wp:positionV>
            <wp:extent cx="12700" cy="8890"/>
            <wp:wrapNone/>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7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5851525</wp:posOffset>
            </wp:positionH>
            <wp:positionV relativeFrom="paragraph">
              <wp:posOffset>-323215</wp:posOffset>
            </wp:positionV>
            <wp:extent cx="12700" cy="8890"/>
            <wp:wrapNone/>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5045710</wp:posOffset>
            </wp:positionH>
            <wp:positionV relativeFrom="paragraph">
              <wp:posOffset>-323215</wp:posOffset>
            </wp:positionV>
            <wp:extent cx="12700" cy="8890"/>
            <wp:wrapNone/>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7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6812280</wp:posOffset>
            </wp:positionH>
            <wp:positionV relativeFrom="paragraph">
              <wp:posOffset>-323215</wp:posOffset>
            </wp:positionV>
            <wp:extent cx="12700" cy="8890"/>
            <wp:wrapNone/>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5988685</wp:posOffset>
            </wp:positionH>
            <wp:positionV relativeFrom="paragraph">
              <wp:posOffset>-323215</wp:posOffset>
            </wp:positionV>
            <wp:extent cx="12700" cy="8890"/>
            <wp:wrapNone/>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7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140" w:firstLine="341"/>
        <w:spacing w:after="0" w:line="259"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94" w:lineRule="exact"/>
        <w:rPr>
          <w:sz w:val="20"/>
          <w:szCs w:val="20"/>
          <w:color w:val="auto"/>
        </w:rPr>
      </w:pPr>
    </w:p>
    <w:p>
      <w:pPr>
        <w:ind w:right="200" w:firstLine="348"/>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January 31, 2005 are presented in the following table (in thousands):</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jc w:val="right"/>
              <w:ind w:right="199"/>
              <w:spacing w:after="0"/>
              <w:rPr>
                <w:sz w:val="20"/>
                <w:szCs w:val="20"/>
                <w:color w:val="auto"/>
              </w:rPr>
            </w:pPr>
            <w:r>
              <w:rPr>
                <w:rFonts w:ascii="Arial" w:cs="Arial" w:eastAsia="Arial" w:hAnsi="Arial"/>
                <w:sz w:val="14"/>
                <w:szCs w:val="14"/>
                <w:b w:val="1"/>
                <w:bCs w:val="1"/>
                <w:color w:val="auto"/>
                <w:w w:val="99"/>
              </w:rPr>
              <w:t>Amortized</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tcPr>
          <w:p>
            <w:pPr>
              <w:jc w:val="right"/>
              <w:ind w:right="219"/>
              <w:spacing w:after="0"/>
              <w:rPr>
                <w:sz w:val="20"/>
                <w:szCs w:val="20"/>
                <w:color w:val="auto"/>
              </w:rPr>
            </w:pPr>
            <w:r>
              <w:rPr>
                <w:rFonts w:ascii="Arial" w:cs="Arial" w:eastAsia="Arial" w:hAnsi="Arial"/>
                <w:sz w:val="14"/>
                <w:szCs w:val="14"/>
                <w:b w:val="1"/>
                <w:bCs w:val="1"/>
                <w:color w:val="auto"/>
              </w:rPr>
              <w:t>Estimated</w:t>
            </w:r>
          </w:p>
        </w:tc>
        <w:tc>
          <w:tcPr>
            <w:tcW w:w="1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220" w:type="dxa"/>
            <w:vAlign w:val="bottom"/>
          </w:tcPr>
          <w:p>
            <w:pPr>
              <w:spacing w:after="0"/>
              <w:rPr>
                <w:sz w:val="15"/>
                <w:szCs w:val="15"/>
                <w:color w:val="auto"/>
              </w:rPr>
            </w:pPr>
          </w:p>
        </w:tc>
        <w:tc>
          <w:tcPr>
            <w:tcW w:w="3320" w:type="dxa"/>
            <w:vAlign w:val="bottom"/>
          </w:tcPr>
          <w:p>
            <w:pPr>
              <w:spacing w:after="0"/>
              <w:rPr>
                <w:sz w:val="15"/>
                <w:szCs w:val="15"/>
                <w:color w:val="auto"/>
              </w:rPr>
            </w:pPr>
          </w:p>
        </w:tc>
        <w:tc>
          <w:tcPr>
            <w:tcW w:w="30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jc w:val="right"/>
              <w:ind w:right="379"/>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jc w:val="right"/>
              <w:ind w:right="199"/>
              <w:spacing w:after="0"/>
              <w:rPr>
                <w:sz w:val="20"/>
                <w:szCs w:val="20"/>
                <w:color w:val="auto"/>
              </w:rPr>
            </w:pPr>
            <w:r>
              <w:rPr>
                <w:rFonts w:ascii="Arial" w:cs="Arial" w:eastAsia="Arial" w:hAnsi="Arial"/>
                <w:sz w:val="14"/>
                <w:szCs w:val="14"/>
                <w:b w:val="1"/>
                <w:bCs w:val="1"/>
                <w:color w:val="auto"/>
              </w:rPr>
              <w:t>Fair Value</w:t>
            </w: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220" w:type="dxa"/>
            <w:vAlign w:val="bottom"/>
          </w:tcPr>
          <w:p>
            <w:pPr>
              <w:spacing w:after="0"/>
              <w:rPr>
                <w:sz w:val="9"/>
                <w:szCs w:val="9"/>
                <w:color w:val="auto"/>
              </w:rPr>
            </w:pPr>
          </w:p>
        </w:tc>
        <w:tc>
          <w:tcPr>
            <w:tcW w:w="33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220" w:type="dxa"/>
            <w:vAlign w:val="bottom"/>
            <w:vMerge w:val="restart"/>
          </w:tcPr>
          <w:p>
            <w:pPr>
              <w:spacing w:after="0"/>
              <w:rPr>
                <w:sz w:val="9"/>
                <w:szCs w:val="9"/>
                <w:color w:val="auto"/>
              </w:rPr>
            </w:pPr>
          </w:p>
        </w:tc>
        <w:tc>
          <w:tcPr>
            <w:tcW w:w="3320" w:type="dxa"/>
            <w:vAlign w:val="bottom"/>
          </w:tcPr>
          <w:p>
            <w:pPr>
              <w:spacing w:after="0"/>
              <w:rPr>
                <w:sz w:val="9"/>
                <w:szCs w:val="9"/>
                <w:color w:val="auto"/>
              </w:rPr>
            </w:pPr>
          </w:p>
        </w:tc>
        <w:tc>
          <w:tcPr>
            <w:tcW w:w="3060" w:type="dxa"/>
            <w:vAlign w:val="bottom"/>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3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37,828</w:t>
            </w:r>
          </w:p>
        </w:tc>
        <w:tc>
          <w:tcPr>
            <w:tcW w:w="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37,589</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30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159,583</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157,853</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3060" w:type="dxa"/>
            <w:vAlign w:val="bottom"/>
            <w:shd w:val="clear" w:color="auto" w:fill="CCEEFF"/>
          </w:tcPr>
          <w:p>
            <w:pPr>
              <w:spacing w:after="0"/>
              <w:rPr>
                <w:sz w:val="18"/>
                <w:szCs w:val="18"/>
                <w:color w:val="auto"/>
              </w:rPr>
            </w:pPr>
          </w:p>
        </w:tc>
        <w:tc>
          <w:tcPr>
            <w:tcW w:w="200" w:type="dxa"/>
            <w:vAlign w:val="bottom"/>
            <w:tcBorders>
              <w:left w:val="single" w:sz="8" w:color="CCEEFF"/>
            </w:tcBorders>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298,101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298,101</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220" w:type="dxa"/>
            <w:vAlign w:val="bottom"/>
          </w:tcPr>
          <w:p>
            <w:pPr>
              <w:spacing w:after="0"/>
              <w:rPr>
                <w:sz w:val="10"/>
                <w:szCs w:val="10"/>
                <w:color w:val="auto"/>
              </w:rPr>
            </w:pPr>
          </w:p>
        </w:tc>
        <w:tc>
          <w:tcPr>
            <w:tcW w:w="332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12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32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495,512</w:t>
            </w:r>
          </w:p>
        </w:tc>
        <w:tc>
          <w:tcPr>
            <w:tcW w:w="4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493,543</w:t>
            </w: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220" w:type="dxa"/>
            <w:vAlign w:val="bottom"/>
          </w:tcPr>
          <w:p>
            <w:pPr>
              <w:spacing w:after="0"/>
              <w:rPr>
                <w:sz w:val="9"/>
                <w:szCs w:val="9"/>
                <w:color w:val="auto"/>
              </w:rPr>
            </w:pPr>
          </w:p>
        </w:tc>
        <w:tc>
          <w:tcPr>
            <w:tcW w:w="3320" w:type="dxa"/>
            <w:vAlign w:val="bottom"/>
          </w:tcPr>
          <w:p>
            <w:pPr>
              <w:spacing w:after="0"/>
              <w:rPr>
                <w:sz w:val="9"/>
                <w:szCs w:val="9"/>
                <w:color w:val="auto"/>
              </w:rPr>
            </w:pPr>
          </w:p>
        </w:tc>
        <w:tc>
          <w:tcPr>
            <w:tcW w:w="3060" w:type="dxa"/>
            <w:vAlign w:val="bottom"/>
            <w:vMerge w:val="restart"/>
          </w:tcPr>
          <w:p>
            <w:pPr>
              <w:jc w:val="right"/>
              <w:ind w:right="1712"/>
              <w:spacing w:after="0"/>
              <w:rPr>
                <w:sz w:val="20"/>
                <w:szCs w:val="20"/>
                <w:color w:val="auto"/>
              </w:rPr>
            </w:pPr>
            <w:r>
              <w:rPr>
                <w:rFonts w:ascii="Arial" w:cs="Arial" w:eastAsia="Arial" w:hAnsi="Arial"/>
                <w:sz w:val="18"/>
                <w:szCs w:val="18"/>
                <w:color w:val="auto"/>
              </w:rPr>
              <w:t>90</w:t>
            </w: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220" w:type="dxa"/>
            <w:vAlign w:val="bottom"/>
          </w:tcPr>
          <w:p>
            <w:pPr>
              <w:spacing w:after="0"/>
              <w:rPr>
                <w:sz w:val="5"/>
                <w:szCs w:val="5"/>
                <w:color w:val="auto"/>
              </w:rPr>
            </w:pPr>
          </w:p>
        </w:tc>
        <w:tc>
          <w:tcPr>
            <w:tcW w:w="3320" w:type="dxa"/>
            <w:vAlign w:val="bottom"/>
          </w:tcPr>
          <w:p>
            <w:pPr>
              <w:spacing w:after="0"/>
              <w:rPr>
                <w:sz w:val="5"/>
                <w:szCs w:val="5"/>
                <w:color w:val="auto"/>
              </w:rPr>
            </w:pPr>
          </w:p>
        </w:tc>
        <w:tc>
          <w:tcPr>
            <w:tcW w:w="3060" w:type="dxa"/>
            <w:vAlign w:val="bottom"/>
            <w:vMerge w:val="continue"/>
          </w:tcPr>
          <w:p>
            <w:pPr>
              <w:spacing w:after="0"/>
              <w:rPr>
                <w:sz w:val="5"/>
                <w:szCs w:val="5"/>
                <w:color w:val="auto"/>
              </w:rPr>
            </w:pPr>
          </w:p>
        </w:tc>
        <w:tc>
          <w:tcPr>
            <w:tcW w:w="200" w:type="dxa"/>
            <w:vAlign w:val="bottom"/>
            <w:tcBorders>
              <w:left w:val="single" w:sz="8" w:color="808080"/>
            </w:tcBorders>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2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306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220" w:type="dxa"/>
            <w:vAlign w:val="bottom"/>
            <w:tcBorders>
              <w:bottom w:val="single" w:sz="8" w:color="808080"/>
            </w:tcBorders>
          </w:tcPr>
          <w:p>
            <w:pPr>
              <w:spacing w:after="0"/>
              <w:rPr>
                <w:sz w:val="19"/>
                <w:szCs w:val="19"/>
                <w:color w:val="auto"/>
              </w:rPr>
            </w:pPr>
          </w:p>
        </w:tc>
        <w:tc>
          <w:tcPr>
            <w:tcW w:w="3320" w:type="dxa"/>
            <w:vAlign w:val="bottom"/>
            <w:tcBorders>
              <w:bottom w:val="single" w:sz="8" w:color="808080"/>
            </w:tcBorders>
          </w:tcPr>
          <w:p>
            <w:pPr>
              <w:spacing w:after="0"/>
              <w:rPr>
                <w:sz w:val="19"/>
                <w:szCs w:val="19"/>
                <w:color w:val="auto"/>
              </w:rPr>
            </w:pPr>
          </w:p>
        </w:tc>
        <w:tc>
          <w:tcPr>
            <w:tcW w:w="306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5560060</wp:posOffset>
            </wp:positionH>
            <wp:positionV relativeFrom="paragraph">
              <wp:posOffset>-1386205</wp:posOffset>
            </wp:positionV>
            <wp:extent cx="12700" cy="8890"/>
            <wp:wrapNone/>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7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4831080</wp:posOffset>
            </wp:positionH>
            <wp:positionV relativeFrom="paragraph">
              <wp:posOffset>-1386205</wp:posOffset>
            </wp:positionV>
            <wp:extent cx="12700" cy="8890"/>
            <wp:wrapNone/>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7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6477635</wp:posOffset>
            </wp:positionH>
            <wp:positionV relativeFrom="paragraph">
              <wp:posOffset>-1386205</wp:posOffset>
            </wp:positionV>
            <wp:extent cx="12700" cy="8890"/>
            <wp:wrapNone/>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7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-1386205</wp:posOffset>
            </wp:positionV>
            <wp:extent cx="12700" cy="8890"/>
            <wp:wrapNone/>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7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-820420</wp:posOffset>
            </wp:positionV>
            <wp:extent cx="12700" cy="8890"/>
            <wp:wrapNone/>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7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4831080</wp:posOffset>
            </wp:positionH>
            <wp:positionV relativeFrom="paragraph">
              <wp:posOffset>-820420</wp:posOffset>
            </wp:positionV>
            <wp:extent cx="12700" cy="8890"/>
            <wp:wrapNone/>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7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6477635</wp:posOffset>
            </wp:positionH>
            <wp:positionV relativeFrom="paragraph">
              <wp:posOffset>-820420</wp:posOffset>
            </wp:positionV>
            <wp:extent cx="12700" cy="8890"/>
            <wp:wrapNone/>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7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-820420</wp:posOffset>
            </wp:positionV>
            <wp:extent cx="12700" cy="8890"/>
            <wp:wrapNone/>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7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7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7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84" w:right="239" w:bottom="1440" w:gutter="0" w:footer="0" w:header="0"/>
        </w:sectPr>
      </w:pPr>
    </w:p>
    <w:bookmarkStart w:id="91" w:name="page92"/>
    <w:bookmarkEnd w:id="91"/>
    <w:p>
      <w:pPr>
        <w:ind w:right="160" w:firstLine="348"/>
        <w:spacing w:after="0" w:line="268" w:lineRule="auto"/>
        <w:rPr>
          <w:sz w:val="20"/>
          <w:szCs w:val="20"/>
          <w:color w:val="auto"/>
        </w:rPr>
      </w:pPr>
      <w:r>
        <w:rPr>
          <w:rFonts w:ascii="Arial" w:cs="Arial" w:eastAsia="Arial" w:hAnsi="Arial"/>
          <w:sz w:val="18"/>
          <w:szCs w:val="18"/>
          <w:color w:val="auto"/>
        </w:rPr>
        <w:t>The following table summarizes the cash and cash equivalent and short-term investment balances as previously reported and as reclassified as of the period ending dates for the last two fiscal years (in thousands):</w:t>
      </w:r>
    </w:p>
    <w:p>
      <w:pPr>
        <w:spacing w:after="0" w:line="182" w:lineRule="exact"/>
        <w:rPr>
          <w:sz w:val="20"/>
          <w:szCs w:val="20"/>
          <w:color w:val="auto"/>
        </w:rPr>
      </w:pPr>
    </w:p>
    <w:tbl>
      <w:tblPr>
        <w:tblLayout w:type="fixed"/>
        <w:tblInd w:w="11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4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520" w:type="dxa"/>
            <w:vAlign w:val="bottom"/>
            <w:gridSpan w:val="4"/>
          </w:tcPr>
          <w:p>
            <w:pPr>
              <w:jc w:val="right"/>
              <w:ind w:right="459"/>
              <w:spacing w:after="0"/>
              <w:rPr>
                <w:sz w:val="20"/>
                <w:szCs w:val="20"/>
                <w:color w:val="auto"/>
              </w:rPr>
            </w:pPr>
            <w:r>
              <w:rPr>
                <w:rFonts w:ascii="Arial" w:cs="Arial" w:eastAsia="Arial" w:hAnsi="Arial"/>
                <w:sz w:val="14"/>
                <w:szCs w:val="14"/>
                <w:b w:val="1"/>
                <w:bCs w:val="1"/>
                <w:color w:val="auto"/>
              </w:rPr>
              <w:t>Cash and Cash Equivalents</w:t>
            </w: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0" w:type="dxa"/>
            <w:vAlign w:val="bottom"/>
            <w:gridSpan w:val="4"/>
          </w:tcPr>
          <w:p>
            <w:pPr>
              <w:jc w:val="right"/>
              <w:ind w:right="599"/>
              <w:spacing w:after="0"/>
              <w:rPr>
                <w:sz w:val="20"/>
                <w:szCs w:val="20"/>
                <w:color w:val="auto"/>
              </w:rPr>
            </w:pPr>
            <w:r>
              <w:rPr>
                <w:rFonts w:ascii="Arial" w:cs="Arial" w:eastAsia="Arial" w:hAnsi="Arial"/>
                <w:sz w:val="14"/>
                <w:szCs w:val="14"/>
                <w:b w:val="1"/>
                <w:bCs w:val="1"/>
                <w:color w:val="auto"/>
              </w:rPr>
              <w:t>Short-Term Investments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4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248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00" w:type="dxa"/>
            <w:vAlign w:val="bottom"/>
          </w:tcPr>
          <w:p>
            <w:pPr>
              <w:jc w:val="right"/>
              <w:ind w:right="142"/>
              <w:spacing w:after="0"/>
              <w:rPr>
                <w:sz w:val="20"/>
                <w:szCs w:val="20"/>
                <w:color w:val="auto"/>
              </w:rPr>
            </w:pPr>
            <w:r>
              <w:rPr>
                <w:rFonts w:ascii="Arial" w:cs="Arial" w:eastAsia="Arial" w:hAnsi="Arial"/>
                <w:sz w:val="14"/>
                <w:szCs w:val="14"/>
                <w:b w:val="1"/>
                <w:bCs w:val="1"/>
                <w:color w:val="auto"/>
                <w:w w:val="91"/>
              </w:rPr>
              <w:t>As Reported</w:t>
            </w:r>
          </w:p>
        </w:tc>
        <w:tc>
          <w:tcPr>
            <w:tcW w:w="18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180" w:type="dxa"/>
            <w:vAlign w:val="bottom"/>
          </w:tcPr>
          <w:p>
            <w:pPr>
              <w:jc w:val="right"/>
              <w:ind w:right="159"/>
              <w:spacing w:after="0"/>
              <w:rPr>
                <w:sz w:val="20"/>
                <w:szCs w:val="20"/>
                <w:color w:val="auto"/>
              </w:rPr>
            </w:pPr>
            <w:r>
              <w:rPr>
                <w:rFonts w:ascii="Arial" w:cs="Arial" w:eastAsia="Arial" w:hAnsi="Arial"/>
                <w:sz w:val="14"/>
                <w:szCs w:val="14"/>
                <w:b w:val="1"/>
                <w:bCs w:val="1"/>
                <w:color w:val="auto"/>
                <w:w w:val="88"/>
              </w:rPr>
              <w:t>As Reclassified</w:t>
            </w:r>
          </w:p>
        </w:tc>
        <w:tc>
          <w:tcPr>
            <w:tcW w:w="1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040" w:type="dxa"/>
            <w:vAlign w:val="bottom"/>
          </w:tcPr>
          <w:p>
            <w:pPr>
              <w:jc w:val="right"/>
              <w:ind w:right="162"/>
              <w:spacing w:after="0"/>
              <w:rPr>
                <w:sz w:val="20"/>
                <w:szCs w:val="20"/>
                <w:color w:val="auto"/>
              </w:rPr>
            </w:pPr>
            <w:r>
              <w:rPr>
                <w:rFonts w:ascii="Arial" w:cs="Arial" w:eastAsia="Arial" w:hAnsi="Arial"/>
                <w:sz w:val="14"/>
                <w:szCs w:val="14"/>
                <w:b w:val="1"/>
                <w:bCs w:val="1"/>
                <w:color w:val="auto"/>
                <w:w w:val="93"/>
              </w:rPr>
              <w:t>As Reported</w:t>
            </w:r>
          </w:p>
        </w:tc>
        <w:tc>
          <w:tcPr>
            <w:tcW w:w="18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20" w:type="dxa"/>
            <w:vAlign w:val="bottom"/>
          </w:tcPr>
          <w:p>
            <w:pPr>
              <w:jc w:val="right"/>
              <w:ind w:right="179"/>
              <w:spacing w:after="0"/>
              <w:rPr>
                <w:sz w:val="20"/>
                <w:szCs w:val="20"/>
                <w:color w:val="auto"/>
              </w:rPr>
            </w:pPr>
            <w:r>
              <w:rPr>
                <w:rFonts w:ascii="Arial" w:cs="Arial" w:eastAsia="Arial" w:hAnsi="Arial"/>
                <w:sz w:val="14"/>
                <w:szCs w:val="14"/>
                <w:b w:val="1"/>
                <w:bCs w:val="1"/>
                <w:color w:val="auto"/>
                <w:w w:val="90"/>
              </w:rPr>
              <w:t>As Reclassified</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4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4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80" w:type="dxa"/>
            <w:vAlign w:val="bottom"/>
            <w:shd w:val="clear" w:color="auto" w:fill="CCEEFF"/>
          </w:tcPr>
          <w:p>
            <w:pPr>
              <w:spacing w:after="0"/>
              <w:rPr>
                <w:sz w:val="20"/>
                <w:szCs w:val="20"/>
                <w:color w:val="auto"/>
              </w:rPr>
            </w:pPr>
            <w:r>
              <w:rPr>
                <w:rFonts w:ascii="Arial" w:cs="Arial" w:eastAsia="Arial" w:hAnsi="Arial"/>
                <w:sz w:val="18"/>
                <w:szCs w:val="18"/>
                <w:color w:val="auto"/>
              </w:rPr>
              <w:t>Year ended:</w:t>
            </w:r>
          </w:p>
        </w:tc>
        <w:tc>
          <w:tcPr>
            <w:tcW w:w="1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80" w:type="dxa"/>
            <w:vAlign w:val="bottom"/>
          </w:tcPr>
          <w:p>
            <w:pPr>
              <w:ind w:left="160"/>
              <w:spacing w:after="0"/>
              <w:rPr>
                <w:sz w:val="20"/>
                <w:szCs w:val="20"/>
                <w:color w:val="auto"/>
              </w:rPr>
            </w:pPr>
            <w:r>
              <w:rPr>
                <w:rFonts w:ascii="Arial" w:cs="Arial" w:eastAsia="Arial" w:hAnsi="Arial"/>
                <w:sz w:val="18"/>
                <w:szCs w:val="18"/>
                <w:color w:val="auto"/>
              </w:rPr>
              <w:t>January 31, 2004</w:t>
            </w:r>
          </w:p>
        </w:tc>
        <w:tc>
          <w:tcPr>
            <w:tcW w:w="1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224,399</w:t>
            </w:r>
          </w:p>
        </w:tc>
        <w:tc>
          <w:tcPr>
            <w:tcW w:w="3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173,969</w:t>
            </w:r>
          </w:p>
        </w:tc>
        <w:tc>
          <w:tcPr>
            <w:tcW w:w="3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161,872</w:t>
            </w:r>
          </w:p>
        </w:tc>
        <w:tc>
          <w:tcPr>
            <w:tcW w:w="3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212,302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January 31, 2003</w:t>
            </w:r>
          </w:p>
        </w:tc>
        <w:tc>
          <w:tcPr>
            <w:tcW w:w="13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125,316</w:t>
            </w:r>
          </w:p>
        </w:tc>
        <w:tc>
          <w:tcPr>
            <w:tcW w:w="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112,211</w:t>
            </w:r>
          </w:p>
        </w:tc>
        <w:tc>
          <w:tcPr>
            <w:tcW w:w="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139,912</w:t>
            </w:r>
          </w:p>
        </w:tc>
        <w:tc>
          <w:tcPr>
            <w:tcW w:w="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153,017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4702810</wp:posOffset>
            </wp:positionH>
            <wp:positionV relativeFrom="paragraph">
              <wp:posOffset>-741045</wp:posOffset>
            </wp:positionV>
            <wp:extent cx="12700" cy="8890"/>
            <wp:wrapNone/>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7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3013075</wp:posOffset>
            </wp:positionH>
            <wp:positionV relativeFrom="paragraph">
              <wp:posOffset>-741045</wp:posOffset>
            </wp:positionV>
            <wp:extent cx="12700" cy="8890"/>
            <wp:wrapNone/>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7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-741045</wp:posOffset>
            </wp:positionV>
            <wp:extent cx="12700" cy="8890"/>
            <wp:wrapNone/>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4822825</wp:posOffset>
            </wp:positionH>
            <wp:positionV relativeFrom="paragraph">
              <wp:posOffset>-741045</wp:posOffset>
            </wp:positionV>
            <wp:extent cx="12700" cy="8890"/>
            <wp:wrapNone/>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3733800</wp:posOffset>
            </wp:positionH>
            <wp:positionV relativeFrom="paragraph">
              <wp:posOffset>-492760</wp:posOffset>
            </wp:positionV>
            <wp:extent cx="12700" cy="8890"/>
            <wp:wrapNone/>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7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3013075</wp:posOffset>
            </wp:positionH>
            <wp:positionV relativeFrom="paragraph">
              <wp:posOffset>-492760</wp:posOffset>
            </wp:positionV>
            <wp:extent cx="12700" cy="8890"/>
            <wp:wrapNone/>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7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4702810</wp:posOffset>
            </wp:positionH>
            <wp:positionV relativeFrom="paragraph">
              <wp:posOffset>-492760</wp:posOffset>
            </wp:positionV>
            <wp:extent cx="12700" cy="8890"/>
            <wp:wrapNone/>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7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3853815</wp:posOffset>
            </wp:positionH>
            <wp:positionV relativeFrom="paragraph">
              <wp:posOffset>-492760</wp:posOffset>
            </wp:positionV>
            <wp:extent cx="12700" cy="8890"/>
            <wp:wrapNone/>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7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-492760</wp:posOffset>
            </wp:positionV>
            <wp:extent cx="12700" cy="8890"/>
            <wp:wrapNone/>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7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4822825</wp:posOffset>
            </wp:positionH>
            <wp:positionV relativeFrom="paragraph">
              <wp:posOffset>-492760</wp:posOffset>
            </wp:positionV>
            <wp:extent cx="12700" cy="8890"/>
            <wp:wrapNone/>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7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-492760</wp:posOffset>
            </wp:positionV>
            <wp:extent cx="12700" cy="8890"/>
            <wp:wrapNone/>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7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-492760</wp:posOffset>
            </wp:positionV>
            <wp:extent cx="12700" cy="8890"/>
            <wp:wrapNone/>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76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right="280" w:firstLine="341"/>
        <w:spacing w:after="0" w:line="268" w:lineRule="auto"/>
        <w:rPr>
          <w:sz w:val="20"/>
          <w:szCs w:val="20"/>
          <w:color w:val="auto"/>
        </w:rPr>
      </w:pPr>
      <w:r>
        <w:rPr>
          <w:rFonts w:ascii="Arial" w:cs="Arial" w:eastAsia="Arial" w:hAnsi="Arial"/>
          <w:sz w:val="18"/>
          <w:szCs w:val="18"/>
          <w:color w:val="auto"/>
        </w:rPr>
        <w:t>As a result of these changes, the Company reclassified the following line items in the Statements of Cash Flows for the years ended January 31, 2004 and 2003, respectively (in thousands):</w:t>
      </w:r>
    </w:p>
    <w:p>
      <w:pPr>
        <w:spacing w:after="0" w:line="182"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66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700" w:type="dxa"/>
            <w:vAlign w:val="bottom"/>
            <w:gridSpan w:val="6"/>
          </w:tcPr>
          <w:p>
            <w:pPr>
              <w:jc w:val="right"/>
              <w:ind w:right="940"/>
              <w:spacing w:after="0"/>
              <w:rPr>
                <w:sz w:val="20"/>
                <w:szCs w:val="20"/>
                <w:color w:val="auto"/>
              </w:rPr>
            </w:pPr>
            <w:r>
              <w:rPr>
                <w:rFonts w:ascii="Arial" w:cs="Arial" w:eastAsia="Arial" w:hAnsi="Arial"/>
                <w:sz w:val="14"/>
                <w:szCs w:val="14"/>
                <w:b w:val="1"/>
                <w:bCs w:val="1"/>
                <w:color w:val="auto"/>
              </w:rPr>
              <w:t>Cash Flow Activity</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6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4660" w:type="dxa"/>
            <w:vAlign w:val="bottom"/>
          </w:tcPr>
          <w:p>
            <w:pPr>
              <w:spacing w:after="0"/>
              <w:rPr>
                <w:sz w:val="23"/>
                <w:szCs w:val="23"/>
                <w:color w:val="auto"/>
              </w:rPr>
            </w:pPr>
          </w:p>
        </w:tc>
        <w:tc>
          <w:tcPr>
            <w:tcW w:w="12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3"/>
              </w:rPr>
              <w:t>As Reported</w:t>
            </w:r>
          </w:p>
        </w:tc>
        <w:tc>
          <w:tcPr>
            <w:tcW w:w="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6"/>
              </w:rPr>
              <w:t>As Reclassified</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6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6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Year ended January 31, 2004:</w:t>
            </w:r>
          </w:p>
        </w:tc>
        <w:tc>
          <w:tcPr>
            <w:tcW w:w="1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(130,810)</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40"/>
              <w:spacing w:after="0"/>
              <w:rPr>
                <w:sz w:val="20"/>
                <w:szCs w:val="20"/>
                <w:color w:val="auto"/>
              </w:rPr>
            </w:pPr>
            <w:r>
              <w:rPr>
                <w:rFonts w:ascii="Arial" w:cs="Arial" w:eastAsia="Arial" w:hAnsi="Arial"/>
                <w:sz w:val="18"/>
                <w:szCs w:val="18"/>
                <w:color w:val="auto"/>
              </w:rPr>
              <w:t>(216,261)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107,514</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155,640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Net cash used in investing activities</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(130,706)</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40"/>
              <w:spacing w:after="0"/>
              <w:rPr>
                <w:sz w:val="20"/>
                <w:szCs w:val="20"/>
                <w:color w:val="auto"/>
              </w:rPr>
            </w:pPr>
            <w:r>
              <w:rPr>
                <w:rFonts w:ascii="Arial" w:cs="Arial" w:eastAsia="Arial" w:hAnsi="Arial"/>
                <w:sz w:val="18"/>
                <w:szCs w:val="18"/>
                <w:color w:val="auto"/>
              </w:rPr>
              <w:t>(168,031)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increase in cash and cash equivalents</w:t>
            </w:r>
          </w:p>
        </w:tc>
        <w:tc>
          <w:tcPr>
            <w:tcW w:w="1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99,083</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61,758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Cash and cash equivalents at end of period</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224,399</w:t>
            </w:r>
          </w:p>
        </w:tc>
        <w:tc>
          <w:tcPr>
            <w:tcW w:w="160" w:type="dxa"/>
            <w:vAlign w:val="bottom"/>
          </w:tcPr>
          <w:p>
            <w:pPr>
              <w:spacing w:after="0"/>
              <w:rPr>
                <w:sz w:val="18"/>
                <w:szCs w:val="18"/>
                <w:color w:val="auto"/>
              </w:rPr>
            </w:pP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173,969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Year ended January 31, 2003:</w:t>
            </w:r>
          </w:p>
        </w:tc>
        <w:tc>
          <w:tcPr>
            <w:tcW w:w="12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(79,316)</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40"/>
              <w:spacing w:after="0"/>
              <w:rPr>
                <w:sz w:val="20"/>
                <w:szCs w:val="20"/>
                <w:color w:val="auto"/>
              </w:rPr>
            </w:pPr>
            <w:r>
              <w:rPr>
                <w:rFonts w:ascii="Arial" w:cs="Arial" w:eastAsia="Arial" w:hAnsi="Arial"/>
                <w:sz w:val="18"/>
                <w:szCs w:val="18"/>
                <w:color w:val="auto"/>
              </w:rPr>
              <w:t>(94,503)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75,480</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85,167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Net cash used in investing activities</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(50,263)</w:t>
            </w: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40"/>
              <w:spacing w:after="0"/>
              <w:rPr>
                <w:sz w:val="20"/>
                <w:szCs w:val="20"/>
                <w:color w:val="auto"/>
              </w:rPr>
            </w:pPr>
            <w:r>
              <w:rPr>
                <w:rFonts w:ascii="Arial" w:cs="Arial" w:eastAsia="Arial" w:hAnsi="Arial"/>
                <w:sz w:val="18"/>
                <w:szCs w:val="18"/>
                <w:color w:val="auto"/>
              </w:rPr>
              <w:t>(55,763)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increase in cash and cash equivalents</w:t>
            </w:r>
          </w:p>
        </w:tc>
        <w:tc>
          <w:tcPr>
            <w:tcW w:w="1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10,833</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ind w:left="180"/>
              <w:spacing w:after="0"/>
              <w:rPr>
                <w:sz w:val="20"/>
                <w:szCs w:val="20"/>
                <w:color w:val="auto"/>
              </w:rPr>
            </w:pPr>
            <w:r>
              <w:rPr>
                <w:rFonts w:ascii="Arial" w:cs="Arial" w:eastAsia="Arial" w:hAnsi="Arial"/>
                <w:sz w:val="18"/>
                <w:szCs w:val="18"/>
                <w:color w:val="auto"/>
              </w:rPr>
              <w:t>Cash and cash equivalents at end of period</w:t>
            </w:r>
          </w:p>
        </w:tc>
        <w:tc>
          <w:tcPr>
            <w:tcW w:w="14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125,316</w:t>
            </w:r>
          </w:p>
        </w:tc>
        <w:tc>
          <w:tcPr>
            <w:tcW w:w="160" w:type="dxa"/>
            <w:vAlign w:val="bottom"/>
          </w:tcPr>
          <w:p>
            <w:pPr>
              <w:spacing w:after="0"/>
              <w:rPr>
                <w:sz w:val="19"/>
                <w:szCs w:val="19"/>
                <w:color w:val="auto"/>
              </w:rPr>
            </w:pPr>
          </w:p>
        </w:tc>
        <w:tc>
          <w:tcPr>
            <w:tcW w:w="2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112,211</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6349365</wp:posOffset>
            </wp:positionH>
            <wp:positionV relativeFrom="paragraph">
              <wp:posOffset>-2117090</wp:posOffset>
            </wp:positionV>
            <wp:extent cx="12700" cy="8890"/>
            <wp:wrapNone/>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7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4591050</wp:posOffset>
            </wp:positionH>
            <wp:positionV relativeFrom="paragraph">
              <wp:posOffset>-2117090</wp:posOffset>
            </wp:positionV>
            <wp:extent cx="12700" cy="8890"/>
            <wp:wrapNone/>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7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-1868805</wp:posOffset>
            </wp:positionV>
            <wp:extent cx="12700" cy="8890"/>
            <wp:wrapNone/>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pic:cNvPicPr>
                      <a:picLocks noChangeAspect="1" noChangeArrowheads="1"/>
                    </pic:cNvPicPr>
                  </pic:nvPicPr>
                  <pic:blipFill>
                    <a:blip r:embed="rId7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4591050</wp:posOffset>
            </wp:positionH>
            <wp:positionV relativeFrom="paragraph">
              <wp:posOffset>-1868805</wp:posOffset>
            </wp:positionV>
            <wp:extent cx="12700" cy="8890"/>
            <wp:wrapNone/>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pic:cNvPicPr>
                      <a:picLocks noChangeAspect="1" noChangeArrowheads="1"/>
                    </pic:cNvPicPr>
                  </pic:nvPicPr>
                  <pic:blipFill>
                    <a:blip r:embed="rId7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-1868805</wp:posOffset>
            </wp:positionV>
            <wp:extent cx="12700" cy="8890"/>
            <wp:wrapNone/>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7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-1868805</wp:posOffset>
            </wp:positionV>
            <wp:extent cx="12700" cy="8890"/>
            <wp:wrapNone/>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77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200" w:firstLine="351"/>
        <w:spacing w:after="0" w:line="255"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The Company does not believe any unrealized losses represent an other-than temporary impairment based on its evaluation of available evidence. The following table shows the investments' gross unrealized losses and fair value, aggregated by investment category and length of time that individual securities have been in a continuous unrealized loss position, at January 31, 2005 (in thousands):</w:t>
      </w:r>
    </w:p>
    <w:p>
      <w:pPr>
        <w:spacing w:after="0" w:line="19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8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Less than 12 months</w:t>
            </w:r>
          </w:p>
        </w:tc>
        <w:tc>
          <w:tcPr>
            <w:tcW w:w="220" w:type="dxa"/>
            <w:vAlign w:val="bottom"/>
          </w:tcPr>
          <w:p>
            <w:pPr>
              <w:spacing w:after="0"/>
              <w:rPr>
                <w:sz w:val="15"/>
                <w:szCs w:val="15"/>
                <w:color w:val="auto"/>
              </w:rPr>
            </w:pPr>
          </w:p>
        </w:tc>
        <w:tc>
          <w:tcPr>
            <w:tcW w:w="240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12 months or more</w:t>
            </w:r>
          </w:p>
        </w:tc>
        <w:tc>
          <w:tcPr>
            <w:tcW w:w="260" w:type="dxa"/>
            <w:vAlign w:val="bottom"/>
          </w:tcPr>
          <w:p>
            <w:pPr>
              <w:spacing w:after="0"/>
              <w:rPr>
                <w:sz w:val="15"/>
                <w:szCs w:val="15"/>
                <w:color w:val="auto"/>
              </w:rPr>
            </w:pPr>
          </w:p>
        </w:tc>
        <w:tc>
          <w:tcPr>
            <w:tcW w:w="1320" w:type="dxa"/>
            <w:vAlign w:val="bottom"/>
            <w:gridSpan w:val="3"/>
          </w:tcPr>
          <w:p>
            <w:pPr>
              <w:jc w:val="right"/>
              <w:ind w:right="52"/>
              <w:spacing w:after="0"/>
              <w:rPr>
                <w:sz w:val="20"/>
                <w:szCs w:val="20"/>
                <w:color w:val="auto"/>
              </w:rPr>
            </w:pPr>
            <w:r>
              <w:rPr>
                <w:rFonts w:ascii="Arial" w:cs="Arial" w:eastAsia="Arial" w:hAnsi="Arial"/>
                <w:sz w:val="14"/>
                <w:szCs w:val="14"/>
                <w:b w:val="1"/>
                <w:bCs w:val="1"/>
                <w:color w:val="auto"/>
              </w:rPr>
              <w:t>Total</w:t>
            </w: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00" w:type="dxa"/>
            <w:vAlign w:val="bottom"/>
          </w:tcPr>
          <w:p>
            <w:pPr>
              <w:jc w:val="right"/>
              <w:ind w:right="382"/>
              <w:spacing w:after="0"/>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8"/>
              </w:rPr>
              <w:t>Unrealized</w:t>
            </w:r>
          </w:p>
        </w:tc>
        <w:tc>
          <w:tcPr>
            <w:tcW w:w="220" w:type="dxa"/>
            <w:vAlign w:val="bottom"/>
          </w:tcPr>
          <w:p>
            <w:pPr>
              <w:spacing w:after="0"/>
              <w:rPr>
                <w:sz w:val="20"/>
                <w:szCs w:val="20"/>
                <w:color w:val="auto"/>
              </w:rPr>
            </w:pPr>
          </w:p>
        </w:tc>
        <w:tc>
          <w:tcPr>
            <w:tcW w:w="820" w:type="dxa"/>
            <w:vAlign w:val="bottom"/>
          </w:tcPr>
          <w:p>
            <w:pPr>
              <w:jc w:val="right"/>
              <w:ind w:right="322"/>
              <w:spacing w:after="0"/>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8"/>
              </w:rPr>
              <w:t>Unrealized</w:t>
            </w:r>
          </w:p>
        </w:tc>
        <w:tc>
          <w:tcPr>
            <w:tcW w:w="260" w:type="dxa"/>
            <w:vAlign w:val="bottom"/>
          </w:tcPr>
          <w:p>
            <w:pPr>
              <w:spacing w:after="0"/>
              <w:rPr>
                <w:sz w:val="20"/>
                <w:szCs w:val="20"/>
                <w:color w:val="auto"/>
              </w:rPr>
            </w:pPr>
          </w:p>
        </w:tc>
        <w:tc>
          <w:tcPr>
            <w:tcW w:w="11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3"/>
              </w:rPr>
              <w:t>Fair</w:t>
            </w:r>
          </w:p>
        </w:tc>
        <w:tc>
          <w:tcPr>
            <w:tcW w:w="200" w:type="dxa"/>
            <w:vAlign w:val="bottom"/>
          </w:tcPr>
          <w:p>
            <w:pPr>
              <w:spacing w:after="0"/>
              <w:rPr>
                <w:sz w:val="20"/>
                <w:szCs w:val="20"/>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8"/>
              </w:rPr>
              <w:t>Unrealized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00" w:type="dxa"/>
            <w:vAlign w:val="bottom"/>
          </w:tcPr>
          <w:p>
            <w:pPr>
              <w:jc w:val="right"/>
              <w:ind w:right="342"/>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5"/>
                <w:szCs w:val="15"/>
                <w:color w:val="auto"/>
              </w:rPr>
            </w:pPr>
          </w:p>
        </w:tc>
        <w:tc>
          <w:tcPr>
            <w:tcW w:w="820" w:type="dxa"/>
            <w:vAlign w:val="bottom"/>
          </w:tcPr>
          <w:p>
            <w:pPr>
              <w:jc w:val="right"/>
              <w:ind w:right="282"/>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Losses</w:t>
            </w:r>
          </w:p>
        </w:tc>
        <w:tc>
          <w:tcPr>
            <w:tcW w:w="260" w:type="dxa"/>
            <w:vAlign w:val="bottom"/>
          </w:tcPr>
          <w:p>
            <w:pPr>
              <w:spacing w:after="0"/>
              <w:rPr>
                <w:sz w:val="15"/>
                <w:szCs w:val="15"/>
                <w:color w:val="auto"/>
              </w:rPr>
            </w:pPr>
          </w:p>
        </w:tc>
        <w:tc>
          <w:tcPr>
            <w:tcW w:w="11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5"/>
              </w:rPr>
              <w:t>Value</w:t>
            </w:r>
          </w:p>
        </w:tc>
        <w:tc>
          <w:tcPr>
            <w:tcW w:w="200" w:type="dxa"/>
            <w:vAlign w:val="bottom"/>
          </w:tcPr>
          <w:p>
            <w:pPr>
              <w:spacing w:after="0"/>
              <w:rPr>
                <w:sz w:val="15"/>
                <w:szCs w:val="15"/>
                <w:color w:val="auto"/>
              </w:rPr>
            </w:pPr>
          </w:p>
        </w:tc>
        <w:tc>
          <w:tcPr>
            <w:tcW w:w="11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35,524</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(444)</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36,110</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(481)</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71,634</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(925)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w w:val="99"/>
              </w:rPr>
              <w:t>U.S. Federal, State, county and municipal</w:t>
            </w: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380" w:type="dxa"/>
            <w:vAlign w:val="bottom"/>
            <w:gridSpan w:val="2"/>
          </w:tcPr>
          <w:p>
            <w:pPr>
              <w:spacing w:after="0"/>
              <w:rPr>
                <w:sz w:val="20"/>
                <w:szCs w:val="20"/>
                <w:color w:val="auto"/>
              </w:rPr>
            </w:pPr>
            <w:r>
              <w:rPr>
                <w:rFonts w:ascii="Arial" w:cs="Arial" w:eastAsia="Arial" w:hAnsi="Arial"/>
                <w:sz w:val="18"/>
                <w:szCs w:val="18"/>
                <w:color w:val="auto"/>
              </w:rPr>
              <w:t>debt securities</w:t>
            </w:r>
          </w:p>
        </w:tc>
        <w:tc>
          <w:tcPr>
            <w:tcW w:w="2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65,806</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(589)</w:t>
            </w:r>
          </w:p>
        </w:tc>
        <w:tc>
          <w:tcPr>
            <w:tcW w:w="2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52,209</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(459)</w:t>
            </w:r>
          </w:p>
        </w:tc>
        <w:tc>
          <w:tcPr>
            <w:tcW w:w="26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118,015</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(1,048)</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336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0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Borders>
              <w:right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temporarily impaired securities</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101,330</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(1,033)</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88,319</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(940)</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189,649</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(1,973)</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36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91</w:t>
            </w: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336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3724910</wp:posOffset>
            </wp:positionH>
            <wp:positionV relativeFrom="paragraph">
              <wp:posOffset>-1729740</wp:posOffset>
            </wp:positionV>
            <wp:extent cx="12700" cy="8890"/>
            <wp:wrapNone/>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7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2138680</wp:posOffset>
            </wp:positionH>
            <wp:positionV relativeFrom="paragraph">
              <wp:posOffset>-1729740</wp:posOffset>
            </wp:positionV>
            <wp:extent cx="12700" cy="889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7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-1729740</wp:posOffset>
            </wp:positionV>
            <wp:extent cx="12700" cy="8890"/>
            <wp:wrapNone/>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7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-1729740</wp:posOffset>
            </wp:positionV>
            <wp:extent cx="12700" cy="8890"/>
            <wp:wrapNone/>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7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-1729740</wp:posOffset>
            </wp:positionV>
            <wp:extent cx="12700" cy="8890"/>
            <wp:wrapNone/>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7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5534660</wp:posOffset>
            </wp:positionH>
            <wp:positionV relativeFrom="paragraph">
              <wp:posOffset>-1729740</wp:posOffset>
            </wp:positionV>
            <wp:extent cx="12700" cy="8890"/>
            <wp:wrapNone/>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7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2858770</wp:posOffset>
            </wp:positionH>
            <wp:positionV relativeFrom="paragraph">
              <wp:posOffset>-1386205</wp:posOffset>
            </wp:positionV>
            <wp:extent cx="12700" cy="8890"/>
            <wp:wrapNone/>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7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2138680</wp:posOffset>
            </wp:positionH>
            <wp:positionV relativeFrom="paragraph">
              <wp:posOffset>-1386205</wp:posOffset>
            </wp:positionV>
            <wp:extent cx="12700" cy="8890"/>
            <wp:wrapNone/>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7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3724910</wp:posOffset>
            </wp:positionH>
            <wp:positionV relativeFrom="paragraph">
              <wp:posOffset>-1386205</wp:posOffset>
            </wp:positionV>
            <wp:extent cx="12700" cy="8890"/>
            <wp:wrapNone/>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7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3004820</wp:posOffset>
            </wp:positionH>
            <wp:positionV relativeFrom="paragraph">
              <wp:posOffset>-1386205</wp:posOffset>
            </wp:positionV>
            <wp:extent cx="12700" cy="8890"/>
            <wp:wrapNone/>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7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4522470</wp:posOffset>
            </wp:positionH>
            <wp:positionV relativeFrom="paragraph">
              <wp:posOffset>-1386205</wp:posOffset>
            </wp:positionV>
            <wp:extent cx="12700" cy="8890"/>
            <wp:wrapNone/>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7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-1386205</wp:posOffset>
            </wp:positionV>
            <wp:extent cx="12700" cy="8890"/>
            <wp:wrapNone/>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7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-1386205</wp:posOffset>
            </wp:positionV>
            <wp:extent cx="12700" cy="8890"/>
            <wp:wrapNone/>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7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4668520</wp:posOffset>
            </wp:positionH>
            <wp:positionV relativeFrom="paragraph">
              <wp:posOffset>-1386205</wp:posOffset>
            </wp:positionV>
            <wp:extent cx="12700" cy="8890"/>
            <wp:wrapNone/>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7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-1386205</wp:posOffset>
            </wp:positionV>
            <wp:extent cx="12700" cy="8890"/>
            <wp:wrapNone/>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7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5534660</wp:posOffset>
            </wp:positionH>
            <wp:positionV relativeFrom="paragraph">
              <wp:posOffset>-1386205</wp:posOffset>
            </wp:positionV>
            <wp:extent cx="12700" cy="8890"/>
            <wp:wrapNone/>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7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-1386205</wp:posOffset>
            </wp:positionV>
            <wp:extent cx="12700" cy="8890"/>
            <wp:wrapNone/>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7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-1386205</wp:posOffset>
            </wp:positionV>
            <wp:extent cx="12700" cy="8890"/>
            <wp:wrapNone/>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7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2858770</wp:posOffset>
            </wp:positionH>
            <wp:positionV relativeFrom="paragraph">
              <wp:posOffset>-820420</wp:posOffset>
            </wp:positionV>
            <wp:extent cx="12700" cy="8890"/>
            <wp:wrapNone/>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7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2138680</wp:posOffset>
            </wp:positionH>
            <wp:positionV relativeFrom="paragraph">
              <wp:posOffset>-820420</wp:posOffset>
            </wp:positionV>
            <wp:extent cx="12700" cy="8890"/>
            <wp:wrapNone/>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7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3724910</wp:posOffset>
            </wp:positionH>
            <wp:positionV relativeFrom="paragraph">
              <wp:posOffset>-820420</wp:posOffset>
            </wp:positionV>
            <wp:extent cx="12700" cy="8890"/>
            <wp:wrapNone/>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7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3004820</wp:posOffset>
            </wp:positionH>
            <wp:positionV relativeFrom="paragraph">
              <wp:posOffset>-820420</wp:posOffset>
            </wp:positionV>
            <wp:extent cx="12700" cy="8890"/>
            <wp:wrapNone/>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7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4522470</wp:posOffset>
            </wp:positionH>
            <wp:positionV relativeFrom="paragraph">
              <wp:posOffset>-820420</wp:posOffset>
            </wp:positionV>
            <wp:extent cx="12700" cy="8890"/>
            <wp:wrapNone/>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7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-820420</wp:posOffset>
            </wp:positionV>
            <wp:extent cx="12700" cy="8890"/>
            <wp:wrapNone/>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7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-820420</wp:posOffset>
            </wp:positionV>
            <wp:extent cx="12700" cy="8890"/>
            <wp:wrapNone/>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7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4668520</wp:posOffset>
            </wp:positionH>
            <wp:positionV relativeFrom="paragraph">
              <wp:posOffset>-820420</wp:posOffset>
            </wp:positionV>
            <wp:extent cx="12700" cy="8890"/>
            <wp:wrapNone/>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7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-820420</wp:posOffset>
            </wp:positionV>
            <wp:extent cx="12700" cy="8890"/>
            <wp:wrapNone/>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7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5534660</wp:posOffset>
            </wp:positionH>
            <wp:positionV relativeFrom="paragraph">
              <wp:posOffset>-820420</wp:posOffset>
            </wp:positionV>
            <wp:extent cx="12700" cy="8890"/>
            <wp:wrapNone/>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8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-820420</wp:posOffset>
            </wp:positionV>
            <wp:extent cx="12700" cy="8890"/>
            <wp:wrapNone/>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8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-820420</wp:posOffset>
            </wp:positionV>
            <wp:extent cx="12700" cy="8890"/>
            <wp:wrapNone/>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8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8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80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92" w:name="page93"/>
    <w:bookmarkEnd w:id="92"/>
    <w:p>
      <w:pPr>
        <w:spacing w:after="0"/>
        <w:rPr>
          <w:sz w:val="20"/>
          <w:szCs w:val="20"/>
          <w:color w:val="auto"/>
        </w:rPr>
      </w:pPr>
      <w:r>
        <w:rPr>
          <w:rFonts w:ascii="Arial" w:cs="Arial" w:eastAsia="Arial" w:hAnsi="Arial"/>
          <w:sz w:val="18"/>
          <w:szCs w:val="18"/>
          <w:b w:val="1"/>
          <w:bCs w:val="1"/>
          <w:color w:val="auto"/>
        </w:rPr>
        <w:t>Note 4 — Detailed Financial Information (in thousands):</w:t>
      </w:r>
    </w:p>
    <w:p>
      <w:pPr>
        <w:spacing w:after="0" w:line="227" w:lineRule="exact"/>
        <w:rPr>
          <w:sz w:val="20"/>
          <w:szCs w:val="20"/>
          <w:color w:val="auto"/>
        </w:rPr>
      </w:pPr>
    </w:p>
    <w:tbl>
      <w:tblPr>
        <w:tblLayout w:type="fixed"/>
        <w:tblInd w:w="12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2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540" w:type="dxa"/>
            <w:vAlign w:val="bottom"/>
            <w:gridSpan w:val="3"/>
          </w:tcPr>
          <w:p>
            <w:pPr>
              <w:jc w:val="right"/>
              <w:ind w:right="63"/>
              <w:spacing w:after="0"/>
              <w:rPr>
                <w:sz w:val="20"/>
                <w:szCs w:val="20"/>
                <w:color w:val="auto"/>
              </w:rPr>
            </w:pPr>
            <w:r>
              <w:rPr>
                <w:rFonts w:ascii="Arial" w:cs="Arial" w:eastAsia="Arial" w:hAnsi="Arial"/>
                <w:sz w:val="14"/>
                <w:szCs w:val="14"/>
                <w:b w:val="1"/>
                <w:bCs w:val="1"/>
                <w:color w:val="auto"/>
              </w:rPr>
              <w:t>January 31,</w:t>
            </w:r>
          </w:p>
        </w:tc>
        <w:tc>
          <w:tcPr>
            <w:tcW w:w="8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62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80" w:type="dxa"/>
            <w:vAlign w:val="bottom"/>
          </w:tcPr>
          <w:p>
            <w:pPr>
              <w:jc w:val="right"/>
              <w:ind w:right="415"/>
              <w:spacing w:after="0"/>
              <w:rPr>
                <w:sz w:val="20"/>
                <w:szCs w:val="20"/>
                <w:color w:val="auto"/>
              </w:rPr>
            </w:pPr>
            <w:r>
              <w:rPr>
                <w:rFonts w:ascii="Arial" w:cs="Arial" w:eastAsia="Arial" w:hAnsi="Arial"/>
                <w:sz w:val="14"/>
                <w:szCs w:val="14"/>
                <w:b w:val="1"/>
                <w:bCs w:val="1"/>
                <w:color w:val="auto"/>
              </w:rPr>
              <w:t>2005</w:t>
            </w:r>
          </w:p>
        </w:tc>
        <w:tc>
          <w:tcPr>
            <w:tcW w:w="26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860" w:type="dxa"/>
            <w:vAlign w:val="bottom"/>
          </w:tcPr>
          <w:p>
            <w:pPr>
              <w:jc w:val="right"/>
              <w:ind w:right="354"/>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Inventories:</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Work-in-process</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63,027</w:t>
            </w:r>
          </w:p>
        </w:tc>
        <w:tc>
          <w:tcPr>
            <w:tcW w:w="260" w:type="dxa"/>
            <w:vAlign w:val="bottom"/>
          </w:tcPr>
          <w:p>
            <w:pPr>
              <w:spacing w:after="0"/>
              <w:rPr>
                <w:sz w:val="18"/>
                <w:szCs w:val="18"/>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67,815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Finished goods</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65,862</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20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200" w:type="dxa"/>
            <w:vAlign w:val="bottom"/>
          </w:tcPr>
          <w:p>
            <w:pPr>
              <w:spacing w:after="0"/>
              <w:rPr>
                <w:sz w:val="24"/>
                <w:szCs w:val="24"/>
                <w:color w:val="auto"/>
              </w:rPr>
            </w:pP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128,889</w:t>
            </w:r>
          </w:p>
        </w:tc>
        <w:tc>
          <w:tcPr>
            <w:tcW w:w="260" w:type="dxa"/>
            <w:vAlign w:val="bottom"/>
          </w:tcPr>
          <w:p>
            <w:pPr>
              <w:spacing w:after="0"/>
              <w:rPr>
                <w:sz w:val="24"/>
                <w:szCs w:val="24"/>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91,785</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622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8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59"/>
        </w:trPr>
        <w:tc>
          <w:tcPr>
            <w:tcW w:w="20" w:type="dxa"/>
            <w:vAlign w:val="bottom"/>
          </w:tcPr>
          <w:p>
            <w:pPr>
              <w:spacing w:after="0"/>
              <w:rPr>
                <w:sz w:val="24"/>
                <w:szCs w:val="24"/>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Property and equipment:</w:t>
            </w: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8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Machinery and equipment</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105,237</w:t>
            </w:r>
          </w:p>
        </w:tc>
        <w:tc>
          <w:tcPr>
            <w:tcW w:w="260" w:type="dxa"/>
            <w:vAlign w:val="bottom"/>
          </w:tcPr>
          <w:p>
            <w:pPr>
              <w:spacing w:after="0"/>
              <w:rPr>
                <w:sz w:val="18"/>
                <w:szCs w:val="18"/>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79,765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Computer software</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79,494</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69,116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Furniture and fixtures</w:t>
            </w:r>
          </w:p>
        </w:tc>
        <w:tc>
          <w:tcPr>
            <w:tcW w:w="2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8,430</w:t>
            </w: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8,157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Leasehold improvements</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Buildings</w:t>
            </w:r>
          </w:p>
        </w:tc>
        <w:tc>
          <w:tcPr>
            <w:tcW w:w="2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7,096</w:t>
            </w: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1,825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Land</w:t>
            </w: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Construction in progress</w:t>
            </w: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16,471</w:t>
            </w: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10,505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279,582</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232,013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Less: Accumulated depreciation and amortization</w:t>
            </w:r>
          </w:p>
        </w:tc>
        <w:tc>
          <w:tcPr>
            <w:tcW w:w="280" w:type="dxa"/>
            <w:vAlign w:val="bottom"/>
          </w:tcPr>
          <w:p>
            <w:pPr>
              <w:spacing w:after="0"/>
              <w:rPr>
                <w:sz w:val="19"/>
                <w:szCs w:val="19"/>
                <w:color w:val="auto"/>
              </w:rPr>
            </w:pPr>
          </w:p>
        </w:tc>
        <w:tc>
          <w:tcPr>
            <w:tcW w:w="1240" w:type="dxa"/>
            <w:vAlign w:val="bottom"/>
            <w:gridSpan w:val="2"/>
          </w:tcPr>
          <w:p>
            <w:pPr>
              <w:jc w:val="right"/>
              <w:ind w:right="200"/>
              <w:spacing w:after="0"/>
              <w:rPr>
                <w:sz w:val="20"/>
                <w:szCs w:val="20"/>
                <w:color w:val="auto"/>
              </w:rPr>
            </w:pPr>
            <w:r>
              <w:rPr>
                <w:rFonts w:ascii="Arial" w:cs="Arial" w:eastAsia="Arial" w:hAnsi="Arial"/>
                <w:sz w:val="18"/>
                <w:szCs w:val="18"/>
                <w:color w:val="auto"/>
              </w:rPr>
              <w:t>(117,812)</w:t>
            </w:r>
          </w:p>
        </w:tc>
        <w:tc>
          <w:tcPr>
            <w:tcW w:w="300" w:type="dxa"/>
            <w:vAlign w:val="bottom"/>
          </w:tcPr>
          <w:p>
            <w:pPr>
              <w:spacing w:after="0"/>
              <w:rPr>
                <w:sz w:val="19"/>
                <w:szCs w:val="19"/>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(82,308)</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161,770</w:t>
            </w:r>
          </w:p>
        </w:tc>
        <w:tc>
          <w:tcPr>
            <w:tcW w:w="26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149,705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8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6417945</wp:posOffset>
            </wp:positionH>
            <wp:positionV relativeFrom="paragraph">
              <wp:posOffset>-3281680</wp:posOffset>
            </wp:positionV>
            <wp:extent cx="12700" cy="8890"/>
            <wp:wrapNone/>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8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-3281680</wp:posOffset>
            </wp:positionV>
            <wp:extent cx="12700" cy="8890"/>
            <wp:wrapNone/>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8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-3032760</wp:posOffset>
            </wp:positionV>
            <wp:extent cx="12700" cy="8890"/>
            <wp:wrapNone/>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8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-3032760</wp:posOffset>
            </wp:positionV>
            <wp:extent cx="12700" cy="8890"/>
            <wp:wrapNone/>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8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-3032760</wp:posOffset>
            </wp:positionV>
            <wp:extent cx="12700" cy="8890"/>
            <wp:wrapNone/>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8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-3032760</wp:posOffset>
            </wp:positionV>
            <wp:extent cx="12700" cy="8890"/>
            <wp:wrapNone/>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8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-2466975</wp:posOffset>
            </wp:positionV>
            <wp:extent cx="12700" cy="8890"/>
            <wp:wrapNone/>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8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-2466975</wp:posOffset>
            </wp:positionV>
            <wp:extent cx="12700" cy="8890"/>
            <wp:wrapNone/>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8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-2466975</wp:posOffset>
            </wp:positionV>
            <wp:extent cx="12700" cy="8890"/>
            <wp:wrapNone/>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8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-2466975</wp:posOffset>
            </wp:positionV>
            <wp:extent cx="12700" cy="8890"/>
            <wp:wrapNone/>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8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-751840</wp:posOffset>
            </wp:positionV>
            <wp:extent cx="12700" cy="8890"/>
            <wp:wrapNone/>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8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-751840</wp:posOffset>
            </wp:positionV>
            <wp:extent cx="12700" cy="8890"/>
            <wp:wrapNone/>
            <wp:docPr id="809"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pic:cNvPicPr>
                      <a:picLocks noChangeAspect="1" noChangeArrowheads="1"/>
                    </pic:cNvPicPr>
                  </pic:nvPicPr>
                  <pic:blipFill>
                    <a:blip r:embed="rId8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-751840</wp:posOffset>
            </wp:positionV>
            <wp:extent cx="12700" cy="8890"/>
            <wp:wrapNone/>
            <wp:docPr id="810"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8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-751840</wp:posOffset>
            </wp:positionV>
            <wp:extent cx="12700" cy="8890"/>
            <wp:wrapNone/>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8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-323215</wp:posOffset>
            </wp:positionV>
            <wp:extent cx="12700" cy="8890"/>
            <wp:wrapNone/>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8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-323215</wp:posOffset>
            </wp:positionV>
            <wp:extent cx="12700" cy="8890"/>
            <wp:wrapNone/>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8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-323215</wp:posOffset>
            </wp:positionV>
            <wp:extent cx="12700" cy="8890"/>
            <wp:wrapNone/>
            <wp:docPr id="814"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8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-323215</wp:posOffset>
            </wp:positionV>
            <wp:extent cx="12700" cy="8890"/>
            <wp:wrapNone/>
            <wp:docPr id="815"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8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0" w:firstLine="351"/>
        <w:spacing w:after="0" w:line="268" w:lineRule="auto"/>
        <w:rPr>
          <w:sz w:val="20"/>
          <w:szCs w:val="20"/>
          <w:color w:val="auto"/>
        </w:rPr>
      </w:pPr>
      <w:r>
        <w:rPr>
          <w:rFonts w:ascii="Arial" w:cs="Arial" w:eastAsia="Arial" w:hAnsi="Arial"/>
          <w:sz w:val="18"/>
          <w:szCs w:val="18"/>
          <w:color w:val="auto"/>
        </w:rPr>
        <w:t>Property and equipment included $48,092 and $40,586 of assets under capital lease at January 31, 2005 and 2004, respectively. Accumulated depreciation on these assets was $22,381 and $9,900 at January 31, 2005 and 2004, respectively.</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November 17, 2003, the Company completed the purchase of six buildings on 33.8 acres of land in Santa Clara, California for a total cost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$63.9 million in cash. It is currently intended that the site will be the future location of its U.S. headquarters. The facility consists of approximately 876,000</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square feet. One of the buildings is currently leased to a tenant. The remaining five buildings are being renovated and will be used for research and design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functions, operations, sales, marketing and administration. In fiscal 2005, the Company began to occupy a portion of two buildings with some of its operations,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sales and marketing groups.</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340" w:type="dxa"/>
            <w:vAlign w:val="bottom"/>
          </w:tcPr>
          <w:p>
            <w:pPr>
              <w:spacing w:after="0"/>
              <w:rPr>
                <w:sz w:val="15"/>
                <w:szCs w:val="15"/>
                <w:color w:val="auto"/>
              </w:rPr>
            </w:pPr>
          </w:p>
        </w:tc>
        <w:tc>
          <w:tcPr>
            <w:tcW w:w="3660" w:type="dxa"/>
            <w:vAlign w:val="bottom"/>
          </w:tcPr>
          <w:p>
            <w:pPr>
              <w:spacing w:after="0"/>
              <w:rPr>
                <w:sz w:val="15"/>
                <w:szCs w:val="15"/>
                <w:color w:val="auto"/>
              </w:rPr>
            </w:pPr>
          </w:p>
        </w:tc>
        <w:tc>
          <w:tcPr>
            <w:tcW w:w="2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32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January 31,</w:t>
            </w:r>
          </w:p>
        </w:tc>
        <w:tc>
          <w:tcPr>
            <w:tcW w:w="7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34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8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34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28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20" w:type="dxa"/>
            <w:vAlign w:val="bottom"/>
          </w:tcPr>
          <w:p>
            <w:pPr>
              <w:jc w:val="right"/>
              <w:ind w:right="320"/>
              <w:spacing w:after="0"/>
              <w:rPr>
                <w:sz w:val="20"/>
                <w:szCs w:val="20"/>
                <w:color w:val="auto"/>
              </w:rPr>
            </w:pPr>
            <w:r>
              <w:rPr>
                <w:rFonts w:ascii="Arial" w:cs="Arial" w:eastAsia="Arial" w:hAnsi="Arial"/>
                <w:sz w:val="14"/>
                <w:szCs w:val="14"/>
                <w:b w:val="1"/>
                <w:bCs w:val="1"/>
                <w:color w:val="auto"/>
              </w:rPr>
              <w:t>2005</w:t>
            </w:r>
          </w:p>
        </w:tc>
        <w:tc>
          <w:tcPr>
            <w:tcW w:w="26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700" w:type="dxa"/>
            <w:vAlign w:val="bottom"/>
          </w:tcPr>
          <w:p>
            <w:pPr>
              <w:jc w:val="right"/>
              <w:ind w:right="257"/>
              <w:spacing w:after="0"/>
              <w:rPr>
                <w:sz w:val="20"/>
                <w:szCs w:val="20"/>
                <w:color w:val="auto"/>
              </w:rPr>
            </w:pPr>
            <w:r>
              <w:rPr>
                <w:rFonts w:ascii="Arial" w:cs="Arial" w:eastAsia="Arial" w:hAnsi="Arial"/>
                <w:sz w:val="14"/>
                <w:szCs w:val="14"/>
                <w:b w:val="1"/>
                <w:bCs w:val="1"/>
                <w:color w:val="auto"/>
              </w:rPr>
              <w:t>2004</w:t>
            </w:r>
          </w:p>
        </w:tc>
        <w:tc>
          <w:tcPr>
            <w:tcW w:w="13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34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8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340" w:type="dxa"/>
            <w:vAlign w:val="bottom"/>
            <w:vMerge w:val="restart"/>
          </w:tcPr>
          <w:p>
            <w:pPr>
              <w:spacing w:after="0"/>
              <w:rPr>
                <w:sz w:val="9"/>
                <w:szCs w:val="9"/>
                <w:color w:val="auto"/>
              </w:rPr>
            </w:pPr>
          </w:p>
        </w:tc>
        <w:tc>
          <w:tcPr>
            <w:tcW w:w="3660" w:type="dxa"/>
            <w:vAlign w:val="bottom"/>
          </w:tcPr>
          <w:p>
            <w:pPr>
              <w:spacing w:after="0"/>
              <w:rPr>
                <w:sz w:val="9"/>
                <w:szCs w:val="9"/>
                <w:color w:val="auto"/>
              </w:rPr>
            </w:pPr>
          </w:p>
        </w:tc>
        <w:tc>
          <w:tcPr>
            <w:tcW w:w="2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340" w:type="dxa"/>
            <w:vAlign w:val="bottom"/>
            <w:vMerge w:val="continue"/>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Other noncurrent assets:</w:t>
            </w:r>
          </w:p>
        </w:tc>
        <w:tc>
          <w:tcPr>
            <w:tcW w:w="2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4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Equity investments in private companies</w:t>
            </w:r>
          </w:p>
        </w:tc>
        <w:tc>
          <w:tcPr>
            <w:tcW w:w="30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9,436</w:t>
            </w:r>
          </w:p>
        </w:tc>
        <w:tc>
          <w:tcPr>
            <w:tcW w:w="5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7,236</w:t>
            </w:r>
          </w:p>
        </w:tc>
        <w:tc>
          <w:tcPr>
            <w:tcW w:w="1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4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2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39,326</w:t>
            </w:r>
          </w:p>
        </w:tc>
        <w:tc>
          <w:tcPr>
            <w:tcW w:w="26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30,158</w:t>
            </w:r>
          </w:p>
        </w:tc>
        <w:tc>
          <w:tcPr>
            <w:tcW w:w="1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340" w:type="dxa"/>
            <w:vAlign w:val="bottom"/>
          </w:tcPr>
          <w:p>
            <w:pPr>
              <w:spacing w:after="0"/>
              <w:rPr>
                <w:sz w:val="10"/>
                <w:szCs w:val="10"/>
                <w:color w:val="auto"/>
              </w:rPr>
            </w:pPr>
          </w:p>
        </w:tc>
        <w:tc>
          <w:tcPr>
            <w:tcW w:w="3660" w:type="dxa"/>
            <w:vAlign w:val="bottom"/>
          </w:tcPr>
          <w:p>
            <w:pPr>
              <w:spacing w:after="0"/>
              <w:rPr>
                <w:sz w:val="10"/>
                <w:szCs w:val="10"/>
                <w:color w:val="auto"/>
              </w:rPr>
            </w:pPr>
          </w:p>
        </w:tc>
        <w:tc>
          <w:tcPr>
            <w:tcW w:w="286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700" w:type="dxa"/>
            <w:vAlign w:val="bottom"/>
            <w:tcBorders>
              <w:bottom w:val="single" w:sz="8" w:color="808080"/>
            </w:tcBorders>
          </w:tcPr>
          <w:p>
            <w:pPr>
              <w:spacing w:after="0"/>
              <w:rPr>
                <w:sz w:val="10"/>
                <w:szCs w:val="10"/>
                <w:color w:val="auto"/>
              </w:rPr>
            </w:pPr>
          </w:p>
        </w:tc>
        <w:tc>
          <w:tcPr>
            <w:tcW w:w="13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134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30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48,762</w:t>
            </w:r>
          </w:p>
        </w:tc>
        <w:tc>
          <w:tcPr>
            <w:tcW w:w="5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37,394</w:t>
            </w:r>
          </w:p>
        </w:tc>
        <w:tc>
          <w:tcPr>
            <w:tcW w:w="1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340" w:type="dxa"/>
            <w:vAlign w:val="bottom"/>
          </w:tcPr>
          <w:p>
            <w:pPr>
              <w:spacing w:after="0"/>
              <w:rPr>
                <w:sz w:val="9"/>
                <w:szCs w:val="9"/>
                <w:color w:val="auto"/>
              </w:rPr>
            </w:pPr>
          </w:p>
        </w:tc>
        <w:tc>
          <w:tcPr>
            <w:tcW w:w="3660" w:type="dxa"/>
            <w:vAlign w:val="bottom"/>
          </w:tcPr>
          <w:p>
            <w:pPr>
              <w:spacing w:after="0"/>
              <w:rPr>
                <w:sz w:val="9"/>
                <w:szCs w:val="9"/>
                <w:color w:val="auto"/>
              </w:rPr>
            </w:pPr>
          </w:p>
        </w:tc>
        <w:tc>
          <w:tcPr>
            <w:tcW w:w="2860" w:type="dxa"/>
            <w:vAlign w:val="bottom"/>
            <w:vMerge w:val="restart"/>
          </w:tcPr>
          <w:p>
            <w:pPr>
              <w:jc w:val="right"/>
              <w:ind w:right="1972"/>
              <w:spacing w:after="0"/>
              <w:rPr>
                <w:sz w:val="20"/>
                <w:szCs w:val="20"/>
                <w:color w:val="auto"/>
              </w:rPr>
            </w:pPr>
            <w:r>
              <w:rPr>
                <w:rFonts w:ascii="Arial" w:cs="Arial" w:eastAsia="Arial" w:hAnsi="Arial"/>
                <w:sz w:val="18"/>
                <w:szCs w:val="18"/>
                <w:color w:val="auto"/>
              </w:rPr>
              <w:t>92</w:t>
            </w: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340" w:type="dxa"/>
            <w:vAlign w:val="bottom"/>
          </w:tcPr>
          <w:p>
            <w:pPr>
              <w:spacing w:after="0"/>
              <w:rPr>
                <w:sz w:val="5"/>
                <w:szCs w:val="5"/>
                <w:color w:val="auto"/>
              </w:rPr>
            </w:pPr>
          </w:p>
        </w:tc>
        <w:tc>
          <w:tcPr>
            <w:tcW w:w="3660" w:type="dxa"/>
            <w:vAlign w:val="bottom"/>
          </w:tcPr>
          <w:p>
            <w:pPr>
              <w:spacing w:after="0"/>
              <w:rPr>
                <w:sz w:val="5"/>
                <w:szCs w:val="5"/>
                <w:color w:val="auto"/>
              </w:rPr>
            </w:pPr>
          </w:p>
        </w:tc>
        <w:tc>
          <w:tcPr>
            <w:tcW w:w="2860" w:type="dxa"/>
            <w:vAlign w:val="bottom"/>
            <w:vMerge w:val="continue"/>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3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34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286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340" w:type="dxa"/>
            <w:vAlign w:val="bottom"/>
            <w:tcBorders>
              <w:bottom w:val="single" w:sz="8" w:color="808080"/>
            </w:tcBorders>
          </w:tcPr>
          <w:p>
            <w:pPr>
              <w:spacing w:after="0"/>
              <w:rPr>
                <w:sz w:val="19"/>
                <w:szCs w:val="19"/>
                <w:color w:val="auto"/>
              </w:rPr>
            </w:pPr>
          </w:p>
        </w:tc>
        <w:tc>
          <w:tcPr>
            <w:tcW w:w="3660" w:type="dxa"/>
            <w:vAlign w:val="bottom"/>
            <w:tcBorders>
              <w:bottom w:val="single" w:sz="8" w:color="808080"/>
            </w:tcBorders>
          </w:tcPr>
          <w:p>
            <w:pPr>
              <w:spacing w:after="0"/>
              <w:rPr>
                <w:sz w:val="19"/>
                <w:szCs w:val="19"/>
                <w:color w:val="auto"/>
              </w:rPr>
            </w:pPr>
          </w:p>
        </w:tc>
        <w:tc>
          <w:tcPr>
            <w:tcW w:w="28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13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6409055</wp:posOffset>
            </wp:positionH>
            <wp:positionV relativeFrom="paragraph">
              <wp:posOffset>-1635125</wp:posOffset>
            </wp:positionV>
            <wp:extent cx="12700" cy="8890"/>
            <wp:wrapNone/>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a:blip r:embed="rId8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-1635125</wp:posOffset>
            </wp:positionV>
            <wp:extent cx="12700" cy="8890"/>
            <wp:wrapNone/>
            <wp:docPr id="817"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8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-1386205</wp:posOffset>
            </wp:positionV>
            <wp:extent cx="12700" cy="8890"/>
            <wp:wrapNone/>
            <wp:docPr id="818"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pic:cNvPicPr>
                      <a:picLocks noChangeAspect="1" noChangeArrowheads="1"/>
                    </pic:cNvPicPr>
                  </pic:nvPicPr>
                  <pic:blipFill>
                    <a:blip r:embed="rId8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-1386205</wp:posOffset>
            </wp:positionV>
            <wp:extent cx="12700" cy="8890"/>
            <wp:wrapNone/>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8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-1386205</wp:posOffset>
            </wp:positionV>
            <wp:extent cx="12700" cy="8890"/>
            <wp:wrapNone/>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8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-1386205</wp:posOffset>
            </wp:positionV>
            <wp:extent cx="12700" cy="8890"/>
            <wp:wrapNone/>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8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-820420</wp:posOffset>
            </wp:positionV>
            <wp:extent cx="12700" cy="8890"/>
            <wp:wrapNone/>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8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-820420</wp:posOffset>
            </wp:positionV>
            <wp:extent cx="12700" cy="8890"/>
            <wp:wrapNone/>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8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-820420</wp:posOffset>
            </wp:positionV>
            <wp:extent cx="12700" cy="8890"/>
            <wp:wrapNone/>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8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-820420</wp:posOffset>
            </wp:positionV>
            <wp:extent cx="12700" cy="8890"/>
            <wp:wrapNone/>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8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8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83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93" w:name="page94"/>
    <w:bookmarkEnd w:id="93"/>
    <w:tbl>
      <w:tblPr>
        <w:tblLayout w:type="fixed"/>
        <w:tblInd w:w="13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32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January 31,</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4780" w:type="dxa"/>
            <w:vAlign w:val="bottom"/>
          </w:tcPr>
          <w:p>
            <w:pPr>
              <w:spacing w:after="0"/>
              <w:rPr>
                <w:sz w:val="23"/>
                <w:szCs w:val="23"/>
                <w:color w:val="auto"/>
              </w:rPr>
            </w:pPr>
          </w:p>
        </w:tc>
        <w:tc>
          <w:tcPr>
            <w:tcW w:w="17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20" w:type="dxa"/>
            <w:vAlign w:val="bottom"/>
          </w:tcPr>
          <w:p>
            <w:pPr>
              <w:jc w:val="right"/>
              <w:ind w:right="319"/>
              <w:spacing w:after="0"/>
              <w:rPr>
                <w:sz w:val="20"/>
                <w:szCs w:val="20"/>
                <w:color w:val="auto"/>
              </w:rPr>
            </w:pPr>
            <w:r>
              <w:rPr>
                <w:rFonts w:ascii="Arial" w:cs="Arial" w:eastAsia="Arial" w:hAnsi="Arial"/>
                <w:sz w:val="14"/>
                <w:szCs w:val="14"/>
                <w:b w:val="1"/>
                <w:bCs w:val="1"/>
                <w:color w:val="auto"/>
              </w:rPr>
              <w:t>2005</w:t>
            </w:r>
          </w:p>
        </w:tc>
        <w:tc>
          <w:tcPr>
            <w:tcW w:w="26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700" w:type="dxa"/>
            <w:vAlign w:val="bottom"/>
          </w:tcPr>
          <w:p>
            <w:pPr>
              <w:jc w:val="right"/>
              <w:ind w:right="256"/>
              <w:spacing w:after="0"/>
              <w:rPr>
                <w:sz w:val="20"/>
                <w:szCs w:val="20"/>
                <w:color w:val="auto"/>
              </w:rPr>
            </w:pPr>
            <w:r>
              <w:rPr>
                <w:rFonts w:ascii="Arial" w:cs="Arial" w:eastAsia="Arial" w:hAnsi="Arial"/>
                <w:sz w:val="14"/>
                <w:szCs w:val="14"/>
                <w:b w:val="1"/>
                <w:bCs w:val="1"/>
                <w:color w:val="auto"/>
              </w:rPr>
              <w:t>2004</w:t>
            </w: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Other long-term liabilities:</w:t>
            </w:r>
          </w:p>
        </w:tc>
        <w:tc>
          <w:tcPr>
            <w:tcW w:w="1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ind w:left="180"/>
              <w:spacing w:after="0"/>
              <w:rPr>
                <w:sz w:val="20"/>
                <w:szCs w:val="20"/>
                <w:color w:val="auto"/>
              </w:rPr>
            </w:pPr>
            <w:r>
              <w:rPr>
                <w:rFonts w:ascii="Arial" w:cs="Arial" w:eastAsia="Arial" w:hAnsi="Arial"/>
                <w:sz w:val="18"/>
                <w:szCs w:val="18"/>
                <w:color w:val="auto"/>
              </w:rPr>
              <w:t>Long-term facilities consolidation charge</w:t>
            </w:r>
          </w:p>
        </w:tc>
        <w:tc>
          <w:tcPr>
            <w:tcW w:w="19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3,793</w:t>
            </w:r>
          </w:p>
        </w:tc>
        <w:tc>
          <w:tcPr>
            <w:tcW w:w="5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5,149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severance</w:t>
            </w:r>
          </w:p>
        </w:tc>
        <w:tc>
          <w:tcPr>
            <w:tcW w:w="1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11,196</w:t>
            </w:r>
          </w:p>
        </w:tc>
        <w:tc>
          <w:tcPr>
            <w:tcW w:w="26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780" w:type="dxa"/>
            <w:vAlign w:val="bottom"/>
          </w:tcPr>
          <w:p>
            <w:pPr>
              <w:ind w:left="180"/>
              <w:spacing w:after="0"/>
              <w:rPr>
                <w:sz w:val="20"/>
                <w:szCs w:val="20"/>
                <w:color w:val="auto"/>
              </w:rPr>
            </w:pPr>
            <w:r>
              <w:rPr>
                <w:rFonts w:ascii="Arial" w:cs="Arial" w:eastAsia="Arial" w:hAnsi="Arial"/>
                <w:sz w:val="18"/>
                <w:szCs w:val="18"/>
                <w:color w:val="auto"/>
              </w:rPr>
              <w:t>Other</w:t>
            </w:r>
          </w:p>
        </w:tc>
        <w:tc>
          <w:tcPr>
            <w:tcW w:w="1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3,500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3,596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18"/>
                <w:szCs w:val="18"/>
                <w:color w:val="auto"/>
              </w:rPr>
            </w:pPr>
          </w:p>
        </w:tc>
        <w:tc>
          <w:tcPr>
            <w:tcW w:w="1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18,489</w:t>
            </w:r>
          </w:p>
        </w:tc>
        <w:tc>
          <w:tcPr>
            <w:tcW w:w="5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17,934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7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6409055</wp:posOffset>
            </wp:positionH>
            <wp:positionV relativeFrom="paragraph">
              <wp:posOffset>-1275080</wp:posOffset>
            </wp:positionV>
            <wp:extent cx="12700" cy="8890"/>
            <wp:wrapNone/>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8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-1275080</wp:posOffset>
            </wp:positionV>
            <wp:extent cx="12700" cy="8890"/>
            <wp:wrapNone/>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8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-1026160</wp:posOffset>
            </wp:positionV>
            <wp:extent cx="12700" cy="8890"/>
            <wp:wrapNone/>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8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-1026160</wp:posOffset>
            </wp:positionV>
            <wp:extent cx="12700" cy="8890"/>
            <wp:wrapNone/>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8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-1026160</wp:posOffset>
            </wp:positionV>
            <wp:extent cx="12700" cy="8890"/>
            <wp:wrapNone/>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8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-1026160</wp:posOffset>
            </wp:positionV>
            <wp:extent cx="12700" cy="8890"/>
            <wp:wrapNone/>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8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-323215</wp:posOffset>
            </wp:positionV>
            <wp:extent cx="12700" cy="8890"/>
            <wp:wrapNone/>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8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-323215</wp:posOffset>
            </wp:positionV>
            <wp:extent cx="12700" cy="8890"/>
            <wp:wrapNone/>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8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-323215</wp:posOffset>
            </wp:positionV>
            <wp:extent cx="12700" cy="8890"/>
            <wp:wrapNone/>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8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-323215</wp:posOffset>
            </wp:positionV>
            <wp:extent cx="12700" cy="8890"/>
            <wp:wrapNone/>
            <wp:docPr id="837"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8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Goodwill and Purchased Intangible Assets:</w:t>
      </w:r>
    </w:p>
    <w:p>
      <w:pPr>
        <w:spacing w:after="0" w:line="231" w:lineRule="exact"/>
        <w:rPr>
          <w:sz w:val="20"/>
          <w:szCs w:val="20"/>
          <w:color w:val="auto"/>
        </w:rPr>
      </w:pPr>
    </w:p>
    <w:p>
      <w:pPr>
        <w:ind w:right="480" w:firstLine="348"/>
        <w:spacing w:after="0" w:line="332" w:lineRule="auto"/>
        <w:rPr>
          <w:sz w:val="20"/>
          <w:szCs w:val="20"/>
          <w:color w:val="auto"/>
        </w:rPr>
      </w:pPr>
      <w:r>
        <w:rPr>
          <w:rFonts w:ascii="Arial" w:cs="Arial" w:eastAsia="Arial" w:hAnsi="Arial"/>
          <w:sz w:val="16"/>
          <w:szCs w:val="16"/>
          <w:color w:val="auto"/>
        </w:rPr>
        <w:t>The Company performs an annual impairment review during the fourth quarter of each year or more frequently if indicators of impairment exist. The Company performed its annual assessment of goodwill in fiscal 2005, 2004 and 2003 and concluded that there were no impairments.</w:t>
      </w:r>
    </w:p>
    <w:p>
      <w:pPr>
        <w:spacing w:after="0" w:line="13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221" w:lineRule="exact"/>
        <w:rPr>
          <w:sz w:val="20"/>
          <w:szCs w:val="20"/>
          <w:color w:val="auto"/>
        </w:rPr>
      </w:pPr>
    </w:p>
    <w:tbl>
      <w:tblPr>
        <w:tblLayout w:type="fixed"/>
        <w:tblInd w:w="1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5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0"/>
              </w:rPr>
              <w:t>As of January 31, 2005</w:t>
            </w: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6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6"/>
              </w:rPr>
              <w:t>As of January 31, 2004</w:t>
            </w: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00" w:type="dxa"/>
            <w:vAlign w:val="bottom"/>
          </w:tcPr>
          <w:p>
            <w:pPr>
              <w:jc w:val="center"/>
              <w:ind w:right="159"/>
              <w:spacing w:after="0"/>
              <w:rPr>
                <w:sz w:val="20"/>
                <w:szCs w:val="20"/>
                <w:color w:val="auto"/>
              </w:rPr>
            </w:pPr>
            <w:r>
              <w:rPr>
                <w:rFonts w:ascii="Arial" w:cs="Arial" w:eastAsia="Arial" w:hAnsi="Arial"/>
                <w:sz w:val="14"/>
                <w:szCs w:val="14"/>
                <w:b w:val="1"/>
                <w:bCs w:val="1"/>
                <w:color w:val="auto"/>
                <w:w w:val="83"/>
              </w:rPr>
              <w:t>Gross</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00" w:type="dxa"/>
            <w:vAlign w:val="bottom"/>
          </w:tcPr>
          <w:p>
            <w:pPr>
              <w:jc w:val="center"/>
              <w:ind w:right="179"/>
              <w:spacing w:after="0"/>
              <w:rPr>
                <w:sz w:val="20"/>
                <w:szCs w:val="20"/>
                <w:color w:val="auto"/>
              </w:rPr>
            </w:pPr>
            <w:r>
              <w:rPr>
                <w:rFonts w:ascii="Arial" w:cs="Arial" w:eastAsia="Arial" w:hAnsi="Arial"/>
                <w:sz w:val="14"/>
                <w:szCs w:val="14"/>
                <w:b w:val="1"/>
                <w:bCs w:val="1"/>
                <w:color w:val="auto"/>
                <w:w w:val="88"/>
              </w:rPr>
              <w:t>Net</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center"/>
              <w:ind w:right="199"/>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40" w:type="dxa"/>
            <w:vAlign w:val="bottom"/>
          </w:tcPr>
          <w:p>
            <w:pPr>
              <w:jc w:val="center"/>
              <w:ind w:right="199"/>
              <w:spacing w:after="0"/>
              <w:rPr>
                <w:sz w:val="20"/>
                <w:szCs w:val="20"/>
                <w:color w:val="auto"/>
              </w:rPr>
            </w:pPr>
            <w:r>
              <w:rPr>
                <w:rFonts w:ascii="Arial" w:cs="Arial" w:eastAsia="Arial" w:hAnsi="Arial"/>
                <w:sz w:val="14"/>
                <w:szCs w:val="14"/>
                <w:b w:val="1"/>
                <w:bCs w:val="1"/>
                <w:color w:val="auto"/>
                <w:w w:val="97"/>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tcPr>
          <w:p>
            <w:pPr>
              <w:jc w:val="center"/>
              <w:ind w:right="159"/>
              <w:spacing w:after="0" w:line="149" w:lineRule="exact"/>
              <w:rPr>
                <w:sz w:val="20"/>
                <w:szCs w:val="20"/>
                <w:color w:val="auto"/>
              </w:rPr>
            </w:pPr>
            <w:r>
              <w:rPr>
                <w:rFonts w:ascii="Arial" w:cs="Arial" w:eastAsia="Arial" w:hAnsi="Arial"/>
                <w:sz w:val="14"/>
                <w:szCs w:val="14"/>
                <w:b w:val="1"/>
                <w:bCs w:val="1"/>
                <w:color w:val="auto"/>
                <w:w w:val="93"/>
              </w:rPr>
              <w:t>Carrying</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4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tcPr>
          <w:p>
            <w:pPr>
              <w:jc w:val="center"/>
              <w:ind w:right="179"/>
              <w:spacing w:after="0" w:line="149" w:lineRule="exact"/>
              <w:rPr>
                <w:sz w:val="20"/>
                <w:szCs w:val="20"/>
                <w:color w:val="auto"/>
              </w:rPr>
            </w:pPr>
            <w:r>
              <w:rPr>
                <w:rFonts w:ascii="Arial" w:cs="Arial" w:eastAsia="Arial" w:hAnsi="Arial"/>
                <w:sz w:val="14"/>
                <w:szCs w:val="14"/>
                <w:b w:val="1"/>
                <w:bCs w:val="1"/>
                <w:color w:val="auto"/>
                <w:w w:val="90"/>
              </w:rPr>
              <w:t>Carrying</w:t>
            </w: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00" w:type="dxa"/>
            <w:vAlign w:val="bottom"/>
          </w:tcPr>
          <w:p>
            <w:pPr>
              <w:jc w:val="center"/>
              <w:ind w:right="179"/>
              <w:spacing w:after="0" w:line="149" w:lineRule="exact"/>
              <w:rPr>
                <w:sz w:val="20"/>
                <w:szCs w:val="20"/>
                <w:color w:val="auto"/>
              </w:rPr>
            </w:pPr>
            <w:r>
              <w:rPr>
                <w:rFonts w:ascii="Arial" w:cs="Arial" w:eastAsia="Arial" w:hAnsi="Arial"/>
                <w:sz w:val="14"/>
                <w:szCs w:val="14"/>
                <w:b w:val="1"/>
                <w:bCs w:val="1"/>
                <w:color w:val="auto"/>
                <w:w w:val="90"/>
              </w:rPr>
              <w:t>Carrying</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40" w:type="dxa"/>
            <w:vAlign w:val="bottom"/>
          </w:tcPr>
          <w:p>
            <w:pPr>
              <w:jc w:val="center"/>
              <w:ind w:right="199"/>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tcPr>
          <w:p>
            <w:pPr>
              <w:jc w:val="center"/>
              <w:ind w:right="159"/>
              <w:spacing w:after="0"/>
              <w:rPr>
                <w:sz w:val="20"/>
                <w:szCs w:val="20"/>
                <w:color w:val="auto"/>
              </w:rPr>
            </w:pPr>
            <w:r>
              <w:rPr>
                <w:rFonts w:ascii="Arial" w:cs="Arial" w:eastAsia="Arial" w:hAnsi="Arial"/>
                <w:sz w:val="14"/>
                <w:szCs w:val="14"/>
                <w:b w:val="1"/>
                <w:bCs w:val="1"/>
                <w:color w:val="auto"/>
                <w:w w:val="86"/>
              </w:rPr>
              <w:t>Amount</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3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tcPr>
          <w:p>
            <w:pPr>
              <w:jc w:val="center"/>
              <w:ind w:right="179"/>
              <w:spacing w:after="0"/>
              <w:rPr>
                <w:sz w:val="20"/>
                <w:szCs w:val="20"/>
                <w:color w:val="auto"/>
              </w:rPr>
            </w:pPr>
            <w:r>
              <w:rPr>
                <w:rFonts w:ascii="Arial" w:cs="Arial" w:eastAsia="Arial" w:hAnsi="Arial"/>
                <w:sz w:val="14"/>
                <w:szCs w:val="14"/>
                <w:b w:val="1"/>
                <w:bCs w:val="1"/>
                <w:color w:val="auto"/>
                <w:w w:val="90"/>
              </w:rPr>
              <w:t>Amount</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jc w:val="center"/>
              <w:ind w:right="179"/>
              <w:spacing w:after="0"/>
              <w:rPr>
                <w:sz w:val="20"/>
                <w:szCs w:val="20"/>
                <w:color w:val="auto"/>
              </w:rPr>
            </w:pPr>
            <w:r>
              <w:rPr>
                <w:rFonts w:ascii="Arial" w:cs="Arial" w:eastAsia="Arial" w:hAnsi="Arial"/>
                <w:sz w:val="14"/>
                <w:szCs w:val="14"/>
                <w:b w:val="1"/>
                <w:bCs w:val="1"/>
                <w:color w:val="auto"/>
                <w:w w:val="90"/>
              </w:rPr>
              <w:t>Amount</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40" w:type="dxa"/>
            <w:vAlign w:val="bottom"/>
          </w:tcPr>
          <w:p>
            <w:pPr>
              <w:jc w:val="center"/>
              <w:ind w:right="199"/>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4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60" w:type="dxa"/>
            <w:vAlign w:val="bottom"/>
          </w:tcPr>
          <w:p>
            <w:pPr>
              <w:spacing w:after="0"/>
              <w:rPr>
                <w:sz w:val="9"/>
                <w:szCs w:val="9"/>
                <w:color w:val="auto"/>
              </w:rPr>
            </w:pPr>
          </w:p>
        </w:tc>
        <w:tc>
          <w:tcPr>
            <w:tcW w:w="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24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32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(314,460)</w:t>
            </w:r>
          </w:p>
        </w:tc>
        <w:tc>
          <w:tcPr>
            <w:tcW w:w="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80,255</w:t>
            </w:r>
          </w:p>
        </w:tc>
        <w:tc>
          <w:tcPr>
            <w:tcW w:w="3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(235,516)</w:t>
            </w:r>
          </w:p>
        </w:tc>
        <w:tc>
          <w:tcPr>
            <w:tcW w:w="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159,199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40" w:type="dxa"/>
            <w:vAlign w:val="bottom"/>
          </w:tcPr>
          <w:p>
            <w:pPr>
              <w:spacing w:after="0"/>
              <w:rPr>
                <w:sz w:val="20"/>
                <w:szCs w:val="20"/>
                <w:color w:val="auto"/>
              </w:rPr>
            </w:pPr>
            <w:r>
              <w:rPr>
                <w:rFonts w:ascii="Arial" w:cs="Arial" w:eastAsia="Arial" w:hAnsi="Arial"/>
                <w:sz w:val="18"/>
                <w:szCs w:val="18"/>
                <w:color w:val="auto"/>
              </w:rPr>
              <w:t>Trade name</w:t>
            </w: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100</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(80)</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100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60" w:type="dxa"/>
            <w:vAlign w:val="bottom"/>
            <w:gridSpan w:val="2"/>
          </w:tcPr>
          <w:p>
            <w:pPr>
              <w:jc w:val="right"/>
              <w:ind w:right="20"/>
              <w:spacing w:after="0"/>
              <w:rPr>
                <w:sz w:val="20"/>
                <w:szCs w:val="20"/>
                <w:color w:val="auto"/>
              </w:rPr>
            </w:pPr>
            <w:r>
              <w:rPr>
                <w:rFonts w:ascii="Arial" w:cs="Arial" w:eastAsia="Arial" w:hAnsi="Arial"/>
                <w:sz w:val="18"/>
                <w:szCs w:val="18"/>
                <w:color w:val="auto"/>
              </w:rPr>
              <w:t>(30)</w:t>
            </w:r>
          </w:p>
        </w:tc>
        <w:tc>
          <w:tcPr>
            <w:tcW w:w="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(64)</w:t>
            </w:r>
          </w:p>
        </w:tc>
        <w:tc>
          <w:tcPr>
            <w:tcW w:w="4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w:t>
            </w:r>
          </w:p>
        </w:tc>
        <w:tc>
          <w:tcPr>
            <w:tcW w:w="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2240" w:type="dxa"/>
            <w:vAlign w:val="bottom"/>
            <w:vMerge w:val="restart"/>
          </w:tcPr>
          <w:p>
            <w:pPr>
              <w:ind w:left="200"/>
              <w:spacing w:after="0"/>
              <w:rPr>
                <w:sz w:val="20"/>
                <w:szCs w:val="20"/>
                <w:color w:val="auto"/>
              </w:rPr>
            </w:pPr>
            <w:r>
              <w:rPr>
                <w:rFonts w:ascii="Arial" w:cs="Arial" w:eastAsia="Arial" w:hAnsi="Arial"/>
                <w:sz w:val="18"/>
                <w:szCs w:val="18"/>
                <w:color w:val="auto"/>
              </w:rPr>
              <w:t>Total identified intangible</w:t>
            </w:r>
          </w:p>
        </w:tc>
        <w:tc>
          <w:tcPr>
            <w:tcW w:w="24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313"/>
        </w:trPr>
        <w:tc>
          <w:tcPr>
            <w:tcW w:w="20" w:type="dxa"/>
            <w:vAlign w:val="bottom"/>
          </w:tcPr>
          <w:p>
            <w:pPr>
              <w:spacing w:after="0"/>
              <w:rPr>
                <w:sz w:val="24"/>
                <w:szCs w:val="24"/>
                <w:color w:val="auto"/>
              </w:rPr>
            </w:pPr>
          </w:p>
        </w:tc>
        <w:tc>
          <w:tcPr>
            <w:tcW w:w="22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240" w:type="dxa"/>
            <w:vAlign w:val="bottom"/>
          </w:tcPr>
          <w:p>
            <w:pPr>
              <w:ind w:left="200"/>
              <w:spacing w:after="0"/>
              <w:rPr>
                <w:sz w:val="20"/>
                <w:szCs w:val="20"/>
                <w:color w:val="auto"/>
              </w:rPr>
            </w:pPr>
            <w:r>
              <w:rPr>
                <w:rFonts w:ascii="Arial" w:cs="Arial" w:eastAsia="Arial" w:hAnsi="Arial"/>
                <w:sz w:val="18"/>
                <w:szCs w:val="18"/>
                <w:color w:val="auto"/>
              </w:rPr>
              <w:t>assets</w:t>
            </w: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395,015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(314,604)</w:t>
            </w: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80,411</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395,015</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60" w:type="dxa"/>
            <w:vAlign w:val="bottom"/>
            <w:gridSpan w:val="2"/>
          </w:tcPr>
          <w:p>
            <w:pPr>
              <w:jc w:val="right"/>
              <w:ind w:right="20"/>
              <w:spacing w:after="0"/>
              <w:rPr>
                <w:sz w:val="20"/>
                <w:szCs w:val="20"/>
                <w:color w:val="auto"/>
              </w:rPr>
            </w:pPr>
            <w:r>
              <w:rPr>
                <w:rFonts w:ascii="Arial" w:cs="Arial" w:eastAsia="Arial" w:hAnsi="Arial"/>
                <w:sz w:val="18"/>
                <w:szCs w:val="18"/>
                <w:color w:val="auto"/>
              </w:rPr>
              <w:t>(235,570)</w:t>
            </w:r>
          </w:p>
        </w:tc>
        <w:tc>
          <w:tcPr>
            <w:tcW w:w="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159,445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2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1,828,131</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(347,906)</w:t>
            </w:r>
          </w:p>
        </w:tc>
        <w:tc>
          <w:tcPr>
            <w:tcW w:w="4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1,480,225</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1,803,545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(347,906)</w:t>
            </w:r>
          </w:p>
        </w:tc>
        <w:tc>
          <w:tcPr>
            <w:tcW w:w="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1,455,639</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224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2240" w:type="dxa"/>
            <w:vAlign w:val="bottom"/>
          </w:tcPr>
          <w:p>
            <w:pPr>
              <w:ind w:left="200"/>
              <w:spacing w:after="0"/>
              <w:rPr>
                <w:sz w:val="20"/>
                <w:szCs w:val="20"/>
                <w:color w:val="auto"/>
              </w:rPr>
            </w:pPr>
            <w:r>
              <w:rPr>
                <w:rFonts w:ascii="Arial" w:cs="Arial" w:eastAsia="Arial" w:hAnsi="Arial"/>
                <w:sz w:val="18"/>
                <w:szCs w:val="18"/>
                <w:color w:val="auto"/>
              </w:rPr>
              <w:t>Total intangible assets</w:t>
            </w: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2,223,146</w:t>
            </w:r>
          </w:p>
        </w:tc>
        <w:tc>
          <w:tcPr>
            <w:tcW w:w="320" w:type="dxa"/>
            <w:vAlign w:val="bottom"/>
            <w:gridSpan w:val="2"/>
          </w:tcPr>
          <w:p>
            <w:pPr>
              <w:jc w:val="right"/>
              <w:ind w:right="52"/>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(662,510)</w:t>
            </w:r>
          </w:p>
        </w:tc>
        <w:tc>
          <w:tcPr>
            <w:tcW w:w="280" w:type="dxa"/>
            <w:vAlign w:val="bottom"/>
            <w:gridSpan w:val="2"/>
          </w:tcPr>
          <w:p>
            <w:pPr>
              <w:jc w:val="right"/>
              <w:ind w:right="16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1,560,636</w:t>
            </w:r>
          </w:p>
        </w:tc>
        <w:tc>
          <w:tcPr>
            <w:tcW w:w="3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2,198,560</w:t>
            </w: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460" w:type="dxa"/>
            <w:vAlign w:val="bottom"/>
            <w:gridSpan w:val="2"/>
          </w:tcPr>
          <w:p>
            <w:pPr>
              <w:jc w:val="right"/>
              <w:ind w:right="20"/>
              <w:spacing w:after="0"/>
              <w:rPr>
                <w:sz w:val="20"/>
                <w:szCs w:val="20"/>
                <w:color w:val="auto"/>
              </w:rPr>
            </w:pPr>
            <w:r>
              <w:rPr>
                <w:rFonts w:ascii="Arial" w:cs="Arial" w:eastAsia="Arial" w:hAnsi="Arial"/>
                <w:sz w:val="18"/>
                <w:szCs w:val="18"/>
                <w:color w:val="auto"/>
              </w:rPr>
              <w:t>(583,476)</w:t>
            </w:r>
          </w:p>
        </w:tc>
        <w:tc>
          <w:tcPr>
            <w:tcW w:w="300" w:type="dxa"/>
            <w:vAlign w:val="bottom"/>
            <w:gridSpan w:val="2"/>
          </w:tcPr>
          <w:p>
            <w:pPr>
              <w:jc w:val="right"/>
              <w:ind w:right="18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1,615,084</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60" w:type="dxa"/>
            <w:vAlign w:val="bottom"/>
          </w:tcPr>
          <w:p>
            <w:pPr>
              <w:spacing w:after="0"/>
              <w:rPr>
                <w:sz w:val="9"/>
                <w:szCs w:val="9"/>
                <w:color w:val="auto"/>
              </w:rPr>
            </w:pPr>
          </w:p>
        </w:tc>
        <w:tc>
          <w:tcPr>
            <w:tcW w:w="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24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4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4282440</wp:posOffset>
            </wp:positionH>
            <wp:positionV relativeFrom="paragraph">
              <wp:posOffset>-1892300</wp:posOffset>
            </wp:positionV>
            <wp:extent cx="12700" cy="8890"/>
            <wp:wrapNone/>
            <wp:docPr id="838"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8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-1892300</wp:posOffset>
            </wp:positionV>
            <wp:extent cx="12700" cy="8890"/>
            <wp:wrapNone/>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8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7172325</wp:posOffset>
            </wp:positionH>
            <wp:positionV relativeFrom="paragraph">
              <wp:posOffset>-1892300</wp:posOffset>
            </wp:positionV>
            <wp:extent cx="12700" cy="8890"/>
            <wp:wrapNone/>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8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-1892300</wp:posOffset>
            </wp:positionV>
            <wp:extent cx="12700" cy="8890"/>
            <wp:wrapNone/>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8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2352675</wp:posOffset>
            </wp:positionH>
            <wp:positionV relativeFrom="paragraph">
              <wp:posOffset>-1454785</wp:posOffset>
            </wp:positionV>
            <wp:extent cx="12700" cy="8890"/>
            <wp:wrapNone/>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8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-1454785</wp:posOffset>
            </wp:positionV>
            <wp:extent cx="12700" cy="8890"/>
            <wp:wrapNone/>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8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-1454785</wp:posOffset>
            </wp:positionV>
            <wp:extent cx="12700" cy="8890"/>
            <wp:wrapNone/>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8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2430145</wp:posOffset>
            </wp:positionH>
            <wp:positionV relativeFrom="paragraph">
              <wp:posOffset>-1454785</wp:posOffset>
            </wp:positionV>
            <wp:extent cx="12700" cy="8890"/>
            <wp:wrapNone/>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8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-1454785</wp:posOffset>
            </wp:positionV>
            <wp:extent cx="12700" cy="8890"/>
            <wp:wrapNone/>
            <wp:docPr id="846"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8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3433445</wp:posOffset>
            </wp:positionH>
            <wp:positionV relativeFrom="paragraph">
              <wp:posOffset>-1454785</wp:posOffset>
            </wp:positionV>
            <wp:extent cx="12700" cy="8890"/>
            <wp:wrapNone/>
            <wp:docPr id="847"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8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5208270</wp:posOffset>
            </wp:positionH>
            <wp:positionV relativeFrom="paragraph">
              <wp:posOffset>-1454785</wp:posOffset>
            </wp:positionV>
            <wp:extent cx="12700" cy="8890"/>
            <wp:wrapNone/>
            <wp:docPr id="848"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8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-1454785</wp:posOffset>
            </wp:positionV>
            <wp:extent cx="12700" cy="8890"/>
            <wp:wrapNone/>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8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6220460</wp:posOffset>
            </wp:positionH>
            <wp:positionV relativeFrom="paragraph">
              <wp:posOffset>-1454785</wp:posOffset>
            </wp:positionV>
            <wp:extent cx="12700" cy="8890"/>
            <wp:wrapNone/>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8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5285740</wp:posOffset>
            </wp:positionH>
            <wp:positionV relativeFrom="paragraph">
              <wp:posOffset>-1454785</wp:posOffset>
            </wp:positionV>
            <wp:extent cx="12700" cy="8890"/>
            <wp:wrapNone/>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8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7172325</wp:posOffset>
            </wp:positionH>
            <wp:positionV relativeFrom="paragraph">
              <wp:posOffset>-1454785</wp:posOffset>
            </wp:positionV>
            <wp:extent cx="12700" cy="8890"/>
            <wp:wrapNone/>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8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-1454785</wp:posOffset>
            </wp:positionV>
            <wp:extent cx="12700" cy="8890"/>
            <wp:wrapNone/>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8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2352675</wp:posOffset>
            </wp:positionH>
            <wp:positionV relativeFrom="paragraph">
              <wp:posOffset>-889000</wp:posOffset>
            </wp:positionV>
            <wp:extent cx="12700" cy="8890"/>
            <wp:wrapNone/>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8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-889000</wp:posOffset>
            </wp:positionV>
            <wp:extent cx="12700" cy="8890"/>
            <wp:wrapNone/>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8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-889000</wp:posOffset>
            </wp:positionV>
            <wp:extent cx="12700" cy="8890"/>
            <wp:wrapNone/>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8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2430145</wp:posOffset>
            </wp:positionH>
            <wp:positionV relativeFrom="paragraph">
              <wp:posOffset>-889000</wp:posOffset>
            </wp:positionV>
            <wp:extent cx="12700" cy="8890"/>
            <wp:wrapNone/>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8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-889000</wp:posOffset>
            </wp:positionV>
            <wp:extent cx="12700" cy="8890"/>
            <wp:wrapNone/>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8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3433445</wp:posOffset>
            </wp:positionH>
            <wp:positionV relativeFrom="paragraph">
              <wp:posOffset>-889000</wp:posOffset>
            </wp:positionV>
            <wp:extent cx="12700" cy="8890"/>
            <wp:wrapNone/>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8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5208270</wp:posOffset>
            </wp:positionH>
            <wp:positionV relativeFrom="paragraph">
              <wp:posOffset>-889000</wp:posOffset>
            </wp:positionV>
            <wp:extent cx="12700" cy="8890"/>
            <wp:wrapNone/>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8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-889000</wp:posOffset>
            </wp:positionV>
            <wp:extent cx="12700" cy="8890"/>
            <wp:wrapNone/>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8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6220460</wp:posOffset>
            </wp:positionH>
            <wp:positionV relativeFrom="paragraph">
              <wp:posOffset>-889000</wp:posOffset>
            </wp:positionV>
            <wp:extent cx="12700" cy="8890"/>
            <wp:wrapNone/>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8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5285740</wp:posOffset>
            </wp:positionH>
            <wp:positionV relativeFrom="paragraph">
              <wp:posOffset>-889000</wp:posOffset>
            </wp:positionV>
            <wp:extent cx="12700" cy="8890"/>
            <wp:wrapNone/>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8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7172325</wp:posOffset>
            </wp:positionH>
            <wp:positionV relativeFrom="paragraph">
              <wp:posOffset>-889000</wp:posOffset>
            </wp:positionV>
            <wp:extent cx="12700" cy="8890"/>
            <wp:wrapNone/>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8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-889000</wp:posOffset>
            </wp:positionV>
            <wp:extent cx="12700" cy="8890"/>
            <wp:wrapNone/>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pic:cNvPicPr>
                      <a:picLocks noChangeAspect="1" noChangeArrowheads="1"/>
                    </pic:cNvPicPr>
                  </pic:nvPicPr>
                  <pic:blipFill>
                    <a:blip r:embed="rId8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2352675</wp:posOffset>
            </wp:positionH>
            <wp:positionV relativeFrom="paragraph">
              <wp:posOffset>-323215</wp:posOffset>
            </wp:positionV>
            <wp:extent cx="12700" cy="8890"/>
            <wp:wrapNone/>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pic:cNvPicPr>
                      <a:picLocks noChangeAspect="1" noChangeArrowheads="1"/>
                    </pic:cNvPicPr>
                  </pic:nvPicPr>
                  <pic:blipFill>
                    <a:blip r:embed="rId8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-323215</wp:posOffset>
            </wp:positionV>
            <wp:extent cx="12700" cy="8890"/>
            <wp:wrapNone/>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8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-323215</wp:posOffset>
            </wp:positionV>
            <wp:extent cx="12700" cy="8890"/>
            <wp:wrapNone/>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8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2430145</wp:posOffset>
            </wp:positionH>
            <wp:positionV relativeFrom="paragraph">
              <wp:posOffset>-323215</wp:posOffset>
            </wp:positionV>
            <wp:extent cx="12700" cy="8890"/>
            <wp:wrapNone/>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8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-323215</wp:posOffset>
            </wp:positionV>
            <wp:extent cx="12700" cy="8890"/>
            <wp:wrapNone/>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8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3433445</wp:posOffset>
            </wp:positionH>
            <wp:positionV relativeFrom="paragraph">
              <wp:posOffset>-323215</wp:posOffset>
            </wp:positionV>
            <wp:extent cx="12700" cy="8890"/>
            <wp:wrapNone/>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1"/>
                    <pic:cNvPicPr>
                      <a:picLocks noChangeAspect="1" noChangeArrowheads="1"/>
                    </pic:cNvPicPr>
                  </pic:nvPicPr>
                  <pic:blipFill>
                    <a:blip r:embed="rId8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5208270</wp:posOffset>
            </wp:positionH>
            <wp:positionV relativeFrom="paragraph">
              <wp:posOffset>-323215</wp:posOffset>
            </wp:positionV>
            <wp:extent cx="12700" cy="8890"/>
            <wp:wrapNone/>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pic:cNvPicPr>
                      <a:picLocks noChangeAspect="1" noChangeArrowheads="1"/>
                    </pic:cNvPicPr>
                  </pic:nvPicPr>
                  <pic:blipFill>
                    <a:blip r:embed="rId8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4359275</wp:posOffset>
            </wp:positionH>
            <wp:positionV relativeFrom="paragraph">
              <wp:posOffset>-323215</wp:posOffset>
            </wp:positionV>
            <wp:extent cx="12700" cy="8890"/>
            <wp:wrapNone/>
            <wp:docPr id="873" name="Picture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
                    <pic:cNvPicPr>
                      <a:picLocks noChangeAspect="1" noChangeArrowheads="1"/>
                    </pic:cNvPicPr>
                  </pic:nvPicPr>
                  <pic:blipFill>
                    <a:blip r:embed="rId8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6220460</wp:posOffset>
            </wp:positionH>
            <wp:positionV relativeFrom="paragraph">
              <wp:posOffset>-323215</wp:posOffset>
            </wp:positionV>
            <wp:extent cx="12700" cy="8890"/>
            <wp:wrapNone/>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pic:cNvPicPr>
                      <a:picLocks noChangeAspect="1" noChangeArrowheads="1"/>
                    </pic:cNvPicPr>
                  </pic:nvPicPr>
                  <pic:blipFill>
                    <a:blip r:embed="rId8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5285740</wp:posOffset>
            </wp:positionH>
            <wp:positionV relativeFrom="paragraph">
              <wp:posOffset>-323215</wp:posOffset>
            </wp:positionV>
            <wp:extent cx="12700" cy="8890"/>
            <wp:wrapNone/>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8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7172325</wp:posOffset>
            </wp:positionH>
            <wp:positionV relativeFrom="paragraph">
              <wp:posOffset>-323215</wp:posOffset>
            </wp:positionV>
            <wp:extent cx="12700" cy="8890"/>
            <wp:wrapNone/>
            <wp:docPr id="876"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8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88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changes in the carrying amount of goodwill for fiscal 2005 are as follows (in thousands):</w:t>
      </w:r>
    </w:p>
    <w:p>
      <w:pPr>
        <w:spacing w:after="0" w:line="221" w:lineRule="exact"/>
        <w:rPr>
          <w:sz w:val="20"/>
          <w:szCs w:val="20"/>
          <w:color w:val="auto"/>
        </w:rPr>
      </w:pPr>
    </w:p>
    <w:p>
      <w:pPr>
        <w:jc w:val="center"/>
        <w:ind w:left="7040"/>
        <w:spacing w:after="0"/>
        <w:rPr>
          <w:sz w:val="20"/>
          <w:szCs w:val="20"/>
          <w:color w:val="auto"/>
        </w:rPr>
      </w:pPr>
      <w:r>
        <w:rPr>
          <w:rFonts w:ascii="Arial" w:cs="Arial" w:eastAsia="Arial" w:hAnsi="Arial"/>
          <w:sz w:val="14"/>
          <w:szCs w:val="14"/>
          <w:b w:val="1"/>
          <w:bCs w:val="1"/>
          <w:color w:val="auto"/>
        </w:rPr>
        <w:t>January 31,</w:t>
      </w:r>
    </w:p>
    <w:p>
      <w:pPr>
        <w:spacing w:after="0" w:line="1" w:lineRule="exact"/>
        <w:rPr>
          <w:sz w:val="20"/>
          <w:szCs w:val="20"/>
          <w:color w:val="auto"/>
        </w:rPr>
      </w:pPr>
    </w:p>
    <w:p>
      <w:pPr>
        <w:jc w:val="center"/>
        <w:ind w:left="7040"/>
        <w:spacing w:after="0"/>
        <w:rPr>
          <w:sz w:val="20"/>
          <w:szCs w:val="20"/>
          <w:color w:val="auto"/>
        </w:rPr>
      </w:pPr>
      <w:r>
        <w:rPr>
          <w:rFonts w:ascii="Arial" w:cs="Arial" w:eastAsia="Arial" w:hAnsi="Arial"/>
          <w:sz w:val="14"/>
          <w:szCs w:val="14"/>
          <w:b w:val="1"/>
          <w:bCs w:val="1"/>
          <w:color w:val="auto"/>
        </w:rPr>
        <w:t>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5422900</wp:posOffset>
            </wp:positionH>
            <wp:positionV relativeFrom="paragraph">
              <wp:posOffset>58420</wp:posOffset>
            </wp:positionV>
            <wp:extent cx="870585" cy="21590"/>
            <wp:wrapNone/>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885">
                      <a:extLst>
                        <a:ext uri="{28A0092B-C50C-407E-A947-70E740481C1C}"/>
                      </a:extLst>
                    </a:blip>
                    <a:srcRect/>
                    <a:stretch>
                      <a:fillRect/>
                    </a:stretch>
                  </pic:blipFill>
                  <pic:spPr bwMode="auto">
                    <a:xfrm>
                      <a:off x="0" y="0"/>
                      <a:ext cx="870585" cy="21590"/>
                    </a:xfrm>
                    <a:prstGeom prst="rect">
                      <a:avLst/>
                    </a:prstGeom>
                    <a:noFill/>
                  </pic:spPr>
                </pic:pic>
              </a:graphicData>
            </a:graphic>
          </wp:anchor>
        </w:drawing>
      </w:r>
    </w:p>
    <w:p>
      <w:pPr>
        <w:sectPr>
          <w:pgSz w:w="11900" w:h="16838" w:orient="portrait"/>
          <w:cols w:equalWidth="0" w:num="1">
            <w:col w:w="11320"/>
          </w:cols>
          <w:pgMar w:left="240" w:top="127" w:right="339" w:bottom="1440" w:gutter="0" w:footer="0" w:header="0"/>
        </w:sectPr>
      </w:pPr>
    </w:p>
    <w:p>
      <w:pPr>
        <w:spacing w:after="0" w:line="222" w:lineRule="exact"/>
        <w:rPr>
          <w:sz w:val="20"/>
          <w:szCs w:val="20"/>
          <w:color w:val="auto"/>
        </w:rPr>
      </w:pPr>
    </w:p>
    <w:p>
      <w:pPr>
        <w:ind w:left="1440"/>
        <w:spacing w:after="0"/>
        <w:rPr>
          <w:sz w:val="20"/>
          <w:szCs w:val="20"/>
          <w:color w:val="auto"/>
        </w:rPr>
      </w:pPr>
      <w:r>
        <w:rPr>
          <w:rFonts w:ascii="Arial" w:cs="Arial" w:eastAsia="Arial" w:hAnsi="Arial"/>
          <w:sz w:val="15"/>
          <w:szCs w:val="15"/>
          <w:color w:val="auto"/>
        </w:rPr>
        <w:t>Balances as of January 31, 2004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914400</wp:posOffset>
            </wp:positionH>
            <wp:positionV relativeFrom="paragraph">
              <wp:posOffset>-103505</wp:posOffset>
            </wp:positionV>
            <wp:extent cx="5428615" cy="137160"/>
            <wp:wrapNone/>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886">
                      <a:extLst>
                        <a:ext uri="{28A0092B-C50C-407E-A947-70E740481C1C}"/>
                      </a:extLst>
                    </a:blip>
                    <a:srcRect/>
                    <a:stretch>
                      <a:fillRect/>
                    </a:stretch>
                  </pic:blipFill>
                  <pic:spPr bwMode="auto">
                    <a:xfrm>
                      <a:off x="0" y="0"/>
                      <a:ext cx="5428615" cy="137160"/>
                    </a:xfrm>
                    <a:prstGeom prst="rect">
                      <a:avLst/>
                    </a:prstGeom>
                    <a:noFill/>
                  </pic:spPr>
                </pic:pic>
              </a:graphicData>
            </a:graphic>
          </wp:anchor>
        </w:drawing>
      </w:r>
    </w:p>
    <w:p>
      <w:pPr>
        <w:spacing w:after="0" w:line="30"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Additional goodwill</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6"/>
          <w:szCs w:val="16"/>
          <w:color w:val="auto"/>
        </w:rPr>
        <w:t>Reductions to existing goodwill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914400</wp:posOffset>
            </wp:positionH>
            <wp:positionV relativeFrom="paragraph">
              <wp:posOffset>-114935</wp:posOffset>
            </wp:positionV>
            <wp:extent cx="5428615" cy="137160"/>
            <wp:wrapNone/>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pic:cNvPicPr>
                      <a:picLocks noChangeAspect="1" noChangeArrowheads="1"/>
                    </pic:cNvPicPr>
                  </pic:nvPicPr>
                  <pic:blipFill>
                    <a:blip r:embed="rId887">
                      <a:extLst>
                        <a:ext uri="{28A0092B-C50C-407E-A947-70E740481C1C}"/>
                      </a:extLst>
                    </a:blip>
                    <a:srcRect/>
                    <a:stretch>
                      <a:fillRect/>
                    </a:stretch>
                  </pic:blipFill>
                  <pic:spPr bwMode="auto">
                    <a:xfrm>
                      <a:off x="0" y="0"/>
                      <a:ext cx="5428615" cy="137160"/>
                    </a:xfrm>
                    <a:prstGeom prst="rect">
                      <a:avLst/>
                    </a:prstGeom>
                    <a:noFill/>
                  </pic:spPr>
                </pic:pic>
              </a:graphicData>
            </a:graphic>
          </wp:anchor>
        </w:drawing>
      </w:r>
    </w:p>
    <w:p>
      <w:pPr>
        <w:spacing w:after="0" w:line="249" w:lineRule="exact"/>
        <w:rPr>
          <w:sz w:val="20"/>
          <w:szCs w:val="20"/>
          <w:color w:val="auto"/>
        </w:rPr>
      </w:pPr>
    </w:p>
    <w:p>
      <w:pPr>
        <w:ind w:left="1440"/>
        <w:spacing w:after="0"/>
        <w:rPr>
          <w:sz w:val="20"/>
          <w:szCs w:val="20"/>
          <w:color w:val="auto"/>
        </w:rPr>
      </w:pPr>
      <w:r>
        <w:rPr>
          <w:rFonts w:ascii="Arial" w:cs="Arial" w:eastAsia="Arial" w:hAnsi="Arial"/>
          <w:sz w:val="15"/>
          <w:szCs w:val="15"/>
          <w:color w:val="auto"/>
        </w:rPr>
        <w:t>Balances as of January 31, 2005</w:t>
      </w:r>
    </w:p>
    <w:p>
      <w:pPr>
        <w:spacing w:after="0" w:line="20" w:lineRule="exact"/>
        <w:rPr>
          <w:sz w:val="20"/>
          <w:szCs w:val="20"/>
          <w:color w:val="auto"/>
        </w:rPr>
      </w:pPr>
      <w:r>
        <w:rPr>
          <w:sz w:val="20"/>
          <w:szCs w:val="20"/>
          <w:color w:val="auto"/>
        </w:rPr>
        <w:br w:type="column"/>
      </w:r>
    </w:p>
    <w:p>
      <w:pPr>
        <w:spacing w:after="0" w:line="202" w:lineRule="exact"/>
        <w:rPr>
          <w:sz w:val="20"/>
          <w:szCs w:val="20"/>
          <w:color w:val="auto"/>
        </w:rPr>
      </w:pPr>
    </w:p>
    <w:p>
      <w:pPr>
        <w:ind w:left="657" w:hanging="657"/>
        <w:spacing w:after="0"/>
        <w:tabs>
          <w:tab w:leader="none" w:pos="657" w:val="left"/>
        </w:tabs>
        <w:numPr>
          <w:ilvl w:val="0"/>
          <w:numId w:val="29"/>
        </w:numPr>
        <w:rPr>
          <w:rFonts w:ascii="Arial" w:cs="Arial" w:eastAsia="Arial" w:hAnsi="Arial"/>
          <w:sz w:val="16"/>
          <w:szCs w:val="16"/>
          <w:color w:val="auto"/>
        </w:rPr>
      </w:pPr>
      <w:r>
        <w:rPr>
          <w:rFonts w:ascii="Arial" w:cs="Arial" w:eastAsia="Arial" w:hAnsi="Arial"/>
          <w:sz w:val="16"/>
          <w:szCs w:val="16"/>
          <w:color w:val="auto"/>
        </w:rPr>
        <w:t>1,455,639</w:t>
      </w:r>
    </w:p>
    <w:p>
      <w:pPr>
        <w:spacing w:after="0" w:line="38" w:lineRule="exact"/>
        <w:rPr>
          <w:rFonts w:ascii="Arial" w:cs="Arial" w:eastAsia="Arial" w:hAnsi="Arial"/>
          <w:sz w:val="16"/>
          <w:szCs w:val="16"/>
          <w:color w:val="auto"/>
        </w:rPr>
      </w:pPr>
    </w:p>
    <w:p>
      <w:pPr>
        <w:ind w:left="877"/>
        <w:spacing w:after="0"/>
        <w:rPr>
          <w:rFonts w:ascii="Arial" w:cs="Arial" w:eastAsia="Arial" w:hAnsi="Arial"/>
          <w:sz w:val="16"/>
          <w:szCs w:val="16"/>
          <w:color w:val="auto"/>
        </w:rPr>
      </w:pPr>
      <w:r>
        <w:rPr>
          <w:rFonts w:ascii="Arial" w:cs="Arial" w:eastAsia="Arial" w:hAnsi="Arial"/>
          <w:sz w:val="16"/>
          <w:szCs w:val="16"/>
          <w:color w:val="auto"/>
        </w:rPr>
        <w:t>25,471</w:t>
      </w:r>
    </w:p>
    <w:p>
      <w:pPr>
        <w:spacing w:after="0" w:line="32" w:lineRule="exact"/>
        <w:rPr>
          <w:rFonts w:ascii="Arial" w:cs="Arial" w:eastAsia="Arial" w:hAnsi="Arial"/>
          <w:sz w:val="16"/>
          <w:szCs w:val="16"/>
          <w:color w:val="auto"/>
        </w:rPr>
      </w:pPr>
    </w:p>
    <w:p>
      <w:pPr>
        <w:ind w:left="1037"/>
        <w:spacing w:after="0"/>
        <w:rPr>
          <w:rFonts w:ascii="Arial" w:cs="Arial" w:eastAsia="Arial" w:hAnsi="Arial"/>
          <w:sz w:val="16"/>
          <w:szCs w:val="16"/>
          <w:color w:val="auto"/>
        </w:rPr>
      </w:pPr>
      <w:r>
        <w:rPr>
          <w:rFonts w:ascii="Arial" w:cs="Arial" w:eastAsia="Arial" w:hAnsi="Arial"/>
          <w:sz w:val="16"/>
          <w:szCs w:val="16"/>
          <w:color w:val="auto"/>
        </w:rPr>
        <w:t>(885)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88265</wp:posOffset>
            </wp:positionV>
            <wp:extent cx="870585" cy="21590"/>
            <wp:wrapNone/>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pic:cNvPicPr>
                      <a:picLocks noChangeAspect="1" noChangeArrowheads="1"/>
                    </pic:cNvPicPr>
                  </pic:nvPicPr>
                  <pic:blipFill>
                    <a:blip r:embed="rId888">
                      <a:extLst>
                        <a:ext uri="{28A0092B-C50C-407E-A947-70E740481C1C}"/>
                      </a:extLst>
                    </a:blip>
                    <a:srcRect/>
                    <a:stretch>
                      <a:fillRect/>
                    </a:stretch>
                  </pic:blipFill>
                  <pic:spPr bwMode="auto">
                    <a:xfrm>
                      <a:off x="0" y="0"/>
                      <a:ext cx="870585" cy="21590"/>
                    </a:xfrm>
                    <a:prstGeom prst="rect">
                      <a:avLst/>
                    </a:prstGeom>
                    <a:noFill/>
                  </pic:spPr>
                </pic:pic>
              </a:graphicData>
            </a:graphic>
          </wp:anchor>
        </w:drawing>
      </w:r>
    </w:p>
    <w:p>
      <w:pPr>
        <w:spacing w:after="0" w:line="249" w:lineRule="exact"/>
        <w:rPr>
          <w:sz w:val="20"/>
          <w:szCs w:val="20"/>
          <w:color w:val="auto"/>
        </w:rPr>
      </w:pPr>
    </w:p>
    <w:p>
      <w:pPr>
        <w:ind w:left="657" w:hanging="657"/>
        <w:spacing w:after="0"/>
        <w:tabs>
          <w:tab w:leader="none" w:pos="657" w:val="left"/>
        </w:tabs>
        <w:numPr>
          <w:ilvl w:val="0"/>
          <w:numId w:val="30"/>
        </w:numPr>
        <w:rPr>
          <w:rFonts w:ascii="Arial" w:cs="Arial" w:eastAsia="Arial" w:hAnsi="Arial"/>
          <w:sz w:val="16"/>
          <w:szCs w:val="16"/>
          <w:color w:val="auto"/>
        </w:rPr>
      </w:pPr>
      <w:r>
        <w:rPr>
          <w:rFonts w:ascii="Arial" w:cs="Arial" w:eastAsia="Arial" w:hAnsi="Arial"/>
          <w:sz w:val="16"/>
          <w:szCs w:val="16"/>
          <w:color w:val="auto"/>
        </w:rPr>
        <w:t>1,480,225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92075</wp:posOffset>
            </wp:positionV>
            <wp:extent cx="870585" cy="38735"/>
            <wp:wrapNone/>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2"/>
                    <pic:cNvPicPr>
                      <a:picLocks noChangeAspect="1" noChangeArrowheads="1"/>
                    </pic:cNvPicPr>
                  </pic:nvPicPr>
                  <pic:blipFill>
                    <a:blip r:embed="rId889">
                      <a:extLst>
                        <a:ext uri="{28A0092B-C50C-407E-A947-70E740481C1C}"/>
                      </a:extLst>
                    </a:blip>
                    <a:srcRect/>
                    <a:stretch>
                      <a:fillRect/>
                    </a:stretch>
                  </pic:blipFill>
                  <pic:spPr bwMode="auto">
                    <a:xfrm>
                      <a:off x="0" y="0"/>
                      <a:ext cx="870585" cy="3873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823" w:space="720"/>
            <w:col w:w="2777"/>
          </w:cols>
          <w:pgMar w:left="240" w:top="127" w:right="339" w:bottom="1440" w:gutter="0" w:footer="0" w:header="0"/>
          <w:type w:val="continuous"/>
        </w:sectPr>
      </w:pPr>
    </w:p>
    <w:p>
      <w:pPr>
        <w:spacing w:after="0" w:line="318" w:lineRule="exact"/>
        <w:rPr>
          <w:sz w:val="20"/>
          <w:szCs w:val="20"/>
          <w:color w:val="auto"/>
        </w:rPr>
      </w:pPr>
    </w:p>
    <w:p>
      <w:pPr>
        <w:ind w:right="60" w:firstLine="351"/>
        <w:spacing w:after="0" w:line="268" w:lineRule="auto"/>
        <w:rPr>
          <w:sz w:val="20"/>
          <w:szCs w:val="20"/>
          <w:color w:val="auto"/>
        </w:rPr>
      </w:pPr>
      <w:r>
        <w:rPr>
          <w:rFonts w:ascii="Arial" w:cs="Arial" w:eastAsia="Arial" w:hAnsi="Arial"/>
          <w:sz w:val="18"/>
          <w:szCs w:val="18"/>
          <w:color w:val="auto"/>
        </w:rPr>
        <w:t>In January 2003, the Company decided to no longer use the Galileo trade name in selling and marketing activities going forward. As a result, the Company wrote-off the remaining $22.4 million net book value of the trade name in the fourth quarter of fiscal 2003.</w:t>
      </w:r>
    </w:p>
    <w:p>
      <w:pPr>
        <w:spacing w:after="0" w:line="186"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The increase in goodwill during fiscal 2005 was due to the former RADLAN shareholders being entitled to certain shares to be issued based on the Company's achievement of revenues from certain products during fiscal 2005 (see Note 2). The reduction in existing goodwill in fiscal 2005 of $0.9 million was due to the reversal of previously accrued merger costs of $0.4 million and the recognition of the benefits of pre-acquisition state income tax net operating losses of a former MSIL U.S. subsidiary.</w:t>
      </w:r>
    </w:p>
    <w:p>
      <w:pPr>
        <w:spacing w:after="0" w:line="19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89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27" w:right="339" w:bottom="1440" w:gutter="0" w:footer="0" w:header="0"/>
          <w:type w:val="continuous"/>
        </w:sectPr>
      </w:pPr>
    </w:p>
    <w:bookmarkStart w:id="94" w:name="page95"/>
    <w:bookmarkEnd w:id="94"/>
    <w:p>
      <w:pPr>
        <w:ind w:right="60" w:firstLine="351"/>
        <w:spacing w:after="0" w:line="294" w:lineRule="auto"/>
        <w:rPr>
          <w:sz w:val="20"/>
          <w:szCs w:val="20"/>
          <w:color w:val="auto"/>
        </w:rPr>
      </w:pPr>
      <w:r>
        <w:rPr>
          <w:rFonts w:ascii="Arial" w:cs="Arial" w:eastAsia="Arial" w:hAnsi="Arial"/>
          <w:sz w:val="16"/>
          <w:szCs w:val="16"/>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was $79.0 million, $80.4 million and $83.4 million for fiscal 2005, 2004 and 2003, respectively. The estimated total annual amortization expenses of acquired intangible assets is $77.5 million for fiscal 2006, $1.2 million for both fiscal 2007 and 2008 and $0.5 million for fiscal 2009.</w:t>
      </w:r>
    </w:p>
    <w:p>
      <w:pPr>
        <w:spacing w:after="0" w:line="170" w:lineRule="exact"/>
        <w:rPr>
          <w:sz w:val="20"/>
          <w:szCs w:val="20"/>
          <w:color w:val="auto"/>
        </w:rPr>
      </w:pPr>
    </w:p>
    <w:p>
      <w:pPr>
        <w:ind w:right="80" w:firstLine="351"/>
        <w:spacing w:after="0" w:line="312" w:lineRule="auto"/>
        <w:rPr>
          <w:sz w:val="20"/>
          <w:szCs w:val="20"/>
          <w:color w:val="auto"/>
        </w:rPr>
      </w:pPr>
      <w:r>
        <w:rPr>
          <w:rFonts w:ascii="Arial" w:cs="Arial" w:eastAsia="Arial" w:hAnsi="Arial"/>
          <w:sz w:val="15"/>
          <w:szCs w:val="15"/>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 In the second quarter of fiscal 2005,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and is included in amortization and write-off of acquired intangible assets and other, while the remainder of the amount has been capitalized as licensed technology in other noncurrent assets and will be amortized to cost of goods sold over its estimated useful life of five years.</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Facilities Consolidation Charge:</w:t>
      </w:r>
    </w:p>
    <w:p>
      <w:pPr>
        <w:spacing w:after="0" w:line="231" w:lineRule="exact"/>
        <w:rPr>
          <w:sz w:val="20"/>
          <w:szCs w:val="20"/>
          <w:color w:val="auto"/>
        </w:rPr>
      </w:pPr>
    </w:p>
    <w:p>
      <w:pPr>
        <w:ind w:right="160" w:firstLine="351"/>
        <w:spacing w:after="0" w:line="290"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w:t>
      </w:r>
    </w:p>
    <w:p>
      <w:pPr>
        <w:spacing w:after="0" w:line="172" w:lineRule="exact"/>
        <w:rPr>
          <w:sz w:val="20"/>
          <w:szCs w:val="20"/>
          <w:color w:val="auto"/>
        </w:rPr>
      </w:pPr>
    </w:p>
    <w:p>
      <w:pPr>
        <w:jc w:val="both"/>
        <w:ind w:right="20" w:firstLine="341"/>
        <w:spacing w:after="0" w:line="306" w:lineRule="auto"/>
        <w:rPr>
          <w:sz w:val="20"/>
          <w:szCs w:val="20"/>
          <w:color w:val="auto"/>
        </w:rPr>
      </w:pPr>
      <w:r>
        <w:rPr>
          <w:rFonts w:ascii="Arial" w:cs="Arial" w:eastAsia="Arial" w:hAnsi="Arial"/>
          <w:sz w:val="16"/>
          <w:szCs w:val="16"/>
          <w:color w:val="auto"/>
        </w:rPr>
        <w:t>As of January 31, 2005, cash payments of $8.4 million, net of sublease income, had been made in connection with these charges. Approximately $5.1 million is accrued for the facilities consolidation charge as of January 31, 2005, of which $1.3 million is the current portion included in accrued liabilities while the long-term portion totaling $3.8 million is payable through 2010, and is included in other long-term liabilities.</w:t>
      </w:r>
    </w:p>
    <w:p>
      <w:pPr>
        <w:spacing w:after="0" w:line="16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summary of the facilities consolidation accrual related to the fiscal 2003 charge during fiscal 2005 is as follows (in thousands):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tcPr>
          <w:p>
            <w:pPr>
              <w:jc w:val="center"/>
              <w:ind w:right="28"/>
              <w:spacing w:after="0"/>
              <w:rPr>
                <w:sz w:val="20"/>
                <w:szCs w:val="20"/>
                <w:color w:val="auto"/>
              </w:rPr>
            </w:pPr>
            <w:r>
              <w:rPr>
                <w:rFonts w:ascii="Arial" w:cs="Arial" w:eastAsia="Arial" w:hAnsi="Arial"/>
                <w:sz w:val="14"/>
                <w:szCs w:val="14"/>
                <w:b w:val="1"/>
                <w:bCs w:val="1"/>
                <w:color w:val="auto"/>
                <w:w w:val="86"/>
              </w:rPr>
              <w:t>Remaining</w:t>
            </w: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1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center"/>
              <w:ind w:right="22"/>
              <w:spacing w:after="0" w:line="149" w:lineRule="exact"/>
              <w:rPr>
                <w:sz w:val="20"/>
                <w:szCs w:val="20"/>
                <w:color w:val="auto"/>
              </w:rPr>
            </w:pPr>
            <w:r>
              <w:rPr>
                <w:rFonts w:ascii="Arial" w:cs="Arial" w:eastAsia="Arial" w:hAnsi="Arial"/>
                <w:sz w:val="14"/>
                <w:szCs w:val="14"/>
                <w:b w:val="1"/>
                <w:bCs w:val="1"/>
                <w:color w:val="auto"/>
                <w:w w:val="85"/>
              </w:rPr>
              <w:t>Balance at</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Net Cash</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tcPr>
          <w:p>
            <w:pPr>
              <w:jc w:val="center"/>
              <w:ind w:right="146"/>
              <w:spacing w:after="0" w:line="149" w:lineRule="exact"/>
              <w:rPr>
                <w:sz w:val="20"/>
                <w:szCs w:val="20"/>
                <w:color w:val="auto"/>
              </w:rPr>
            </w:pPr>
            <w:r>
              <w:rPr>
                <w:rFonts w:ascii="Arial" w:cs="Arial" w:eastAsia="Arial" w:hAnsi="Arial"/>
                <w:sz w:val="14"/>
                <w:szCs w:val="14"/>
                <w:b w:val="1"/>
                <w:bCs w:val="1"/>
                <w:color w:val="auto"/>
                <w:w w:val="87"/>
              </w:rPr>
              <w:t>Non-Cash</w:t>
            </w: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88"/>
              </w:rPr>
              <w:t>January 31,</w:t>
            </w:r>
          </w:p>
        </w:tc>
        <w:tc>
          <w:tcPr>
            <w:tcW w:w="1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1160" w:type="dxa"/>
            <w:vAlign w:val="bottom"/>
          </w:tcPr>
          <w:p>
            <w:pPr>
              <w:spacing w:after="0"/>
              <w:rPr>
                <w:sz w:val="15"/>
                <w:szCs w:val="15"/>
                <w:color w:val="auto"/>
              </w:rPr>
            </w:pPr>
          </w:p>
        </w:tc>
        <w:tc>
          <w:tcPr>
            <w:tcW w:w="35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00" w:type="dxa"/>
            <w:vAlign w:val="bottom"/>
          </w:tcPr>
          <w:p>
            <w:pPr>
              <w:jc w:val="center"/>
              <w:ind w:right="22"/>
              <w:spacing w:after="0"/>
              <w:rPr>
                <w:sz w:val="20"/>
                <w:szCs w:val="20"/>
                <w:color w:val="auto"/>
              </w:rPr>
            </w:pPr>
            <w:r>
              <w:rPr>
                <w:rFonts w:ascii="Arial" w:cs="Arial" w:eastAsia="Arial" w:hAnsi="Arial"/>
                <w:sz w:val="14"/>
                <w:szCs w:val="14"/>
                <w:b w:val="1"/>
                <w:bCs w:val="1"/>
                <w:color w:val="auto"/>
                <w:w w:val="89"/>
              </w:rPr>
              <w:t>January 31, 2004</w:t>
            </w:r>
          </w:p>
        </w:tc>
        <w:tc>
          <w:tcPr>
            <w:tcW w:w="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20" w:type="dxa"/>
            <w:vAlign w:val="bottom"/>
            <w:gridSpan w:val="2"/>
          </w:tcPr>
          <w:p>
            <w:pPr>
              <w:ind w:left="140"/>
              <w:spacing w:after="0"/>
              <w:rPr>
                <w:sz w:val="20"/>
                <w:szCs w:val="20"/>
                <w:color w:val="auto"/>
              </w:rPr>
            </w:pPr>
            <w:r>
              <w:rPr>
                <w:rFonts w:ascii="Arial" w:cs="Arial" w:eastAsia="Arial" w:hAnsi="Arial"/>
                <w:sz w:val="14"/>
                <w:szCs w:val="14"/>
                <w:b w:val="1"/>
                <w:bCs w:val="1"/>
                <w:color w:val="auto"/>
              </w:rPr>
              <w:t>Payments</w:t>
            </w: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jc w:val="center"/>
              <w:ind w:right="126"/>
              <w:spacing w:after="0"/>
              <w:rPr>
                <w:sz w:val="20"/>
                <w:szCs w:val="20"/>
                <w:color w:val="auto"/>
              </w:rPr>
            </w:pPr>
            <w:r>
              <w:rPr>
                <w:rFonts w:ascii="Arial" w:cs="Arial" w:eastAsia="Arial" w:hAnsi="Arial"/>
                <w:sz w:val="14"/>
                <w:szCs w:val="14"/>
                <w:b w:val="1"/>
                <w:bCs w:val="1"/>
                <w:color w:val="auto"/>
                <w:w w:val="85"/>
              </w:rPr>
              <w:t>Charges</w:t>
            </w:r>
          </w:p>
        </w:tc>
        <w:tc>
          <w:tcPr>
            <w:tcW w:w="2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0" w:type="dxa"/>
            <w:vAlign w:val="bottom"/>
          </w:tcPr>
          <w:p>
            <w:pPr>
              <w:jc w:val="center"/>
              <w:ind w:right="28"/>
              <w:spacing w:after="0"/>
              <w:rPr>
                <w:sz w:val="20"/>
                <w:szCs w:val="20"/>
                <w:color w:val="auto"/>
              </w:rPr>
            </w:pPr>
            <w:r>
              <w:rPr>
                <w:rFonts w:ascii="Arial" w:cs="Arial" w:eastAsia="Arial" w:hAnsi="Arial"/>
                <w:sz w:val="14"/>
                <w:szCs w:val="14"/>
                <w:b w:val="1"/>
                <w:bCs w:val="1"/>
                <w:color w:val="auto"/>
                <w:w w:val="83"/>
              </w:rPr>
              <w:t>2005</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35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60" w:type="dxa"/>
            <w:vAlign w:val="bottom"/>
            <w:vMerge w:val="restart"/>
          </w:tcPr>
          <w:p>
            <w:pPr>
              <w:spacing w:after="0"/>
              <w:rPr>
                <w:sz w:val="9"/>
                <w:szCs w:val="9"/>
                <w:color w:val="auto"/>
              </w:rPr>
            </w:pPr>
          </w:p>
        </w:tc>
        <w:tc>
          <w:tcPr>
            <w:tcW w:w="35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w w:val="92"/>
              </w:rPr>
              <w:t>Accrued losses on abandoned leased facilities:</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3500" w:type="dxa"/>
            <w:vAlign w:val="bottom"/>
          </w:tcPr>
          <w:p>
            <w:pPr>
              <w:ind w:left="180"/>
              <w:spacing w:after="0"/>
              <w:rPr>
                <w:sz w:val="20"/>
                <w:szCs w:val="20"/>
                <w:color w:val="auto"/>
              </w:rPr>
            </w:pPr>
            <w:r>
              <w:rPr>
                <w:rFonts w:ascii="Arial" w:cs="Arial" w:eastAsia="Arial" w:hAnsi="Arial"/>
                <w:sz w:val="18"/>
                <w:szCs w:val="18"/>
                <w:color w:val="auto"/>
              </w:rPr>
              <w:t>Non-cancelable lease commitments</w:t>
            </w:r>
          </w:p>
        </w:tc>
        <w:tc>
          <w:tcPr>
            <w:tcW w:w="3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7,355</w:t>
            </w:r>
          </w:p>
        </w:tc>
        <w:tc>
          <w:tcPr>
            <w:tcW w:w="4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(2,302)</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00" w:type="dxa"/>
            <w:vAlign w:val="bottom"/>
          </w:tcPr>
          <w:p>
            <w:pPr>
              <w:ind w:left="800"/>
              <w:spacing w:after="0"/>
              <w:rPr>
                <w:sz w:val="20"/>
                <w:szCs w:val="20"/>
                <w:color w:val="auto"/>
              </w:rPr>
            </w:pPr>
            <w:r>
              <w:rPr>
                <w:rFonts w:ascii="Arial" w:cs="Arial" w:eastAsia="Arial" w:hAnsi="Arial"/>
                <w:sz w:val="18"/>
                <w:szCs w:val="18"/>
                <w:color w:val="auto"/>
                <w:w w:val="99"/>
              </w:rPr>
              <w:t>—</w:t>
            </w:r>
          </w:p>
        </w:tc>
        <w:tc>
          <w:tcPr>
            <w:tcW w:w="3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5,053</w:t>
            </w: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11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1160" w:type="dxa"/>
            <w:vAlign w:val="bottom"/>
          </w:tcPr>
          <w:p>
            <w:pPr>
              <w:spacing w:after="0"/>
              <w:rPr>
                <w:sz w:val="5"/>
                <w:szCs w:val="5"/>
                <w:color w:val="auto"/>
              </w:rPr>
            </w:pPr>
          </w:p>
        </w:tc>
        <w:tc>
          <w:tcPr>
            <w:tcW w:w="3500" w:type="dxa"/>
            <w:vAlign w:val="bottom"/>
          </w:tcPr>
          <w:p>
            <w:pPr>
              <w:spacing w:after="0"/>
              <w:rPr>
                <w:sz w:val="5"/>
                <w:szCs w:val="5"/>
                <w:color w:val="auto"/>
              </w:rPr>
            </w:pPr>
          </w:p>
        </w:tc>
        <w:tc>
          <w:tcPr>
            <w:tcW w:w="26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6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00" w:type="dxa"/>
            <w:vAlign w:val="bottom"/>
          </w:tcPr>
          <w:p>
            <w:pPr>
              <w:jc w:val="right"/>
              <w:ind w:right="242"/>
              <w:spacing w:after="0"/>
              <w:rPr>
                <w:sz w:val="20"/>
                <w:szCs w:val="20"/>
                <w:color w:val="auto"/>
              </w:rPr>
            </w:pPr>
            <w:r>
              <w:rPr>
                <w:rFonts w:ascii="Arial" w:cs="Arial" w:eastAsia="Arial" w:hAnsi="Arial"/>
                <w:sz w:val="18"/>
                <w:szCs w:val="18"/>
                <w:color w:val="auto"/>
              </w:rPr>
              <w:t>94</w:t>
            </w: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60" w:type="dxa"/>
            <w:vAlign w:val="bottom"/>
            <w:tcBorders>
              <w:bottom w:val="single" w:sz="8" w:color="808080"/>
            </w:tcBorders>
          </w:tcPr>
          <w:p>
            <w:pPr>
              <w:spacing w:after="0"/>
              <w:rPr>
                <w:sz w:val="19"/>
                <w:szCs w:val="19"/>
                <w:color w:val="auto"/>
              </w:rPr>
            </w:pPr>
          </w:p>
        </w:tc>
        <w:tc>
          <w:tcPr>
            <w:tcW w:w="35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1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06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3879215</wp:posOffset>
            </wp:positionH>
            <wp:positionV relativeFrom="paragraph">
              <wp:posOffset>-957580</wp:posOffset>
            </wp:positionV>
            <wp:extent cx="12700" cy="8890"/>
            <wp:wrapNone/>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8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3124835</wp:posOffset>
            </wp:positionH>
            <wp:positionV relativeFrom="paragraph">
              <wp:posOffset>-957580</wp:posOffset>
            </wp:positionV>
            <wp:extent cx="12700" cy="8890"/>
            <wp:wrapNone/>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5"/>
                    <pic:cNvPicPr>
                      <a:picLocks noChangeAspect="1" noChangeArrowheads="1"/>
                    </pic:cNvPicPr>
                  </pic:nvPicPr>
                  <pic:blipFill>
                    <a:blip r:embed="rId8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-957580</wp:posOffset>
            </wp:positionV>
            <wp:extent cx="12700" cy="8890"/>
            <wp:wrapNone/>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pic:cNvPicPr>
                      <a:picLocks noChangeAspect="1" noChangeArrowheads="1"/>
                    </pic:cNvPicPr>
                  </pic:nvPicPr>
                  <pic:blipFill>
                    <a:blip r:embed="rId8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4059555</wp:posOffset>
            </wp:positionH>
            <wp:positionV relativeFrom="paragraph">
              <wp:posOffset>-957580</wp:posOffset>
            </wp:positionV>
            <wp:extent cx="12700" cy="8890"/>
            <wp:wrapNone/>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8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-957580</wp:posOffset>
            </wp:positionV>
            <wp:extent cx="12700" cy="8890"/>
            <wp:wrapNone/>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pic:cNvPicPr>
                      <a:picLocks noChangeAspect="1" noChangeArrowheads="1"/>
                    </pic:cNvPicPr>
                  </pic:nvPicPr>
                  <pic:blipFill>
                    <a:blip r:embed="rId8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-957580</wp:posOffset>
            </wp:positionV>
            <wp:extent cx="12700" cy="8890"/>
            <wp:wrapNone/>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pic:cNvPicPr>
                      <a:picLocks noChangeAspect="1" noChangeArrowheads="1"/>
                    </pic:cNvPicPr>
                  </pic:nvPicPr>
                  <pic:blipFill>
                    <a:blip r:embed="rId8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6520815</wp:posOffset>
            </wp:positionH>
            <wp:positionV relativeFrom="paragraph">
              <wp:posOffset>-957580</wp:posOffset>
            </wp:positionV>
            <wp:extent cx="12700" cy="8890"/>
            <wp:wrapNone/>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
                    <pic:cNvPicPr>
                      <a:picLocks noChangeAspect="1" noChangeArrowheads="1"/>
                    </pic:cNvPicPr>
                  </pic:nvPicPr>
                  <pic:blipFill>
                    <a:blip r:embed="rId8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5954395</wp:posOffset>
            </wp:positionH>
            <wp:positionV relativeFrom="paragraph">
              <wp:posOffset>-957580</wp:posOffset>
            </wp:positionV>
            <wp:extent cx="12700" cy="8890"/>
            <wp:wrapNone/>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pic:cNvPicPr>
                      <a:picLocks noChangeAspect="1" noChangeArrowheads="1"/>
                    </pic:cNvPicPr>
                  </pic:nvPicPr>
                  <pic:blipFill>
                    <a:blip r:embed="rId8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pic:cNvPicPr>
                      <a:picLocks noChangeAspect="1" noChangeArrowheads="1"/>
                    </pic:cNvPicPr>
                  </pic:nvPicPr>
                  <pic:blipFill>
                    <a:blip r:embed="rId8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pic:cNvPicPr>
                      <a:picLocks noChangeAspect="1" noChangeArrowheads="1"/>
                    </pic:cNvPicPr>
                  </pic:nvPicPr>
                  <pic:blipFill>
                    <a:blip r:embed="rId90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95" w:name="page96"/>
    <w:bookmarkEnd w:id="95"/>
    <w:p>
      <w:pPr>
        <w:ind w:left="340"/>
        <w:spacing w:after="0"/>
        <w:rPr>
          <w:sz w:val="20"/>
          <w:szCs w:val="20"/>
          <w:color w:val="auto"/>
        </w:rPr>
      </w:pPr>
      <w:r>
        <w:rPr>
          <w:rFonts w:ascii="Arial" w:cs="Arial" w:eastAsia="Arial" w:hAnsi="Arial"/>
          <w:sz w:val="18"/>
          <w:szCs w:val="18"/>
          <w:color w:val="auto"/>
        </w:rPr>
        <w:t>A summary of the facilities consolidation charge during fiscal 2004 is as follows (in thousands):</w:t>
      </w:r>
    </w:p>
    <w:p>
      <w:pPr>
        <w:spacing w:after="0" w:line="208"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tcPr>
          <w:p>
            <w:pPr>
              <w:jc w:val="center"/>
              <w:ind w:right="28"/>
              <w:spacing w:after="0"/>
              <w:rPr>
                <w:sz w:val="20"/>
                <w:szCs w:val="20"/>
                <w:color w:val="auto"/>
              </w:rPr>
            </w:pPr>
            <w:r>
              <w:rPr>
                <w:rFonts w:ascii="Arial" w:cs="Arial" w:eastAsia="Arial" w:hAnsi="Arial"/>
                <w:sz w:val="14"/>
                <w:szCs w:val="14"/>
                <w:b w:val="1"/>
                <w:bCs w:val="1"/>
                <w:color w:val="auto"/>
                <w:w w:val="86"/>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center"/>
              <w:ind w:right="26"/>
              <w:spacing w:after="0" w:line="149" w:lineRule="exact"/>
              <w:rPr>
                <w:sz w:val="20"/>
                <w:szCs w:val="20"/>
                <w:color w:val="auto"/>
              </w:rPr>
            </w:pPr>
            <w:r>
              <w:rPr>
                <w:rFonts w:ascii="Arial" w:cs="Arial" w:eastAsia="Arial" w:hAnsi="Arial"/>
                <w:sz w:val="14"/>
                <w:szCs w:val="14"/>
                <w:b w:val="1"/>
                <w:bCs w:val="1"/>
                <w:color w:val="auto"/>
                <w:w w:val="85"/>
              </w:rPr>
              <w:t>Balance at</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Net Cash</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tcPr>
          <w:p>
            <w:pPr>
              <w:jc w:val="center"/>
              <w:ind w:right="146"/>
              <w:spacing w:after="0" w:line="149" w:lineRule="exact"/>
              <w:rPr>
                <w:sz w:val="20"/>
                <w:szCs w:val="20"/>
                <w:color w:val="auto"/>
              </w:rPr>
            </w:pPr>
            <w:r>
              <w:rPr>
                <w:rFonts w:ascii="Arial" w:cs="Arial" w:eastAsia="Arial" w:hAnsi="Arial"/>
                <w:sz w:val="14"/>
                <w:szCs w:val="14"/>
                <w:b w:val="1"/>
                <w:bCs w:val="1"/>
                <w:color w:val="auto"/>
                <w:w w:val="87"/>
              </w:rPr>
              <w:t>Non-Cash</w:t>
            </w: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00" w:type="dxa"/>
            <w:vAlign w:val="bottom"/>
          </w:tcPr>
          <w:p>
            <w:pPr>
              <w:jc w:val="center"/>
              <w:ind w:right="26"/>
              <w:spacing w:after="0"/>
              <w:rPr>
                <w:sz w:val="20"/>
                <w:szCs w:val="20"/>
                <w:color w:val="auto"/>
              </w:rPr>
            </w:pPr>
            <w:r>
              <w:rPr>
                <w:rFonts w:ascii="Arial" w:cs="Arial" w:eastAsia="Arial" w:hAnsi="Arial"/>
                <w:sz w:val="14"/>
                <w:szCs w:val="14"/>
                <w:b w:val="1"/>
                <w:bCs w:val="1"/>
                <w:color w:val="auto"/>
                <w:w w:val="89"/>
              </w:rPr>
              <w:t>January 31, 2003</w:t>
            </w:r>
          </w:p>
        </w:tc>
        <w:tc>
          <w:tcPr>
            <w:tcW w:w="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20" w:type="dxa"/>
            <w:vAlign w:val="bottom"/>
            <w:gridSpan w:val="2"/>
          </w:tcPr>
          <w:p>
            <w:pPr>
              <w:ind w:left="140"/>
              <w:spacing w:after="0"/>
              <w:rPr>
                <w:sz w:val="20"/>
                <w:szCs w:val="20"/>
                <w:color w:val="auto"/>
              </w:rPr>
            </w:pPr>
            <w:r>
              <w:rPr>
                <w:rFonts w:ascii="Arial" w:cs="Arial" w:eastAsia="Arial" w:hAnsi="Arial"/>
                <w:sz w:val="14"/>
                <w:szCs w:val="14"/>
                <w:b w:val="1"/>
                <w:bCs w:val="1"/>
                <w:color w:val="auto"/>
              </w:rPr>
              <w:t>Payments</w:t>
            </w: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jc w:val="center"/>
              <w:ind w:right="126"/>
              <w:spacing w:after="0"/>
              <w:rPr>
                <w:sz w:val="20"/>
                <w:szCs w:val="20"/>
                <w:color w:val="auto"/>
              </w:rPr>
            </w:pPr>
            <w:r>
              <w:rPr>
                <w:rFonts w:ascii="Arial" w:cs="Arial" w:eastAsia="Arial" w:hAnsi="Arial"/>
                <w:sz w:val="14"/>
                <w:szCs w:val="14"/>
                <w:b w:val="1"/>
                <w:bCs w:val="1"/>
                <w:color w:val="auto"/>
                <w:w w:val="85"/>
              </w:rPr>
              <w:t>Charges</w:t>
            </w:r>
          </w:p>
        </w:tc>
        <w:tc>
          <w:tcPr>
            <w:tcW w:w="2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0" w:type="dxa"/>
            <w:vAlign w:val="bottom"/>
          </w:tcPr>
          <w:p>
            <w:pPr>
              <w:jc w:val="center"/>
              <w:ind w:right="28"/>
              <w:spacing w:after="0"/>
              <w:rPr>
                <w:sz w:val="20"/>
                <w:szCs w:val="20"/>
                <w:color w:val="auto"/>
              </w:rPr>
            </w:pPr>
            <w:r>
              <w:rPr>
                <w:rFonts w:ascii="Arial" w:cs="Arial" w:eastAsia="Arial" w:hAnsi="Arial"/>
                <w:sz w:val="14"/>
                <w:szCs w:val="14"/>
                <w:b w:val="1"/>
                <w:bCs w:val="1"/>
                <w:color w:val="auto"/>
                <w:w w:val="83"/>
              </w:rPr>
              <w:t>2004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76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w w:val="99"/>
              </w:rPr>
              <w:t>Accrued losses on abandoned leased facilities:</w:t>
            </w:r>
          </w:p>
        </w:tc>
        <w:tc>
          <w:tcPr>
            <w:tcW w:w="1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760" w:type="dxa"/>
            <w:vAlign w:val="bottom"/>
          </w:tcPr>
          <w:p>
            <w:pPr>
              <w:ind w:left="180"/>
              <w:spacing w:after="0"/>
              <w:rPr>
                <w:sz w:val="20"/>
                <w:szCs w:val="20"/>
                <w:color w:val="auto"/>
              </w:rPr>
            </w:pPr>
            <w:r>
              <w:rPr>
                <w:rFonts w:ascii="Arial" w:cs="Arial" w:eastAsia="Arial" w:hAnsi="Arial"/>
                <w:sz w:val="18"/>
                <w:szCs w:val="18"/>
                <w:color w:val="auto"/>
              </w:rPr>
              <w:t>Non-cancelable lease commitments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10,331</w:t>
            </w:r>
          </w:p>
        </w:tc>
        <w:tc>
          <w:tcPr>
            <w:tcW w:w="4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(2,976)</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00" w:type="dxa"/>
            <w:vAlign w:val="bottom"/>
          </w:tcPr>
          <w:p>
            <w:pPr>
              <w:ind w:left="800"/>
              <w:spacing w:after="0"/>
              <w:rPr>
                <w:sz w:val="20"/>
                <w:szCs w:val="20"/>
                <w:color w:val="auto"/>
              </w:rPr>
            </w:pPr>
            <w:r>
              <w:rPr>
                <w:rFonts w:ascii="Arial" w:cs="Arial" w:eastAsia="Arial" w:hAnsi="Arial"/>
                <w:sz w:val="18"/>
                <w:szCs w:val="18"/>
                <w:color w:val="auto"/>
                <w:w w:val="99"/>
              </w:rPr>
              <w:t>—</w:t>
            </w:r>
          </w:p>
        </w:tc>
        <w:tc>
          <w:tcPr>
            <w:tcW w:w="3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7,355</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37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76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06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3879215</wp:posOffset>
            </wp:positionH>
            <wp:positionV relativeFrom="paragraph">
              <wp:posOffset>-460375</wp:posOffset>
            </wp:positionV>
            <wp:extent cx="12700" cy="8890"/>
            <wp:wrapNone/>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9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3124835</wp:posOffset>
            </wp:positionH>
            <wp:positionV relativeFrom="paragraph">
              <wp:posOffset>-460375</wp:posOffset>
            </wp:positionV>
            <wp:extent cx="12700" cy="8890"/>
            <wp:wrapNone/>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9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-460375</wp:posOffset>
            </wp:positionV>
            <wp:extent cx="12700" cy="8890"/>
            <wp:wrapNone/>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9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4059555</wp:posOffset>
            </wp:positionH>
            <wp:positionV relativeFrom="paragraph">
              <wp:posOffset>-460375</wp:posOffset>
            </wp:positionV>
            <wp:extent cx="12700" cy="8890"/>
            <wp:wrapNone/>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pic:cNvPicPr>
                      <a:picLocks noChangeAspect="1" noChangeArrowheads="1"/>
                    </pic:cNvPicPr>
                  </pic:nvPicPr>
                  <pic:blipFill>
                    <a:blip r:embed="rId9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-460375</wp:posOffset>
            </wp:positionV>
            <wp:extent cx="12700" cy="8890"/>
            <wp:wrapNone/>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pic:cNvPicPr>
                      <a:picLocks noChangeAspect="1" noChangeArrowheads="1"/>
                    </pic:cNvPicPr>
                  </pic:nvPicPr>
                  <pic:blipFill>
                    <a:blip r:embed="rId9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-460375</wp:posOffset>
            </wp:positionV>
            <wp:extent cx="12700" cy="8890"/>
            <wp:wrapNone/>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pic:cNvPicPr>
                      <a:picLocks noChangeAspect="1" noChangeArrowheads="1"/>
                    </pic:cNvPicPr>
                  </pic:nvPicPr>
                  <pic:blipFill>
                    <a:blip r:embed="rId9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6520815</wp:posOffset>
            </wp:positionH>
            <wp:positionV relativeFrom="paragraph">
              <wp:posOffset>-460375</wp:posOffset>
            </wp:positionV>
            <wp:extent cx="12700" cy="8890"/>
            <wp:wrapNone/>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pic:cNvPicPr>
                      <a:picLocks noChangeAspect="1" noChangeArrowheads="1"/>
                    </pic:cNvPicPr>
                  </pic:nvPicPr>
                  <pic:blipFill>
                    <a:blip r:embed="rId9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5954395</wp:posOffset>
            </wp:positionH>
            <wp:positionV relativeFrom="paragraph">
              <wp:posOffset>-460375</wp:posOffset>
            </wp:positionV>
            <wp:extent cx="12700" cy="8890"/>
            <wp:wrapNone/>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pic:cNvPicPr>
                      <a:picLocks noChangeAspect="1" noChangeArrowheads="1"/>
                    </pic:cNvPicPr>
                  </pic:nvPicPr>
                  <pic:blipFill>
                    <a:blip r:embed="rId90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During the third quarter of fiscal 2005, the Company recorded a facility consolidation charge of $2.4 million of costs associated with the costs of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Warrants:</w:t>
      </w:r>
    </w:p>
    <w:p>
      <w:pPr>
        <w:spacing w:after="0" w:line="231"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In June 2003, in connection with the Company's acquisition of RADLAN, the Company issued warrants to purchase 1,086,366 shares of common stock at an exercise price of $9.21 per share. The Company valued the warrants under the Black-Scholes formula at approximately $7.5 million. The warrant value was recorded as part of the RADLAN purchase accounting. As of January 31, 2005, approximately 6,082 warrants had been exercised for a net issuance of 3,436 shares of common stock. The warrants have a five-year life from the date of issuance.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Shareholders' Equity:</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225" w:lineRule="exact"/>
        <w:rPr>
          <w:sz w:val="20"/>
          <w:szCs w:val="20"/>
          <w:color w:val="auto"/>
        </w:rPr>
      </w:pPr>
    </w:p>
    <w:p>
      <w:pPr>
        <w:ind w:right="40" w:firstLine="341"/>
        <w:spacing w:after="0" w:line="256" w:lineRule="auto"/>
        <w:rPr>
          <w:sz w:val="20"/>
          <w:szCs w:val="20"/>
          <w:color w:val="auto"/>
        </w:rPr>
      </w:pPr>
      <w:r>
        <w:rPr>
          <w:rFonts w:ascii="Arial" w:cs="Arial" w:eastAsia="Arial" w:hAnsi="Arial"/>
          <w:sz w:val="18"/>
          <w:szCs w:val="18"/>
          <w:color w:val="auto"/>
        </w:rPr>
        <w:t>As of January 31, 2005, the Company is authorized to issue 492,000,000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2005 and 2004, no shares of preferred stock were outstanding.</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225" w:lineRule="exact"/>
        <w:rPr>
          <w:sz w:val="20"/>
          <w:szCs w:val="20"/>
          <w:color w:val="auto"/>
        </w:rPr>
      </w:pPr>
    </w:p>
    <w:p>
      <w:pPr>
        <w:ind w:right="40" w:firstLine="351"/>
        <w:spacing w:after="0" w:line="305"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had 133,695,380 shares of common stock reserved for issuance thereunder as of January 31, 2005. The Option Plan allows for an annual increase in shares reserved for issuance equal to the lesser of</w:t>
      </w:r>
    </w:p>
    <w:p>
      <w:pPr>
        <w:ind w:right="340" w:firstLine="8"/>
        <w:spacing w:after="0" w:line="323" w:lineRule="auto"/>
        <w:tabs>
          <w:tab w:leader="none" w:pos="210" w:val="left"/>
        </w:tabs>
        <w:numPr>
          <w:ilvl w:val="0"/>
          <w:numId w:val="31"/>
        </w:numPr>
        <w:rPr>
          <w:rFonts w:ascii="Arial" w:cs="Arial" w:eastAsia="Arial" w:hAnsi="Arial"/>
          <w:sz w:val="16"/>
          <w:szCs w:val="16"/>
          <w:color w:val="auto"/>
        </w:rPr>
      </w:pPr>
      <w:r>
        <w:rPr>
          <w:rFonts w:ascii="Arial" w:cs="Arial" w:eastAsia="Arial" w:hAnsi="Arial"/>
          <w:sz w:val="16"/>
          <w:szCs w:val="16"/>
          <w:color w:val="auto"/>
        </w:rPr>
        <w:t>20,000,000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147" w:lineRule="exact"/>
        <w:rPr>
          <w:sz w:val="20"/>
          <w:szCs w:val="20"/>
          <w:color w:val="auto"/>
        </w:rPr>
      </w:pPr>
    </w:p>
    <w:p>
      <w:pPr>
        <w:jc w:val="both"/>
        <w:ind w:right="180" w:firstLine="351"/>
        <w:spacing w:after="0" w:line="294" w:lineRule="auto"/>
        <w:rPr>
          <w:sz w:val="20"/>
          <w:szCs w:val="20"/>
          <w:color w:val="auto"/>
        </w:rPr>
      </w:pPr>
      <w:r>
        <w:rPr>
          <w:rFonts w:ascii="Arial" w:cs="Arial" w:eastAsia="Arial" w:hAnsi="Arial"/>
          <w:sz w:val="16"/>
          <w:szCs w:val="16"/>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pic:cNvPicPr>
                      <a:picLocks noChangeAspect="1" noChangeArrowheads="1"/>
                    </pic:cNvPicPr>
                  </pic:nvPicPr>
                  <pic:blipFill>
                    <a:blip r:embed="rId90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96" w:name="page97"/>
    <w:bookmarkEnd w:id="96"/>
    <w:p>
      <w:pPr>
        <w:ind w:right="200"/>
        <w:spacing w:after="0" w:line="259" w:lineRule="auto"/>
        <w:rPr>
          <w:sz w:val="20"/>
          <w:szCs w:val="20"/>
          <w:color w:val="auto"/>
        </w:rPr>
      </w:pPr>
      <w:r>
        <w:rPr>
          <w:rFonts w:ascii="Arial" w:cs="Arial" w:eastAsia="Arial" w:hAnsi="Arial"/>
          <w:sz w:val="18"/>
          <w:szCs w:val="18"/>
          <w:color w:val="auto"/>
        </w:rPr>
        <w:t>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225"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color w:val="auto"/>
        </w:rPr>
        <w:t>In August 1997, the Company adopted the 1997 Directors' Stock Option Plan (the "Directors' Plan"). The Directors' Plan has 1,800,000 shares of common stock reserved thereunder.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Combined Option Plan Activity</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summarizes the activity under the Option Plan, the Directors' Plan and other stock option arrangements: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0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tcPr>
          <w:p>
            <w:pPr>
              <w:jc w:val="center"/>
              <w:ind w:right="96"/>
              <w:spacing w:after="0"/>
              <w:rPr>
                <w:sz w:val="20"/>
                <w:szCs w:val="20"/>
                <w:color w:val="auto"/>
              </w:rPr>
            </w:pPr>
            <w:r>
              <w:rPr>
                <w:rFonts w:ascii="Arial" w:cs="Arial" w:eastAsia="Arial" w:hAnsi="Arial"/>
                <w:sz w:val="14"/>
                <w:szCs w:val="14"/>
                <w:b w:val="1"/>
                <w:bCs w:val="1"/>
                <w:color w:val="auto"/>
                <w:w w:val="88"/>
              </w:rPr>
              <w:t>Weighted</w:t>
            </w:r>
          </w:p>
        </w:tc>
        <w:tc>
          <w:tcPr>
            <w:tcW w:w="10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00" w:type="dxa"/>
            <w:vAlign w:val="bottom"/>
          </w:tcPr>
          <w:p>
            <w:pPr>
              <w:spacing w:after="0"/>
              <w:rPr>
                <w:sz w:val="12"/>
                <w:szCs w:val="12"/>
                <w:color w:val="auto"/>
              </w:rPr>
            </w:pPr>
          </w:p>
        </w:tc>
        <w:tc>
          <w:tcPr>
            <w:tcW w:w="338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86"/>
              </w:rPr>
              <w:t>Average</w:t>
            </w:r>
          </w:p>
        </w:tc>
        <w:tc>
          <w:tcPr>
            <w:tcW w:w="10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100" w:type="dxa"/>
            <w:vAlign w:val="bottom"/>
          </w:tcPr>
          <w:p>
            <w:pPr>
              <w:spacing w:after="0"/>
              <w:rPr>
                <w:sz w:val="12"/>
                <w:szCs w:val="12"/>
                <w:color w:val="auto"/>
              </w:rPr>
            </w:pPr>
          </w:p>
        </w:tc>
        <w:tc>
          <w:tcPr>
            <w:tcW w:w="338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12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rPr>
              <w:t>Shares</w:t>
            </w:r>
          </w:p>
        </w:tc>
        <w:tc>
          <w:tcPr>
            <w:tcW w:w="1340" w:type="dxa"/>
            <w:vAlign w:val="bottom"/>
            <w:gridSpan w:val="2"/>
          </w:tcPr>
          <w:p>
            <w:pPr>
              <w:jc w:val="right"/>
              <w:ind w:right="500"/>
              <w:spacing w:after="0" w:line="149" w:lineRule="exact"/>
              <w:rPr>
                <w:sz w:val="20"/>
                <w:szCs w:val="20"/>
                <w:color w:val="auto"/>
              </w:rPr>
            </w:pPr>
            <w:r>
              <w:rPr>
                <w:rFonts w:ascii="Arial" w:cs="Arial" w:eastAsia="Arial" w:hAnsi="Arial"/>
                <w:sz w:val="14"/>
                <w:szCs w:val="14"/>
                <w:b w:val="1"/>
                <w:bCs w:val="1"/>
                <w:color w:val="auto"/>
              </w:rPr>
              <w:t>Options</w:t>
            </w:r>
          </w:p>
        </w:tc>
        <w:tc>
          <w:tcPr>
            <w:tcW w:w="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83"/>
              </w:rPr>
              <w:t>Exercise</w:t>
            </w:r>
          </w:p>
        </w:tc>
        <w:tc>
          <w:tcPr>
            <w:tcW w:w="10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1100" w:type="dxa"/>
            <w:vAlign w:val="bottom"/>
          </w:tcPr>
          <w:p>
            <w:pPr>
              <w:spacing w:after="0"/>
              <w:rPr>
                <w:sz w:val="15"/>
                <w:szCs w:val="15"/>
                <w:color w:val="auto"/>
              </w:rPr>
            </w:pPr>
          </w:p>
        </w:tc>
        <w:tc>
          <w:tcPr>
            <w:tcW w:w="3380" w:type="dxa"/>
            <w:vAlign w:val="bottom"/>
          </w:tcPr>
          <w:p>
            <w:pPr>
              <w:spacing w:after="0"/>
              <w:rPr>
                <w:sz w:val="15"/>
                <w:szCs w:val="15"/>
                <w:color w:val="auto"/>
              </w:rPr>
            </w:pPr>
          </w:p>
        </w:tc>
        <w:tc>
          <w:tcPr>
            <w:tcW w:w="2260" w:type="dxa"/>
            <w:vAlign w:val="bottom"/>
          </w:tcPr>
          <w:p>
            <w:pPr>
              <w:spacing w:after="0"/>
              <w:rPr>
                <w:sz w:val="15"/>
                <w:szCs w:val="15"/>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Available</w:t>
            </w:r>
          </w:p>
        </w:tc>
        <w:tc>
          <w:tcPr>
            <w:tcW w:w="1340" w:type="dxa"/>
            <w:vAlign w:val="bottom"/>
            <w:gridSpan w:val="2"/>
          </w:tcPr>
          <w:p>
            <w:pPr>
              <w:ind w:left="240"/>
              <w:spacing w:after="0"/>
              <w:rPr>
                <w:sz w:val="20"/>
                <w:szCs w:val="20"/>
                <w:color w:val="auto"/>
              </w:rPr>
            </w:pPr>
            <w:r>
              <w:rPr>
                <w:rFonts w:ascii="Arial" w:cs="Arial" w:eastAsia="Arial" w:hAnsi="Arial"/>
                <w:sz w:val="14"/>
                <w:szCs w:val="14"/>
                <w:b w:val="1"/>
                <w:bCs w:val="1"/>
                <w:color w:val="auto"/>
              </w:rPr>
              <w:t>Outstanding</w:t>
            </w: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00" w:type="dxa"/>
            <w:vAlign w:val="bottom"/>
          </w:tcPr>
          <w:p>
            <w:pPr>
              <w:jc w:val="center"/>
              <w:ind w:right="116"/>
              <w:spacing w:after="0"/>
              <w:rPr>
                <w:sz w:val="20"/>
                <w:szCs w:val="20"/>
                <w:color w:val="auto"/>
              </w:rPr>
            </w:pPr>
            <w:r>
              <w:rPr>
                <w:rFonts w:ascii="Arial" w:cs="Arial" w:eastAsia="Arial" w:hAnsi="Arial"/>
                <w:sz w:val="14"/>
                <w:szCs w:val="14"/>
                <w:b w:val="1"/>
                <w:bCs w:val="1"/>
                <w:color w:val="auto"/>
                <w:w w:val="87"/>
              </w:rPr>
              <w:t>Price</w:t>
            </w:r>
          </w:p>
        </w:tc>
        <w:tc>
          <w:tcPr>
            <w:tcW w:w="10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00" w:type="dxa"/>
            <w:vAlign w:val="bottom"/>
          </w:tcPr>
          <w:p>
            <w:pPr>
              <w:spacing w:after="0"/>
              <w:rPr>
                <w:sz w:val="9"/>
                <w:szCs w:val="9"/>
                <w:color w:val="auto"/>
              </w:rPr>
            </w:pPr>
          </w:p>
        </w:tc>
        <w:tc>
          <w:tcPr>
            <w:tcW w:w="3380" w:type="dxa"/>
            <w:vAlign w:val="bottom"/>
          </w:tcPr>
          <w:p>
            <w:pPr>
              <w:spacing w:after="0"/>
              <w:rPr>
                <w:sz w:val="9"/>
                <w:szCs w:val="9"/>
                <w:color w:val="auto"/>
              </w:rPr>
            </w:pPr>
          </w:p>
        </w:tc>
        <w:tc>
          <w:tcPr>
            <w:tcW w:w="2260" w:type="dxa"/>
            <w:vAlign w:val="bottom"/>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100" w:type="dxa"/>
            <w:vAlign w:val="bottom"/>
          </w:tcPr>
          <w:p>
            <w:pPr>
              <w:spacing w:after="0"/>
              <w:rPr>
                <w:sz w:val="23"/>
                <w:szCs w:val="23"/>
                <w:color w:val="auto"/>
              </w:rPr>
            </w:pPr>
          </w:p>
        </w:tc>
        <w:tc>
          <w:tcPr>
            <w:tcW w:w="3380" w:type="dxa"/>
            <w:vAlign w:val="bottom"/>
          </w:tcPr>
          <w:p>
            <w:pPr>
              <w:spacing w:after="0"/>
              <w:rPr>
                <w:sz w:val="23"/>
                <w:szCs w:val="23"/>
                <w:color w:val="auto"/>
              </w:rPr>
            </w:pPr>
          </w:p>
        </w:tc>
        <w:tc>
          <w:tcPr>
            <w:tcW w:w="226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40" w:type="dxa"/>
            <w:vAlign w:val="bottom"/>
            <w:gridSpan w:val="2"/>
          </w:tcPr>
          <w:p>
            <w:pPr>
              <w:ind w:left="260"/>
              <w:spacing w:after="0"/>
              <w:rPr>
                <w:sz w:val="20"/>
                <w:szCs w:val="20"/>
                <w:color w:val="auto"/>
              </w:rPr>
            </w:pPr>
            <w:r>
              <w:rPr>
                <w:rFonts w:ascii="Arial" w:cs="Arial" w:eastAsia="Arial" w:hAnsi="Arial"/>
                <w:sz w:val="14"/>
                <w:szCs w:val="14"/>
                <w:b w:val="1"/>
                <w:bCs w:val="1"/>
                <w:color w:val="auto"/>
              </w:rPr>
              <w:t>(In thousands)</w:t>
            </w:r>
          </w:p>
        </w:tc>
        <w:tc>
          <w:tcPr>
            <w:tcW w:w="8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1100" w:type="dxa"/>
            <w:vAlign w:val="bottom"/>
            <w:vMerge w:val="restart"/>
          </w:tcPr>
          <w:p>
            <w:pPr>
              <w:spacing w:after="0"/>
              <w:rPr>
                <w:sz w:val="20"/>
                <w:szCs w:val="20"/>
                <w:color w:val="auto"/>
              </w:rPr>
            </w:pPr>
          </w:p>
        </w:tc>
        <w:tc>
          <w:tcPr>
            <w:tcW w:w="338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100" w:type="dxa"/>
            <w:vAlign w:val="bottom"/>
            <w:vMerge w:val="continue"/>
          </w:tcPr>
          <w:p>
            <w:pPr>
              <w:spacing w:after="0"/>
              <w:rPr>
                <w:sz w:val="18"/>
                <w:szCs w:val="18"/>
                <w:color w:val="auto"/>
              </w:rPr>
            </w:pPr>
          </w:p>
        </w:tc>
        <w:tc>
          <w:tcPr>
            <w:tcW w:w="33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2002</w:t>
            </w:r>
          </w:p>
        </w:tc>
        <w:tc>
          <w:tcPr>
            <w:tcW w:w="3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9,744</w:t>
            </w:r>
          </w:p>
        </w:tc>
        <w:tc>
          <w:tcPr>
            <w:tcW w:w="18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42,209</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12,288</w:t>
            </w:r>
          </w:p>
        </w:tc>
        <w:tc>
          <w:tcPr>
            <w:tcW w:w="180" w:type="dxa"/>
            <w:vAlign w:val="bottom"/>
          </w:tcPr>
          <w:p>
            <w:pPr>
              <w:spacing w:after="0"/>
              <w:rPr>
                <w:sz w:val="18"/>
                <w:szCs w:val="18"/>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granted</w:t>
            </w:r>
          </w:p>
        </w:tc>
        <w:tc>
          <w:tcPr>
            <w:tcW w:w="33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(15,230)</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15,230</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Options canceled</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2,506</w:t>
            </w:r>
          </w:p>
        </w:tc>
        <w:tc>
          <w:tcPr>
            <w:tcW w:w="180" w:type="dxa"/>
            <w:vAlign w:val="bottom"/>
          </w:tcPr>
          <w:p>
            <w:pPr>
              <w:spacing w:after="0"/>
              <w:rPr>
                <w:sz w:val="18"/>
                <w:szCs w:val="18"/>
                <w:color w:val="auto"/>
              </w:rPr>
            </w:pP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(3,402)</w:t>
            </w: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9.34</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exercised</w:t>
            </w:r>
          </w:p>
        </w:tc>
        <w:tc>
          <w:tcPr>
            <w:tcW w:w="22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(4,422)</w:t>
            </w: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4480" w:type="dxa"/>
            <w:vAlign w:val="bottom"/>
            <w:gridSpan w:val="2"/>
          </w:tcPr>
          <w:p>
            <w:pPr>
              <w:spacing w:after="0"/>
              <w:rPr>
                <w:sz w:val="10"/>
                <w:szCs w:val="10"/>
                <w:color w:val="auto"/>
              </w:rPr>
            </w:pPr>
          </w:p>
        </w:tc>
        <w:tc>
          <w:tcPr>
            <w:tcW w:w="2260" w:type="dxa"/>
            <w:vAlign w:val="bottom"/>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gridSpan w:val="2"/>
          </w:tcPr>
          <w:p>
            <w:pPr>
              <w:spacing w:after="0"/>
              <w:rPr>
                <w:sz w:val="10"/>
                <w:szCs w:val="10"/>
                <w:color w:val="auto"/>
              </w:rPr>
            </w:pPr>
          </w:p>
        </w:tc>
        <w:tc>
          <w:tcPr>
            <w:tcW w:w="9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4480" w:type="dxa"/>
            <w:vAlign w:val="bottom"/>
            <w:gridSpan w:val="2"/>
          </w:tcPr>
          <w:p>
            <w:pPr>
              <w:ind w:left="1100"/>
              <w:spacing w:after="0"/>
              <w:rPr>
                <w:sz w:val="20"/>
                <w:szCs w:val="20"/>
                <w:color w:val="auto"/>
              </w:rPr>
            </w:pPr>
            <w:r>
              <w:rPr>
                <w:rFonts w:ascii="Arial" w:cs="Arial" w:eastAsia="Arial" w:hAnsi="Arial"/>
                <w:sz w:val="18"/>
                <w:szCs w:val="18"/>
                <w:color w:val="auto"/>
              </w:rPr>
              <w:t>Balance at January 31, 2003</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9,308</w:t>
            </w:r>
          </w:p>
        </w:tc>
        <w:tc>
          <w:tcPr>
            <w:tcW w:w="180" w:type="dxa"/>
            <w:vAlign w:val="bottom"/>
          </w:tcPr>
          <w:p>
            <w:pPr>
              <w:spacing w:after="0"/>
              <w:rPr>
                <w:sz w:val="24"/>
                <w:szCs w:val="24"/>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49,615</w:t>
            </w:r>
          </w:p>
        </w:tc>
        <w:tc>
          <w:tcPr>
            <w:tcW w:w="100" w:type="dxa"/>
            <w:vAlign w:val="bottom"/>
          </w:tcPr>
          <w:p>
            <w:pPr>
              <w:spacing w:after="0"/>
              <w:rPr>
                <w:sz w:val="24"/>
                <w:szCs w:val="24"/>
                <w:color w:val="auto"/>
              </w:rPr>
            </w:pP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8.55</w:t>
            </w: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shares authorized</w:t>
            </w:r>
          </w:p>
        </w:tc>
        <w:tc>
          <w:tcPr>
            <w:tcW w:w="3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32,126</w:t>
            </w: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Options granted and assumed</w:t>
            </w:r>
          </w:p>
        </w:tc>
        <w:tc>
          <w:tcPr>
            <w:tcW w:w="3380" w:type="dxa"/>
            <w:vAlign w:val="bottom"/>
            <w:gridSpan w:val="3"/>
          </w:tcPr>
          <w:p>
            <w:pPr>
              <w:jc w:val="right"/>
              <w:ind w:right="120"/>
              <w:spacing w:after="0"/>
              <w:rPr>
                <w:sz w:val="20"/>
                <w:szCs w:val="20"/>
                <w:color w:val="auto"/>
              </w:rPr>
            </w:pPr>
            <w:r>
              <w:rPr>
                <w:rFonts w:ascii="Arial" w:cs="Arial" w:eastAsia="Arial" w:hAnsi="Arial"/>
                <w:sz w:val="18"/>
                <w:szCs w:val="18"/>
                <w:color w:val="auto"/>
              </w:rPr>
              <w:t>(27,758)</w:t>
            </w:r>
          </w:p>
        </w:tc>
        <w:tc>
          <w:tcPr>
            <w:tcW w:w="1240" w:type="dxa"/>
            <w:vAlign w:val="bottom"/>
          </w:tcPr>
          <w:p>
            <w:pPr>
              <w:jc w:val="right"/>
              <w:spacing w:after="0"/>
              <w:rPr>
                <w:sz w:val="20"/>
                <w:szCs w:val="20"/>
                <w:color w:val="auto"/>
              </w:rPr>
            </w:pPr>
            <w:r>
              <w:rPr>
                <w:rFonts w:ascii="Arial" w:cs="Arial" w:eastAsia="Arial" w:hAnsi="Arial"/>
                <w:sz w:val="18"/>
                <w:szCs w:val="18"/>
                <w:color w:val="auto"/>
              </w:rPr>
              <w:t>27,758</w:t>
            </w:r>
          </w:p>
        </w:tc>
        <w:tc>
          <w:tcPr>
            <w:tcW w:w="100" w:type="dxa"/>
            <w:vAlign w:val="bottom"/>
          </w:tcPr>
          <w:p>
            <w:pPr>
              <w:spacing w:after="0"/>
              <w:rPr>
                <w:sz w:val="18"/>
                <w:szCs w:val="18"/>
                <w:color w:val="auto"/>
              </w:rPr>
            </w:pP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15.34</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canceled</w:t>
            </w:r>
          </w:p>
        </w:tc>
        <w:tc>
          <w:tcPr>
            <w:tcW w:w="3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2,129</w:t>
            </w: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(2,752)</w:t>
            </w: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11.85</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00" w:type="dxa"/>
            <w:vAlign w:val="bottom"/>
          </w:tcPr>
          <w:p>
            <w:pPr>
              <w:spacing w:after="0"/>
              <w:rPr>
                <w:sz w:val="19"/>
                <w:szCs w:val="19"/>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2260" w:type="dxa"/>
            <w:vAlign w:val="bottom"/>
          </w:tcPr>
          <w:p>
            <w:pPr>
              <w:spacing w:after="0"/>
              <w:rPr>
                <w:sz w:val="19"/>
                <w:szCs w:val="19"/>
                <w:color w:val="auto"/>
              </w:rPr>
            </w:pPr>
          </w:p>
        </w:tc>
        <w:tc>
          <w:tcPr>
            <w:tcW w:w="11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(13,714)</w:t>
            </w: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5.52</w:t>
            </w:r>
          </w:p>
        </w:tc>
        <w:tc>
          <w:tcPr>
            <w:tcW w:w="10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100" w:type="dxa"/>
            <w:vAlign w:val="bottom"/>
          </w:tcPr>
          <w:p>
            <w:pPr>
              <w:spacing w:after="0"/>
              <w:rPr>
                <w:sz w:val="9"/>
                <w:szCs w:val="9"/>
                <w:color w:val="auto"/>
              </w:rPr>
            </w:pPr>
          </w:p>
        </w:tc>
        <w:tc>
          <w:tcPr>
            <w:tcW w:w="3380" w:type="dxa"/>
            <w:vAlign w:val="bottom"/>
          </w:tcPr>
          <w:p>
            <w:pPr>
              <w:spacing w:after="0"/>
              <w:rPr>
                <w:sz w:val="9"/>
                <w:szCs w:val="9"/>
                <w:color w:val="auto"/>
              </w:rPr>
            </w:pPr>
          </w:p>
        </w:tc>
        <w:tc>
          <w:tcPr>
            <w:tcW w:w="2260" w:type="dxa"/>
            <w:vAlign w:val="bottom"/>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00" w:type="dxa"/>
            <w:vAlign w:val="bottom"/>
            <w:vMerge w:val="restart"/>
          </w:tcPr>
          <w:p>
            <w:pPr>
              <w:spacing w:after="0"/>
              <w:rPr>
                <w:sz w:val="9"/>
                <w:szCs w:val="9"/>
                <w:color w:val="auto"/>
              </w:rPr>
            </w:pPr>
          </w:p>
        </w:tc>
        <w:tc>
          <w:tcPr>
            <w:tcW w:w="3380" w:type="dxa"/>
            <w:vAlign w:val="bottom"/>
          </w:tcPr>
          <w:p>
            <w:pPr>
              <w:spacing w:after="0"/>
              <w:rPr>
                <w:sz w:val="9"/>
                <w:szCs w:val="9"/>
                <w:color w:val="auto"/>
              </w:rPr>
            </w:pPr>
          </w:p>
        </w:tc>
        <w:tc>
          <w:tcPr>
            <w:tcW w:w="22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00" w:type="dxa"/>
            <w:vAlign w:val="bottom"/>
            <w:vMerge w:val="continue"/>
          </w:tcPr>
          <w:p>
            <w:pPr>
              <w:spacing w:after="0"/>
              <w:rPr>
                <w:sz w:val="18"/>
                <w:szCs w:val="18"/>
                <w:color w:val="auto"/>
              </w:rPr>
            </w:pPr>
          </w:p>
        </w:tc>
        <w:tc>
          <w:tcPr>
            <w:tcW w:w="33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2004</w:t>
            </w:r>
          </w:p>
        </w:tc>
        <w:tc>
          <w:tcPr>
            <w:tcW w:w="3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15,805</w:t>
            </w:r>
          </w:p>
        </w:tc>
        <w:tc>
          <w:tcPr>
            <w:tcW w:w="18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60,907</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12.17</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13,175</w:t>
            </w:r>
          </w:p>
        </w:tc>
        <w:tc>
          <w:tcPr>
            <w:tcW w:w="180" w:type="dxa"/>
            <w:vAlign w:val="bottom"/>
          </w:tcPr>
          <w:p>
            <w:pPr>
              <w:spacing w:after="0"/>
              <w:rPr>
                <w:sz w:val="18"/>
                <w:szCs w:val="18"/>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granted</w:t>
            </w:r>
          </w:p>
        </w:tc>
        <w:tc>
          <w:tcPr>
            <w:tcW w:w="33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(4,135)</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4,135</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24.25</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tcPr>
          <w:p>
            <w:pPr>
              <w:ind w:left="180"/>
              <w:spacing w:after="0"/>
              <w:rPr>
                <w:sz w:val="20"/>
                <w:szCs w:val="20"/>
                <w:color w:val="auto"/>
              </w:rPr>
            </w:pPr>
            <w:r>
              <w:rPr>
                <w:rFonts w:ascii="Arial" w:cs="Arial" w:eastAsia="Arial" w:hAnsi="Arial"/>
                <w:sz w:val="18"/>
                <w:szCs w:val="18"/>
                <w:color w:val="auto"/>
              </w:rPr>
              <w:t>Options canceled</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2,665</w:t>
            </w:r>
          </w:p>
        </w:tc>
        <w:tc>
          <w:tcPr>
            <w:tcW w:w="180" w:type="dxa"/>
            <w:vAlign w:val="bottom"/>
          </w:tcPr>
          <w:p>
            <w:pPr>
              <w:spacing w:after="0"/>
              <w:rPr>
                <w:sz w:val="18"/>
                <w:szCs w:val="18"/>
                <w:color w:val="auto"/>
              </w:rPr>
            </w:pP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(2,731)</w:t>
            </w: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14.36</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exercised</w:t>
            </w:r>
          </w:p>
        </w:tc>
        <w:tc>
          <w:tcPr>
            <w:tcW w:w="22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(12,079)</w:t>
            </w: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9.63</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4480" w:type="dxa"/>
            <w:vAlign w:val="bottom"/>
            <w:gridSpan w:val="2"/>
          </w:tcPr>
          <w:p>
            <w:pPr>
              <w:spacing w:after="0"/>
              <w:rPr>
                <w:sz w:val="10"/>
                <w:szCs w:val="10"/>
                <w:color w:val="auto"/>
              </w:rPr>
            </w:pPr>
          </w:p>
        </w:tc>
        <w:tc>
          <w:tcPr>
            <w:tcW w:w="2260" w:type="dxa"/>
            <w:vAlign w:val="bottom"/>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gridSpan w:val="2"/>
          </w:tcPr>
          <w:p>
            <w:pPr>
              <w:spacing w:after="0"/>
              <w:rPr>
                <w:sz w:val="10"/>
                <w:szCs w:val="10"/>
                <w:color w:val="auto"/>
              </w:rPr>
            </w:pPr>
          </w:p>
        </w:tc>
        <w:tc>
          <w:tcPr>
            <w:tcW w:w="9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4480" w:type="dxa"/>
            <w:vAlign w:val="bottom"/>
            <w:gridSpan w:val="2"/>
          </w:tcPr>
          <w:p>
            <w:pPr>
              <w:ind w:left="1100"/>
              <w:spacing w:after="0"/>
              <w:rPr>
                <w:sz w:val="20"/>
                <w:szCs w:val="20"/>
                <w:color w:val="auto"/>
              </w:rPr>
            </w:pPr>
            <w:r>
              <w:rPr>
                <w:rFonts w:ascii="Arial" w:cs="Arial" w:eastAsia="Arial" w:hAnsi="Arial"/>
                <w:sz w:val="18"/>
                <w:szCs w:val="18"/>
                <w:color w:val="auto"/>
              </w:rPr>
              <w:t>Balance at January 31, 2005</w:t>
            </w:r>
          </w:p>
        </w:tc>
        <w:tc>
          <w:tcPr>
            <w:tcW w:w="3200" w:type="dxa"/>
            <w:vAlign w:val="bottom"/>
            <w:gridSpan w:val="2"/>
          </w:tcPr>
          <w:p>
            <w:pPr>
              <w:jc w:val="right"/>
              <w:spacing w:after="0"/>
              <w:rPr>
                <w:sz w:val="20"/>
                <w:szCs w:val="20"/>
                <w:color w:val="auto"/>
              </w:rPr>
            </w:pPr>
            <w:r>
              <w:rPr>
                <w:rFonts w:ascii="Arial" w:cs="Arial" w:eastAsia="Arial" w:hAnsi="Arial"/>
                <w:sz w:val="18"/>
                <w:szCs w:val="18"/>
                <w:color w:val="auto"/>
              </w:rPr>
              <w:t>27,510</w:t>
            </w:r>
          </w:p>
        </w:tc>
        <w:tc>
          <w:tcPr>
            <w:tcW w:w="180" w:type="dxa"/>
            <w:vAlign w:val="bottom"/>
          </w:tcPr>
          <w:p>
            <w:pPr>
              <w:spacing w:after="0"/>
              <w:rPr>
                <w:sz w:val="24"/>
                <w:szCs w:val="24"/>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50,232</w:t>
            </w:r>
          </w:p>
        </w:tc>
        <w:tc>
          <w:tcPr>
            <w:tcW w:w="100" w:type="dxa"/>
            <w:vAlign w:val="bottom"/>
          </w:tcPr>
          <w:p>
            <w:pPr>
              <w:spacing w:after="0"/>
              <w:rPr>
                <w:sz w:val="24"/>
                <w:szCs w:val="24"/>
                <w:color w:val="auto"/>
              </w:rPr>
            </w:pP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13.66</w:t>
            </w: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100" w:type="dxa"/>
            <w:vAlign w:val="bottom"/>
          </w:tcPr>
          <w:p>
            <w:pPr>
              <w:spacing w:after="0"/>
              <w:rPr>
                <w:sz w:val="9"/>
                <w:szCs w:val="9"/>
                <w:color w:val="auto"/>
              </w:rPr>
            </w:pPr>
          </w:p>
        </w:tc>
        <w:tc>
          <w:tcPr>
            <w:tcW w:w="3380" w:type="dxa"/>
            <w:vAlign w:val="bottom"/>
          </w:tcPr>
          <w:p>
            <w:pPr>
              <w:spacing w:after="0"/>
              <w:rPr>
                <w:sz w:val="9"/>
                <w:szCs w:val="9"/>
                <w:color w:val="auto"/>
              </w:rPr>
            </w:pPr>
          </w:p>
        </w:tc>
        <w:tc>
          <w:tcPr>
            <w:tcW w:w="2260" w:type="dxa"/>
            <w:vAlign w:val="bottom"/>
            <w:vMerge w:val="restart"/>
          </w:tcPr>
          <w:p>
            <w:pPr>
              <w:jc w:val="right"/>
              <w:ind w:right="852"/>
              <w:spacing w:after="0"/>
              <w:rPr>
                <w:sz w:val="20"/>
                <w:szCs w:val="20"/>
                <w:color w:val="auto"/>
              </w:rPr>
            </w:pPr>
            <w:r>
              <w:rPr>
                <w:rFonts w:ascii="Arial" w:cs="Arial" w:eastAsia="Arial" w:hAnsi="Arial"/>
                <w:sz w:val="18"/>
                <w:szCs w:val="18"/>
                <w:color w:val="auto"/>
              </w:rPr>
              <w:t>96</w:t>
            </w: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00" w:type="dxa"/>
            <w:vAlign w:val="bottom"/>
          </w:tcPr>
          <w:p>
            <w:pPr>
              <w:spacing w:after="0"/>
              <w:rPr>
                <w:sz w:val="5"/>
                <w:szCs w:val="5"/>
                <w:color w:val="auto"/>
              </w:rPr>
            </w:pPr>
          </w:p>
        </w:tc>
        <w:tc>
          <w:tcPr>
            <w:tcW w:w="3380" w:type="dxa"/>
            <w:vAlign w:val="bottom"/>
          </w:tcPr>
          <w:p>
            <w:pPr>
              <w:spacing w:after="0"/>
              <w:rPr>
                <w:sz w:val="5"/>
                <w:szCs w:val="5"/>
                <w:color w:val="auto"/>
              </w:rPr>
            </w:pPr>
          </w:p>
        </w:tc>
        <w:tc>
          <w:tcPr>
            <w:tcW w:w="2260" w:type="dxa"/>
            <w:vAlign w:val="bottom"/>
            <w:vMerge w:val="continue"/>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2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9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9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00" w:type="dxa"/>
            <w:vAlign w:val="bottom"/>
            <w:tcBorders>
              <w:bottom w:val="single" w:sz="8" w:color="808080"/>
            </w:tcBorders>
          </w:tcPr>
          <w:p>
            <w:pPr>
              <w:spacing w:after="0"/>
              <w:rPr>
                <w:sz w:val="19"/>
                <w:szCs w:val="19"/>
                <w:color w:val="auto"/>
              </w:rPr>
            </w:pPr>
          </w:p>
        </w:tc>
        <w:tc>
          <w:tcPr>
            <w:tcW w:w="3380" w:type="dxa"/>
            <w:vAlign w:val="bottom"/>
            <w:tcBorders>
              <w:bottom w:val="single" w:sz="8" w:color="808080"/>
            </w:tcBorders>
          </w:tcPr>
          <w:p>
            <w:pPr>
              <w:spacing w:after="0"/>
              <w:rPr>
                <w:sz w:val="19"/>
                <w:szCs w:val="19"/>
                <w:color w:val="auto"/>
              </w:rPr>
            </w:pPr>
          </w:p>
        </w:tc>
        <w:tc>
          <w:tcPr>
            <w:tcW w:w="2260" w:type="dxa"/>
            <w:vAlign w:val="bottom"/>
            <w:tcBorders>
              <w:bottom w:val="single" w:sz="8" w:color="808080"/>
            </w:tcBorders>
          </w:tcPr>
          <w:p>
            <w:pPr>
              <w:spacing w:after="0"/>
              <w:rPr>
                <w:sz w:val="19"/>
                <w:szCs w:val="19"/>
                <w:color w:val="auto"/>
              </w:rPr>
            </w:pPr>
          </w:p>
        </w:tc>
        <w:tc>
          <w:tcPr>
            <w:tcW w:w="94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12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10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4865370</wp:posOffset>
            </wp:positionH>
            <wp:positionV relativeFrom="paragraph">
              <wp:posOffset>-3590290</wp:posOffset>
            </wp:positionV>
            <wp:extent cx="12700" cy="8890"/>
            <wp:wrapNone/>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9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-3590290</wp:posOffset>
            </wp:positionV>
            <wp:extent cx="12700" cy="8890"/>
            <wp:wrapNone/>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9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-3590290</wp:posOffset>
            </wp:positionV>
            <wp:extent cx="12700" cy="8890"/>
            <wp:wrapNone/>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9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-3590290</wp:posOffset>
            </wp:positionV>
            <wp:extent cx="12700" cy="8890"/>
            <wp:wrapNone/>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9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-3590290</wp:posOffset>
            </wp:positionV>
            <wp:extent cx="12700" cy="8890"/>
            <wp:wrapNone/>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9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5885815</wp:posOffset>
            </wp:positionH>
            <wp:positionV relativeFrom="paragraph">
              <wp:posOffset>-3590290</wp:posOffset>
            </wp:positionV>
            <wp:extent cx="12700" cy="8890"/>
            <wp:wrapNone/>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9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-2501265</wp:posOffset>
            </wp:positionV>
            <wp:extent cx="12700" cy="8890"/>
            <wp:wrapNone/>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9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-2501265</wp:posOffset>
            </wp:positionV>
            <wp:extent cx="12700" cy="8890"/>
            <wp:wrapNone/>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pic:cNvPicPr>
                      <a:picLocks noChangeAspect="1" noChangeArrowheads="1"/>
                    </pic:cNvPicPr>
                  </pic:nvPicPr>
                  <pic:blipFill>
                    <a:blip r:embed="rId9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-2501265</wp:posOffset>
            </wp:positionV>
            <wp:extent cx="12700" cy="8890"/>
            <wp:wrapNone/>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9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-2501265</wp:posOffset>
            </wp:positionV>
            <wp:extent cx="12700" cy="8890"/>
            <wp:wrapNone/>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2"/>
                    <pic:cNvPicPr>
                      <a:picLocks noChangeAspect="1" noChangeArrowheads="1"/>
                    </pic:cNvPicPr>
                  </pic:nvPicPr>
                  <pic:blipFill>
                    <a:blip r:embed="rId9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-1661160</wp:posOffset>
            </wp:positionV>
            <wp:extent cx="12700" cy="8890"/>
            <wp:wrapNone/>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9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-1661160</wp:posOffset>
            </wp:positionV>
            <wp:extent cx="12700" cy="8890"/>
            <wp:wrapNone/>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9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-1661160</wp:posOffset>
            </wp:positionV>
            <wp:extent cx="12700" cy="8890"/>
            <wp:wrapNone/>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pic:cNvPicPr>
                      <a:picLocks noChangeAspect="1" noChangeArrowheads="1"/>
                    </pic:cNvPicPr>
                  </pic:nvPicPr>
                  <pic:blipFill>
                    <a:blip r:embed="rId9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-1661160</wp:posOffset>
            </wp:positionV>
            <wp:extent cx="12700" cy="8890"/>
            <wp:wrapNone/>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6"/>
                    <pic:cNvPicPr>
                      <a:picLocks noChangeAspect="1" noChangeArrowheads="1"/>
                    </pic:cNvPicPr>
                  </pic:nvPicPr>
                  <pic:blipFill>
                    <a:blip r:embed="rId9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-820420</wp:posOffset>
            </wp:positionV>
            <wp:extent cx="12700" cy="8890"/>
            <wp:wrapNone/>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7"/>
                    <pic:cNvPicPr>
                      <a:picLocks noChangeAspect="1" noChangeArrowheads="1"/>
                    </pic:cNvPicPr>
                  </pic:nvPicPr>
                  <pic:blipFill>
                    <a:blip r:embed="rId9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-820420</wp:posOffset>
            </wp:positionV>
            <wp:extent cx="12700" cy="8890"/>
            <wp:wrapNone/>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8"/>
                    <pic:cNvPicPr>
                      <a:picLocks noChangeAspect="1" noChangeArrowheads="1"/>
                    </pic:cNvPicPr>
                  </pic:nvPicPr>
                  <pic:blipFill>
                    <a:blip r:embed="rId9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-820420</wp:posOffset>
            </wp:positionV>
            <wp:extent cx="12700" cy="8890"/>
            <wp:wrapNone/>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9"/>
                    <pic:cNvPicPr>
                      <a:picLocks noChangeAspect="1" noChangeArrowheads="1"/>
                    </pic:cNvPicPr>
                  </pic:nvPicPr>
                  <pic:blipFill>
                    <a:blip r:embed="rId9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-820420</wp:posOffset>
            </wp:positionV>
            <wp:extent cx="12700" cy="8890"/>
            <wp:wrapNone/>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0"/>
                    <pic:cNvPicPr>
                      <a:picLocks noChangeAspect="1" noChangeArrowheads="1"/>
                    </pic:cNvPicPr>
                  </pic:nvPicPr>
                  <pic:blipFill>
                    <a:blip r:embed="rId9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21" name="Pictur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1"/>
                    <pic:cNvPicPr>
                      <a:picLocks noChangeAspect="1" noChangeArrowheads="1"/>
                    </pic:cNvPicPr>
                  </pic:nvPicPr>
                  <pic:blipFill>
                    <a:blip r:embed="rId9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22" name="Picture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2"/>
                    <pic:cNvPicPr>
                      <a:picLocks noChangeAspect="1" noChangeArrowheads="1"/>
                    </pic:cNvPicPr>
                  </pic:nvPicPr>
                  <pic:blipFill>
                    <a:blip r:embed="rId9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97" w:name="page98"/>
    <w:bookmarkEnd w:id="97"/>
    <w:p>
      <w:pPr>
        <w:ind w:right="80" w:firstLine="348"/>
        <w:spacing w:after="0" w:line="268" w:lineRule="auto"/>
        <w:rPr>
          <w:sz w:val="20"/>
          <w:szCs w:val="20"/>
          <w:color w:val="auto"/>
        </w:rPr>
      </w:pPr>
      <w:r>
        <w:rPr>
          <w:rFonts w:ascii="Arial" w:cs="Arial" w:eastAsia="Arial" w:hAnsi="Arial"/>
          <w:sz w:val="18"/>
          <w:szCs w:val="18"/>
          <w:color w:val="auto"/>
        </w:rPr>
        <w:t>The following table summarizes information relating to stock options outstanding and exercisable under the Option Plan, the Directors' Plan and other stock option arrangements at January 31, 2005:</w:t>
      </w:r>
    </w:p>
    <w:p>
      <w:pPr>
        <w:spacing w:after="0" w:line="222" w:lineRule="exact"/>
        <w:rPr>
          <w:sz w:val="20"/>
          <w:szCs w:val="20"/>
          <w:color w:val="auto"/>
        </w:rPr>
      </w:pPr>
    </w:p>
    <w:p>
      <w:pPr>
        <w:jc w:val="center"/>
        <w:ind w:left="380"/>
        <w:spacing w:after="0"/>
        <w:rPr>
          <w:sz w:val="20"/>
          <w:szCs w:val="20"/>
          <w:color w:val="auto"/>
        </w:rPr>
      </w:pPr>
      <w:r>
        <w:rPr>
          <w:rFonts w:ascii="Arial" w:cs="Arial" w:eastAsia="Arial" w:hAnsi="Arial"/>
          <w:sz w:val="14"/>
          <w:szCs w:val="14"/>
          <w:b w:val="1"/>
          <w:bCs w:val="1"/>
          <w:color w:val="auto"/>
        </w:rPr>
        <w:t>Options Outstanding</w:t>
      </w:r>
    </w:p>
    <w:p>
      <w:pPr>
        <w:spacing w:after="0" w:line="28" w:lineRule="exact"/>
        <w:rPr>
          <w:sz w:val="20"/>
          <w:szCs w:val="20"/>
          <w:color w:val="auto"/>
        </w:rPr>
      </w:pPr>
    </w:p>
    <w:tbl>
      <w:tblPr>
        <w:tblLayout w:type="fixed"/>
        <w:tblInd w:w="920" w:type="dxa"/>
        <w:tblCellMar>
          <w:top w:w="0" w:type="dxa"/>
          <w:left w:w="0" w:type="dxa"/>
          <w:bottom w:w="0" w:type="dxa"/>
          <w:right w:w="0" w:type="dxa"/>
        </w:tblCellMar>
      </w:tblPr>
      <w:tr>
        <w:trPr>
          <w:trHeight w:val="91"/>
        </w:trPr>
        <w:tc>
          <w:tcPr>
            <w:tcW w:w="280" w:type="dxa"/>
            <w:vAlign w:val="bottom"/>
          </w:tcPr>
          <w:p>
            <w:pPr>
              <w:spacing w:after="0"/>
              <w:rPr>
                <w:sz w:val="7"/>
                <w:szCs w:val="7"/>
                <w:color w:val="auto"/>
              </w:rPr>
            </w:pPr>
          </w:p>
        </w:tc>
        <w:tc>
          <w:tcPr>
            <w:tcW w:w="4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120" w:type="dxa"/>
            <w:vAlign w:val="bottom"/>
          </w:tcPr>
          <w:p>
            <w:pPr>
              <w:spacing w:after="0"/>
              <w:rPr>
                <w:sz w:val="7"/>
                <w:szCs w:val="7"/>
                <w:color w:val="auto"/>
              </w:rPr>
            </w:pPr>
          </w:p>
        </w:tc>
        <w:tc>
          <w:tcPr>
            <w:tcW w:w="1260" w:type="dxa"/>
            <w:vAlign w:val="bottom"/>
            <w:tcBorders>
              <w:bottom w:val="single" w:sz="8" w:color="808080"/>
            </w:tcBorders>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1160" w:type="dxa"/>
            <w:vAlign w:val="bottom"/>
            <w:tcBorders>
              <w:bottom w:val="single" w:sz="8" w:color="808080"/>
            </w:tcBorders>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160" w:type="dxa"/>
            <w:vAlign w:val="bottom"/>
            <w:tcBorders>
              <w:bottom w:val="single" w:sz="8" w:color="808080"/>
            </w:tcBorders>
          </w:tcPr>
          <w:p>
            <w:pPr>
              <w:spacing w:after="0"/>
              <w:rPr>
                <w:sz w:val="7"/>
                <w:szCs w:val="7"/>
                <w:color w:val="auto"/>
              </w:rPr>
            </w:pPr>
          </w:p>
        </w:tc>
        <w:tc>
          <w:tcPr>
            <w:tcW w:w="900" w:type="dxa"/>
            <w:vAlign w:val="bottom"/>
            <w:tcBorders>
              <w:bottom w:val="single" w:sz="8" w:color="808080"/>
            </w:tcBorders>
          </w:tcPr>
          <w:p>
            <w:pPr>
              <w:spacing w:after="0"/>
              <w:rPr>
                <w:sz w:val="7"/>
                <w:szCs w:val="7"/>
                <w:color w:val="auto"/>
              </w:rPr>
            </w:pPr>
          </w:p>
        </w:tc>
        <w:tc>
          <w:tcPr>
            <w:tcW w:w="200" w:type="dxa"/>
            <w:vAlign w:val="bottom"/>
            <w:vMerge w:val="restart"/>
          </w:tcPr>
          <w:p>
            <w:pPr>
              <w:spacing w:after="0"/>
              <w:rPr>
                <w:sz w:val="7"/>
                <w:szCs w:val="7"/>
                <w:color w:val="auto"/>
              </w:rPr>
            </w:pPr>
          </w:p>
        </w:tc>
        <w:tc>
          <w:tcPr>
            <w:tcW w:w="2460" w:type="dxa"/>
            <w:vAlign w:val="bottom"/>
            <w:gridSpan w:val="4"/>
            <w:vMerge w:val="restart"/>
          </w:tcPr>
          <w:p>
            <w:pPr>
              <w:jc w:val="right"/>
              <w:ind w:right="581"/>
              <w:spacing w:after="0"/>
              <w:rPr>
                <w:sz w:val="20"/>
                <w:szCs w:val="20"/>
                <w:color w:val="auto"/>
              </w:rPr>
            </w:pPr>
            <w:r>
              <w:rPr>
                <w:rFonts w:ascii="Arial" w:cs="Arial" w:eastAsia="Arial" w:hAnsi="Arial"/>
                <w:sz w:val="14"/>
                <w:szCs w:val="14"/>
                <w:b w:val="1"/>
                <w:bCs w:val="1"/>
                <w:color w:val="auto"/>
              </w:rPr>
              <w:t>Options Exercisable</w:t>
            </w:r>
          </w:p>
        </w:tc>
        <w:tc>
          <w:tcPr>
            <w:tcW w:w="0" w:type="dxa"/>
            <w:vAlign w:val="bottom"/>
          </w:tcPr>
          <w:p>
            <w:pPr>
              <w:spacing w:after="0"/>
              <w:rPr>
                <w:sz w:val="1"/>
                <w:szCs w:val="1"/>
                <w:color w:val="auto"/>
              </w:rPr>
            </w:pPr>
          </w:p>
        </w:tc>
      </w:tr>
      <w:tr>
        <w:trPr>
          <w:trHeight w:val="64"/>
        </w:trPr>
        <w:tc>
          <w:tcPr>
            <w:tcW w:w="280" w:type="dxa"/>
            <w:vAlign w:val="bottom"/>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120" w:type="dxa"/>
            <w:vAlign w:val="bottom"/>
          </w:tcPr>
          <w:p>
            <w:pPr>
              <w:spacing w:after="0"/>
              <w:rPr>
                <w:sz w:val="5"/>
                <w:szCs w:val="5"/>
                <w:color w:val="auto"/>
              </w:rPr>
            </w:pPr>
          </w:p>
        </w:tc>
        <w:tc>
          <w:tcPr>
            <w:tcW w:w="12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8"/>
              </w:rPr>
              <w:t>Weighted</w:t>
            </w: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900" w:type="dxa"/>
            <w:vAlign w:val="bottom"/>
          </w:tcPr>
          <w:p>
            <w:pPr>
              <w:spacing w:after="0"/>
              <w:rPr>
                <w:sz w:val="5"/>
                <w:szCs w:val="5"/>
                <w:color w:val="auto"/>
              </w:rPr>
            </w:pPr>
          </w:p>
        </w:tc>
        <w:tc>
          <w:tcPr>
            <w:tcW w:w="200" w:type="dxa"/>
            <w:vAlign w:val="bottom"/>
            <w:vMerge w:val="continue"/>
          </w:tcPr>
          <w:p>
            <w:pPr>
              <w:spacing w:after="0"/>
              <w:rPr>
                <w:sz w:val="5"/>
                <w:szCs w:val="5"/>
                <w:color w:val="auto"/>
              </w:rPr>
            </w:pPr>
          </w:p>
        </w:tc>
        <w:tc>
          <w:tcPr>
            <w:tcW w:w="246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212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1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9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Average</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85"/>
              </w:rPr>
              <w:t>Weighted</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tcPr>
          <w:p>
            <w:pPr>
              <w:jc w:val="center"/>
              <w:ind w:right="101"/>
              <w:spacing w:after="0" w:line="149" w:lineRule="exact"/>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Remaining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83"/>
              </w:rPr>
              <w:t>Average</w:t>
            </w:r>
          </w:p>
        </w:tc>
        <w:tc>
          <w:tcPr>
            <w:tcW w:w="2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tcPr>
          <w:p>
            <w:pPr>
              <w:jc w:val="center"/>
              <w:ind w:right="101"/>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14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Contractual</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86"/>
              </w:rPr>
              <w:t>Exercise</w:t>
            </w:r>
          </w:p>
        </w:tc>
        <w:tc>
          <w:tcPr>
            <w:tcW w:w="20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Number</w:t>
            </w: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83"/>
              </w:rPr>
              <w:t>Exercise</w:t>
            </w:r>
          </w:p>
        </w:tc>
        <w:tc>
          <w:tcPr>
            <w:tcW w:w="0" w:type="dxa"/>
            <w:vAlign w:val="bottom"/>
          </w:tcPr>
          <w:p>
            <w:pPr>
              <w:spacing w:after="0"/>
              <w:rPr>
                <w:sz w:val="1"/>
                <w:szCs w:val="1"/>
                <w:color w:val="auto"/>
              </w:rPr>
            </w:pPr>
          </w:p>
        </w:tc>
      </w:tr>
      <w:tr>
        <w:trPr>
          <w:trHeight w:val="174"/>
        </w:trPr>
        <w:tc>
          <w:tcPr>
            <w:tcW w:w="2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120" w:type="dxa"/>
            <w:vAlign w:val="bottom"/>
          </w:tcPr>
          <w:p>
            <w:pPr>
              <w:spacing w:after="0"/>
              <w:rPr>
                <w:sz w:val="15"/>
                <w:szCs w:val="15"/>
                <w:color w:val="auto"/>
              </w:rPr>
            </w:pPr>
          </w:p>
        </w:tc>
        <w:tc>
          <w:tcPr>
            <w:tcW w:w="14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Outstanding</w:t>
            </w: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6"/>
              </w:rPr>
              <w:t>Life</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00" w:type="dxa"/>
            <w:vAlign w:val="bottom"/>
          </w:tcPr>
          <w:p>
            <w:pPr>
              <w:jc w:val="center"/>
              <w:ind w:right="81"/>
              <w:spacing w:after="0"/>
              <w:rPr>
                <w:sz w:val="20"/>
                <w:szCs w:val="20"/>
                <w:color w:val="auto"/>
              </w:rPr>
            </w:pPr>
            <w:r>
              <w:rPr>
                <w:rFonts w:ascii="Arial" w:cs="Arial" w:eastAsia="Arial" w:hAnsi="Arial"/>
                <w:sz w:val="14"/>
                <w:szCs w:val="14"/>
                <w:b w:val="1"/>
                <w:bCs w:val="1"/>
                <w:color w:val="auto"/>
                <w:w w:val="87"/>
              </w:rPr>
              <w:t>Price</w:t>
            </w:r>
          </w:p>
        </w:tc>
        <w:tc>
          <w:tcPr>
            <w:tcW w:w="20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4"/>
              </w:rPr>
              <w:t>Exercisable</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20" w:type="dxa"/>
            <w:vAlign w:val="bottom"/>
          </w:tcPr>
          <w:p>
            <w:pPr>
              <w:jc w:val="center"/>
              <w:ind w:right="101"/>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105"/>
        </w:trPr>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8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120" w:type="dxa"/>
            <w:vAlign w:val="bottom"/>
          </w:tcPr>
          <w:p>
            <w:pPr>
              <w:spacing w:after="0"/>
              <w:rPr>
                <w:sz w:val="23"/>
                <w:szCs w:val="23"/>
                <w:color w:val="auto"/>
              </w:rPr>
            </w:pPr>
          </w:p>
        </w:tc>
        <w:tc>
          <w:tcPr>
            <w:tcW w:w="14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(In thousands)</w:t>
            </w:r>
          </w:p>
        </w:tc>
        <w:tc>
          <w:tcPr>
            <w:tcW w:w="1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7"/>
              </w:rPr>
              <w:t>(In thousands)</w:t>
            </w: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3040" w:type="dxa"/>
            <w:vAlign w:val="bottom"/>
            <w:gridSpan w:val="4"/>
          </w:tcPr>
          <w:p>
            <w:pPr>
              <w:spacing w:after="0"/>
              <w:rPr>
                <w:sz w:val="20"/>
                <w:szCs w:val="20"/>
                <w:color w:val="auto"/>
              </w:rPr>
            </w:pPr>
          </w:p>
        </w:tc>
        <w:tc>
          <w:tcPr>
            <w:tcW w:w="1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040" w:type="dxa"/>
            <w:vAlign w:val="bottom"/>
            <w:tcBorders>
              <w:right w:val="single" w:sz="8" w:color="CCEEFF"/>
            </w:tcBorders>
            <w:gridSpan w:val="4"/>
            <w:shd w:val="clear" w:color="auto" w:fill="CCEEFF"/>
          </w:tcPr>
          <w:p>
            <w:pPr>
              <w:jc w:val="right"/>
              <w:ind w:right="1172"/>
              <w:spacing w:after="0"/>
              <w:rPr>
                <w:sz w:val="20"/>
                <w:szCs w:val="20"/>
                <w:color w:val="auto"/>
              </w:rPr>
            </w:pPr>
            <w:r>
              <w:rPr>
                <w:rFonts w:ascii="Arial" w:cs="Arial" w:eastAsia="Arial" w:hAnsi="Arial"/>
                <w:sz w:val="18"/>
                <w:szCs w:val="18"/>
                <w:color w:val="auto"/>
                <w:w w:val="86"/>
              </w:rPr>
              <w:t>Range of exercise prices:</w:t>
            </w:r>
          </w:p>
        </w:tc>
        <w:tc>
          <w:tcPr>
            <w:tcW w:w="1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0.00</w:t>
            </w:r>
          </w:p>
        </w:tc>
        <w:tc>
          <w:tcPr>
            <w:tcW w:w="220" w:type="dxa"/>
            <w:vAlign w:val="bottom"/>
          </w:tcPr>
          <w:p>
            <w:pPr>
              <w:jc w:val="right"/>
              <w:spacing w:after="0"/>
              <w:rPr>
                <w:sz w:val="20"/>
                <w:szCs w:val="20"/>
                <w:color w:val="auto"/>
              </w:rPr>
            </w:pPr>
            <w:r>
              <w:rPr>
                <w:rFonts w:ascii="Arial" w:cs="Arial" w:eastAsia="Arial" w:hAnsi="Arial"/>
                <w:sz w:val="18"/>
                <w:szCs w:val="18"/>
                <w:color w:val="auto"/>
                <w:w w:val="94"/>
              </w:rPr>
              <w:t>- $</w:t>
            </w:r>
          </w:p>
        </w:tc>
        <w:tc>
          <w:tcPr>
            <w:tcW w:w="2120" w:type="dxa"/>
            <w:vAlign w:val="bottom"/>
          </w:tcPr>
          <w:p>
            <w:pPr>
              <w:jc w:val="right"/>
              <w:ind w:right="1652"/>
              <w:spacing w:after="0"/>
              <w:rPr>
                <w:sz w:val="20"/>
                <w:szCs w:val="20"/>
                <w:color w:val="auto"/>
              </w:rPr>
            </w:pPr>
            <w:r>
              <w:rPr>
                <w:rFonts w:ascii="Arial" w:cs="Arial" w:eastAsia="Arial" w:hAnsi="Arial"/>
                <w:sz w:val="18"/>
                <w:szCs w:val="18"/>
                <w:color w:val="auto"/>
              </w:rPr>
              <w:t>7.50</w:t>
            </w:r>
          </w:p>
        </w:tc>
        <w:tc>
          <w:tcPr>
            <w:tcW w:w="1260" w:type="dxa"/>
            <w:vAlign w:val="bottom"/>
          </w:tcPr>
          <w:p>
            <w:pPr>
              <w:jc w:val="right"/>
              <w:spacing w:after="0"/>
              <w:rPr>
                <w:sz w:val="20"/>
                <w:szCs w:val="20"/>
                <w:color w:val="auto"/>
              </w:rPr>
            </w:pPr>
            <w:r>
              <w:rPr>
                <w:rFonts w:ascii="Arial" w:cs="Arial" w:eastAsia="Arial" w:hAnsi="Arial"/>
                <w:sz w:val="18"/>
                <w:szCs w:val="18"/>
                <w:color w:val="auto"/>
              </w:rPr>
              <w:t>10,260</w:t>
            </w: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5.83</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4.36</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5,946</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3.18</w:t>
            </w:r>
          </w:p>
        </w:tc>
        <w:tc>
          <w:tcPr>
            <w:tcW w:w="0" w:type="dxa"/>
            <w:vAlign w:val="bottom"/>
          </w:tcPr>
          <w:p>
            <w:pPr>
              <w:spacing w:after="0"/>
              <w:rPr>
                <w:sz w:val="1"/>
                <w:szCs w:val="1"/>
                <w:color w:val="auto"/>
              </w:rPr>
            </w:pPr>
          </w:p>
        </w:tc>
      </w:tr>
      <w:tr>
        <w:trPr>
          <w:trHeight w:val="216"/>
        </w:trPr>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w:t>
            </w:r>
          </w:p>
        </w:tc>
        <w:tc>
          <w:tcPr>
            <w:tcW w:w="2120" w:type="dxa"/>
            <w:vAlign w:val="bottom"/>
            <w:tcBorders>
              <w:right w:val="single" w:sz="8" w:color="CCEEFF"/>
            </w:tcBorders>
            <w:shd w:val="clear" w:color="auto" w:fill="CCEEFF"/>
          </w:tcPr>
          <w:p>
            <w:pPr>
              <w:jc w:val="right"/>
              <w:ind w:right="1652"/>
              <w:spacing w:after="0"/>
              <w:rPr>
                <w:sz w:val="20"/>
                <w:szCs w:val="20"/>
                <w:color w:val="auto"/>
              </w:rPr>
            </w:pPr>
            <w:r>
              <w:rPr>
                <w:rFonts w:ascii="Arial" w:cs="Arial" w:eastAsia="Arial" w:hAnsi="Arial"/>
                <w:sz w:val="18"/>
                <w:szCs w:val="18"/>
                <w:color w:val="auto"/>
                <w:w w:val="79"/>
              </w:rPr>
              <w:t>12.00</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11,020</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7.31</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9.69</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4,466</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10.27</w:t>
            </w:r>
          </w:p>
        </w:tc>
        <w:tc>
          <w:tcPr>
            <w:tcW w:w="0" w:type="dxa"/>
            <w:vAlign w:val="bottom"/>
          </w:tcPr>
          <w:p>
            <w:pPr>
              <w:spacing w:after="0"/>
              <w:rPr>
                <w:sz w:val="1"/>
                <w:szCs w:val="1"/>
                <w:color w:val="auto"/>
              </w:rPr>
            </w:pP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12.01</w:t>
            </w:r>
          </w:p>
        </w:tc>
        <w:tc>
          <w:tcPr>
            <w:tcW w:w="220" w:type="dxa"/>
            <w:vAlign w:val="bottom"/>
          </w:tcPr>
          <w:p>
            <w:pPr>
              <w:jc w:val="right"/>
              <w:spacing w:after="0"/>
              <w:rPr>
                <w:sz w:val="20"/>
                <w:szCs w:val="20"/>
                <w:color w:val="auto"/>
              </w:rPr>
            </w:pPr>
            <w:r>
              <w:rPr>
                <w:rFonts w:ascii="Arial" w:cs="Arial" w:eastAsia="Arial" w:hAnsi="Arial"/>
                <w:sz w:val="18"/>
                <w:szCs w:val="18"/>
                <w:color w:val="auto"/>
                <w:w w:val="94"/>
              </w:rPr>
              <w:t>- $</w:t>
            </w:r>
          </w:p>
        </w:tc>
        <w:tc>
          <w:tcPr>
            <w:tcW w:w="2120" w:type="dxa"/>
            <w:vAlign w:val="bottom"/>
          </w:tcPr>
          <w:p>
            <w:pPr>
              <w:jc w:val="right"/>
              <w:ind w:right="1652"/>
              <w:spacing w:after="0"/>
              <w:rPr>
                <w:sz w:val="20"/>
                <w:szCs w:val="20"/>
                <w:color w:val="auto"/>
              </w:rPr>
            </w:pPr>
            <w:r>
              <w:rPr>
                <w:rFonts w:ascii="Arial" w:cs="Arial" w:eastAsia="Arial" w:hAnsi="Arial"/>
                <w:sz w:val="18"/>
                <w:szCs w:val="18"/>
                <w:color w:val="auto"/>
                <w:w w:val="79"/>
              </w:rPr>
              <w:t>18.25</w:t>
            </w:r>
          </w:p>
        </w:tc>
        <w:tc>
          <w:tcPr>
            <w:tcW w:w="1260" w:type="dxa"/>
            <w:vAlign w:val="bottom"/>
          </w:tcPr>
          <w:p>
            <w:pPr>
              <w:jc w:val="right"/>
              <w:spacing w:after="0"/>
              <w:rPr>
                <w:sz w:val="20"/>
                <w:szCs w:val="20"/>
                <w:color w:val="auto"/>
              </w:rPr>
            </w:pPr>
            <w:r>
              <w:rPr>
                <w:rFonts w:ascii="Arial" w:cs="Arial" w:eastAsia="Arial" w:hAnsi="Arial"/>
                <w:sz w:val="18"/>
                <w:szCs w:val="18"/>
                <w:color w:val="auto"/>
              </w:rPr>
              <w:t>14,859</w:t>
            </w: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8.01</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16.21</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5,588</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16.08</w:t>
            </w:r>
          </w:p>
        </w:tc>
        <w:tc>
          <w:tcPr>
            <w:tcW w:w="0" w:type="dxa"/>
            <w:vAlign w:val="bottom"/>
          </w:tcPr>
          <w:p>
            <w:pPr>
              <w:spacing w:after="0"/>
              <w:rPr>
                <w:sz w:val="1"/>
                <w:szCs w:val="1"/>
                <w:color w:val="auto"/>
              </w:rPr>
            </w:pPr>
          </w:p>
        </w:tc>
      </w:tr>
      <w:tr>
        <w:trPr>
          <w:trHeight w:val="216"/>
        </w:trPr>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18.26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w:t>
            </w:r>
          </w:p>
        </w:tc>
        <w:tc>
          <w:tcPr>
            <w:tcW w:w="2120" w:type="dxa"/>
            <w:vAlign w:val="bottom"/>
            <w:tcBorders>
              <w:right w:val="single" w:sz="8" w:color="CCEEFF"/>
            </w:tcBorders>
            <w:shd w:val="clear" w:color="auto" w:fill="CCEEFF"/>
          </w:tcPr>
          <w:p>
            <w:pPr>
              <w:jc w:val="right"/>
              <w:ind w:right="1652"/>
              <w:spacing w:after="0"/>
              <w:rPr>
                <w:sz w:val="20"/>
                <w:szCs w:val="20"/>
                <w:color w:val="auto"/>
              </w:rPr>
            </w:pPr>
            <w:r>
              <w:rPr>
                <w:rFonts w:ascii="Arial" w:cs="Arial" w:eastAsia="Arial" w:hAnsi="Arial"/>
                <w:sz w:val="18"/>
                <w:szCs w:val="18"/>
                <w:color w:val="auto"/>
                <w:w w:val="79"/>
              </w:rPr>
              <w:t>20.50</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10,057</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8.66</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18.92</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1,195</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0" w:type="dxa"/>
            <w:vAlign w:val="bottom"/>
          </w:tcPr>
          <w:p>
            <w:pPr>
              <w:spacing w:after="0"/>
              <w:rPr>
                <w:sz w:val="1"/>
                <w:szCs w:val="1"/>
                <w:color w:val="auto"/>
              </w:rPr>
            </w:pPr>
          </w:p>
        </w:tc>
      </w:tr>
      <w:tr>
        <w:trPr>
          <w:trHeight w:val="222"/>
        </w:trPr>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20.51</w:t>
            </w:r>
          </w:p>
        </w:tc>
        <w:tc>
          <w:tcPr>
            <w:tcW w:w="220" w:type="dxa"/>
            <w:vAlign w:val="bottom"/>
          </w:tcPr>
          <w:p>
            <w:pPr>
              <w:jc w:val="right"/>
              <w:spacing w:after="0"/>
              <w:rPr>
                <w:sz w:val="20"/>
                <w:szCs w:val="20"/>
                <w:color w:val="auto"/>
              </w:rPr>
            </w:pPr>
            <w:r>
              <w:rPr>
                <w:rFonts w:ascii="Arial" w:cs="Arial" w:eastAsia="Arial" w:hAnsi="Arial"/>
                <w:sz w:val="18"/>
                <w:szCs w:val="18"/>
                <w:color w:val="auto"/>
                <w:w w:val="94"/>
              </w:rPr>
              <w:t>- $</w:t>
            </w:r>
          </w:p>
        </w:tc>
        <w:tc>
          <w:tcPr>
            <w:tcW w:w="2120" w:type="dxa"/>
            <w:vAlign w:val="bottom"/>
          </w:tcPr>
          <w:p>
            <w:pPr>
              <w:jc w:val="right"/>
              <w:ind w:right="1652"/>
              <w:spacing w:after="0"/>
              <w:rPr>
                <w:sz w:val="20"/>
                <w:szCs w:val="20"/>
                <w:color w:val="auto"/>
              </w:rPr>
            </w:pPr>
            <w:r>
              <w:rPr>
                <w:rFonts w:ascii="Arial" w:cs="Arial" w:eastAsia="Arial" w:hAnsi="Arial"/>
                <w:sz w:val="18"/>
                <w:szCs w:val="18"/>
                <w:color w:val="auto"/>
                <w:w w:val="79"/>
              </w:rPr>
              <w:t>46.94</w:t>
            </w:r>
          </w:p>
        </w:tc>
        <w:tc>
          <w:tcPr>
            <w:tcW w:w="1260" w:type="dxa"/>
            <w:vAlign w:val="bottom"/>
          </w:tcPr>
          <w:p>
            <w:pPr>
              <w:jc w:val="right"/>
              <w:spacing w:after="0"/>
              <w:rPr>
                <w:sz w:val="20"/>
                <w:szCs w:val="20"/>
                <w:color w:val="auto"/>
              </w:rPr>
            </w:pPr>
            <w:r>
              <w:rPr>
                <w:rFonts w:ascii="Arial" w:cs="Arial" w:eastAsia="Arial" w:hAnsi="Arial"/>
                <w:sz w:val="18"/>
                <w:szCs w:val="18"/>
                <w:color w:val="auto"/>
              </w:rPr>
              <w:t>4,036</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8.78</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25.65</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928</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25.96</w:t>
            </w:r>
          </w:p>
        </w:tc>
        <w:tc>
          <w:tcPr>
            <w:tcW w:w="0" w:type="dxa"/>
            <w:vAlign w:val="bottom"/>
          </w:tcPr>
          <w:p>
            <w:pPr>
              <w:spacing w:after="0"/>
              <w:rPr>
                <w:sz w:val="1"/>
                <w:szCs w:val="1"/>
                <w:color w:val="auto"/>
              </w:rPr>
            </w:pPr>
          </w:p>
        </w:tc>
      </w:tr>
      <w:tr>
        <w:trPr>
          <w:trHeight w:val="112"/>
        </w:trPr>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12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50,232</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18,123</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80" w:type="dxa"/>
            <w:vAlign w:val="bottom"/>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120" w:type="dxa"/>
            <w:vAlign w:val="bottom"/>
            <w:tcBorders>
              <w:right w:val="single" w:sz="8" w:color="808080"/>
            </w:tcBorders>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90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9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4968240</wp:posOffset>
            </wp:positionH>
            <wp:positionV relativeFrom="paragraph">
              <wp:posOffset>-2200910</wp:posOffset>
            </wp:positionV>
            <wp:extent cx="12700" cy="8890"/>
            <wp:wrapNone/>
            <wp:docPr id="923" name="Picture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
                    <pic:cNvPicPr>
                      <a:picLocks noChangeAspect="1" noChangeArrowheads="1"/>
                    </pic:cNvPicPr>
                  </pic:nvPicPr>
                  <pic:blipFill>
                    <a:blip r:embed="rId9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2506980</wp:posOffset>
            </wp:positionH>
            <wp:positionV relativeFrom="paragraph">
              <wp:posOffset>-2200910</wp:posOffset>
            </wp:positionV>
            <wp:extent cx="12700" cy="8890"/>
            <wp:wrapNone/>
            <wp:docPr id="924" name="Pictur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pic:cNvPicPr>
                      <a:picLocks noChangeAspect="1" noChangeArrowheads="1"/>
                    </pic:cNvPicPr>
                  </pic:nvPicPr>
                  <pic:blipFill>
                    <a:blip r:embed="rId9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-2080895</wp:posOffset>
            </wp:positionV>
            <wp:extent cx="12700" cy="8890"/>
            <wp:wrapNone/>
            <wp:docPr id="925" name="Pictur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
                    <pic:cNvPicPr>
                      <a:picLocks noChangeAspect="1" noChangeArrowheads="1"/>
                    </pic:cNvPicPr>
                  </pic:nvPicPr>
                  <pic:blipFill>
                    <a:blip r:embed="rId9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-2080895</wp:posOffset>
            </wp:positionV>
            <wp:extent cx="12700" cy="8890"/>
            <wp:wrapNone/>
            <wp:docPr id="926" name="Picture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pic:cNvPicPr>
                      <a:picLocks noChangeAspect="1" noChangeArrowheads="1"/>
                    </pic:cNvPicPr>
                  </pic:nvPicPr>
                  <pic:blipFill>
                    <a:blip r:embed="rId9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4170680</wp:posOffset>
            </wp:positionH>
            <wp:positionV relativeFrom="paragraph">
              <wp:posOffset>-1549400</wp:posOffset>
            </wp:positionV>
            <wp:extent cx="12700" cy="8890"/>
            <wp:wrapNone/>
            <wp:docPr id="927" name="Picture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9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3433445</wp:posOffset>
            </wp:positionH>
            <wp:positionV relativeFrom="paragraph">
              <wp:posOffset>-1549400</wp:posOffset>
            </wp:positionV>
            <wp:extent cx="12700" cy="8890"/>
            <wp:wrapNone/>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9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-1549400</wp:posOffset>
            </wp:positionV>
            <wp:extent cx="12700" cy="8890"/>
            <wp:wrapNone/>
            <wp:docPr id="929" name="Picture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9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2506980</wp:posOffset>
            </wp:positionH>
            <wp:positionV relativeFrom="paragraph">
              <wp:posOffset>-1549400</wp:posOffset>
            </wp:positionV>
            <wp:extent cx="12700" cy="8890"/>
            <wp:wrapNone/>
            <wp:docPr id="930" name="Picture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9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4968240</wp:posOffset>
            </wp:positionH>
            <wp:positionV relativeFrom="paragraph">
              <wp:posOffset>-1549400</wp:posOffset>
            </wp:positionV>
            <wp:extent cx="12700" cy="8890"/>
            <wp:wrapNone/>
            <wp:docPr id="931" name="Picture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1"/>
                    <pic:cNvPicPr>
                      <a:picLocks noChangeAspect="1" noChangeArrowheads="1"/>
                    </pic:cNvPicPr>
                  </pic:nvPicPr>
                  <pic:blipFill>
                    <a:blip r:embed="rId9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4299585</wp:posOffset>
            </wp:positionH>
            <wp:positionV relativeFrom="paragraph">
              <wp:posOffset>-1549400</wp:posOffset>
            </wp:positionV>
            <wp:extent cx="12700" cy="8890"/>
            <wp:wrapNone/>
            <wp:docPr id="932" name="Pictur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9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-1549400</wp:posOffset>
            </wp:positionV>
            <wp:extent cx="12700" cy="8890"/>
            <wp:wrapNone/>
            <wp:docPr id="933" name="Picture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pic:cNvPicPr>
                      <a:picLocks noChangeAspect="1" noChangeArrowheads="1"/>
                    </pic:cNvPicPr>
                  </pic:nvPicPr>
                  <pic:blipFill>
                    <a:blip r:embed="rId9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-1549400</wp:posOffset>
            </wp:positionV>
            <wp:extent cx="12700" cy="8890"/>
            <wp:wrapNone/>
            <wp:docPr id="934" name="Picture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pic:cNvPicPr>
                      <a:picLocks noChangeAspect="1" noChangeArrowheads="1"/>
                    </pic:cNvPicPr>
                  </pic:nvPicPr>
                  <pic:blipFill>
                    <a:blip r:embed="rId9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-1549400</wp:posOffset>
            </wp:positionV>
            <wp:extent cx="12700" cy="8890"/>
            <wp:wrapNone/>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pic:cNvPicPr>
                      <a:picLocks noChangeAspect="1" noChangeArrowheads="1"/>
                    </pic:cNvPicPr>
                  </pic:nvPicPr>
                  <pic:blipFill>
                    <a:blip r:embed="rId9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5971540</wp:posOffset>
            </wp:positionH>
            <wp:positionV relativeFrom="paragraph">
              <wp:posOffset>-1549400</wp:posOffset>
            </wp:positionV>
            <wp:extent cx="12700" cy="8890"/>
            <wp:wrapNone/>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6"/>
                    <pic:cNvPicPr>
                      <a:picLocks noChangeAspect="1" noChangeArrowheads="1"/>
                    </pic:cNvPicPr>
                  </pic:nvPicPr>
                  <pic:blipFill>
                    <a:blip r:embed="rId9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-323215</wp:posOffset>
            </wp:positionV>
            <wp:extent cx="12700" cy="8890"/>
            <wp:wrapNone/>
            <wp:docPr id="937" name="Picture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7"/>
                    <pic:cNvPicPr>
                      <a:picLocks noChangeAspect="1" noChangeArrowheads="1"/>
                    </pic:cNvPicPr>
                  </pic:nvPicPr>
                  <pic:blipFill>
                    <a:blip r:embed="rId9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2506980</wp:posOffset>
            </wp:positionH>
            <wp:positionV relativeFrom="paragraph">
              <wp:posOffset>-323215</wp:posOffset>
            </wp:positionV>
            <wp:extent cx="12700" cy="8890"/>
            <wp:wrapNone/>
            <wp:docPr id="938" name="Picture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8"/>
                    <pic:cNvPicPr>
                      <a:picLocks noChangeAspect="1" noChangeArrowheads="1"/>
                    </pic:cNvPicPr>
                  </pic:nvPicPr>
                  <pic:blipFill>
                    <a:blip r:embed="rId9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-323215</wp:posOffset>
            </wp:positionV>
            <wp:extent cx="12700" cy="8890"/>
            <wp:wrapNone/>
            <wp:docPr id="939" name="Pictur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pic:cNvPicPr>
                      <a:picLocks noChangeAspect="1" noChangeArrowheads="1"/>
                    </pic:cNvPicPr>
                  </pic:nvPicPr>
                  <pic:blipFill>
                    <a:blip r:embed="rId9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-323215</wp:posOffset>
            </wp:positionV>
            <wp:extent cx="12700" cy="8890"/>
            <wp:wrapNone/>
            <wp:docPr id="940" name="Picture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pic:cNvPicPr>
                      <a:picLocks noChangeAspect="1" noChangeArrowheads="1"/>
                    </pic:cNvPicPr>
                  </pic:nvPicPr>
                  <pic:blipFill>
                    <a:blip r:embed="rId9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160" w:firstLine="351"/>
        <w:spacing w:after="0" w:line="256" w:lineRule="auto"/>
        <w:rPr>
          <w:sz w:val="20"/>
          <w:szCs w:val="20"/>
          <w:color w:val="auto"/>
        </w:rPr>
      </w:pPr>
      <w:r>
        <w:rPr>
          <w:rFonts w:ascii="Arial" w:cs="Arial" w:eastAsia="Arial" w:hAnsi="Arial"/>
          <w:sz w:val="18"/>
          <w:szCs w:val="18"/>
          <w:color w:val="auto"/>
        </w:rPr>
        <w:t>In connection with the acquisition of MSIL, the Company assumed MSIL's stock option plans. Upon acquisition, a total of 13,666,064 shares of the Company's common stock were reserved for issuance under the assumed plans, and the related options are included in the preceding tables. These options will continue to be governed by the terms and conditions of the original option agreements which generally included a four-year vesting schedule and an eight to ten year option term.</w:t>
      </w:r>
    </w:p>
    <w:p>
      <w:pPr>
        <w:spacing w:after="0" w:line="197" w:lineRule="exact"/>
        <w:rPr>
          <w:sz w:val="20"/>
          <w:szCs w:val="20"/>
          <w:color w:val="auto"/>
        </w:rPr>
      </w:pPr>
    </w:p>
    <w:p>
      <w:pPr>
        <w:ind w:right="300" w:firstLine="341"/>
        <w:spacing w:after="0" w:line="306" w:lineRule="auto"/>
        <w:rPr>
          <w:sz w:val="20"/>
          <w:szCs w:val="20"/>
          <w:color w:val="auto"/>
        </w:rPr>
      </w:pPr>
      <w:r>
        <w:rPr>
          <w:rFonts w:ascii="Arial" w:cs="Arial" w:eastAsia="Arial" w:hAnsi="Arial"/>
          <w:sz w:val="16"/>
          <w:szCs w:val="16"/>
          <w:color w:val="auto"/>
        </w:rPr>
        <w:t>As a result of the Company's acquisitions of SysKonnect, RADLAN, and Asica, the Company assumed stock options previously granted by SysKonnect, RADLAN and Asica. As of January 31, 2005, a total of 489,357 shares of common stock were reserved for issuance upon exercise of outstanding options assumed from the acquisitions. The related options are included in the preceding tables. The options vest over five years and have ten year terms.</w:t>
      </w:r>
    </w:p>
    <w:p>
      <w:pPr>
        <w:spacing w:after="0" w:line="161" w:lineRule="exact"/>
        <w:rPr>
          <w:sz w:val="20"/>
          <w:szCs w:val="20"/>
          <w:color w:val="auto"/>
        </w:rPr>
      </w:pPr>
    </w:p>
    <w:p>
      <w:pPr>
        <w:ind w:right="680" w:firstLine="341"/>
        <w:spacing w:after="0" w:line="268" w:lineRule="auto"/>
        <w:rPr>
          <w:sz w:val="20"/>
          <w:szCs w:val="20"/>
          <w:color w:val="auto"/>
        </w:rPr>
      </w:pPr>
      <w:r>
        <w:rPr>
          <w:rFonts w:ascii="Arial" w:cs="Arial" w:eastAsia="Arial" w:hAnsi="Arial"/>
          <w:sz w:val="18"/>
          <w:szCs w:val="18"/>
          <w:color w:val="auto"/>
        </w:rPr>
        <w:t>At January 31, 2005, a total of 354 unvested shares remain subject to the Company's repurchase rights under the Option Plan and other stock option arrangements.</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225"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8,935,806 shares of common stock reserved for issuance thereunder as of January 31, 2005. The Purchase Plan allows for an annual increase in shares reserved for issuance equal to the lesser of (i) 4,000,000 shares or (ii) 1.5% of the outstanding shares of capital stock on such date.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2005, a total of 1,371,268 shares were issued under the Purchase Plan at a weighted-average price of $11.26 per share. During fiscal 2004, a total of 1,073,372 shares were issued under the Purchase Plan at a weighted-average price of $9.99 per share, and during fiscal 2003, a total of 911,308 shares were issued under the Purchase Plan at a weighted-average price of</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41" name="Pictur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pic:cNvPicPr>
                      <a:picLocks noChangeAspect="1" noChangeArrowheads="1"/>
                    </pic:cNvPicPr>
                  </pic:nvPicPr>
                  <pic:blipFill>
                    <a:blip r:embed="rId9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98" w:name="page99"/>
    <w:bookmarkEnd w:id="98"/>
    <w:p>
      <w:pPr>
        <w:spacing w:after="0"/>
        <w:rPr>
          <w:sz w:val="20"/>
          <w:szCs w:val="20"/>
          <w:color w:val="auto"/>
        </w:rPr>
      </w:pPr>
      <w:r>
        <w:rPr>
          <w:rFonts w:ascii="Arial" w:cs="Arial" w:eastAsia="Arial" w:hAnsi="Arial"/>
          <w:sz w:val="18"/>
          <w:szCs w:val="18"/>
          <w:color w:val="auto"/>
        </w:rPr>
        <w:t>$9.14 per share. At January 31, 2005, 4,566,382 shares were available for future issuance under the Purchase Plan.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Benefit Plans:</w:t>
      </w:r>
    </w:p>
    <w:p>
      <w:pPr>
        <w:spacing w:after="0" w:line="231" w:lineRule="exact"/>
        <w:rPr>
          <w:sz w:val="20"/>
          <w:szCs w:val="20"/>
          <w:color w:val="auto"/>
        </w:rPr>
      </w:pPr>
    </w:p>
    <w:p>
      <w:pPr>
        <w:ind w:right="20" w:firstLine="348"/>
        <w:spacing w:after="0" w:line="289"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During fiscal 2005, the Company made $0.4 million of matching contributions to employees. As of January 31, 2005, the 401(k) plan offers a variety of 17 investment alternatives, representing different asset classes. Employees may not invest in the Company's common stock through the 401(k) plan.</w:t>
      </w:r>
    </w:p>
    <w:p>
      <w:pPr>
        <w:spacing w:after="0" w:line="172" w:lineRule="exact"/>
        <w:rPr>
          <w:sz w:val="20"/>
          <w:szCs w:val="20"/>
          <w:color w:val="auto"/>
        </w:rPr>
      </w:pPr>
    </w:p>
    <w:p>
      <w:pPr>
        <w:ind w:right="220" w:firstLine="351"/>
        <w:spacing w:after="0" w:line="291" w:lineRule="auto"/>
        <w:rPr>
          <w:sz w:val="20"/>
          <w:szCs w:val="20"/>
          <w:color w:val="auto"/>
        </w:rPr>
      </w:pPr>
      <w:r>
        <w:rPr>
          <w:rFonts w:ascii="Arial" w:cs="Arial" w:eastAsia="Arial" w:hAnsi="Arial"/>
          <w:sz w:val="16"/>
          <w:szCs w:val="16"/>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the years ended January 31, 2005, 2004 and 2003 were $3.0 million, $2.1 million and $1.2 million, respectively. The severance pay detail is as follows (in thousands):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16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2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180" w:type="dxa"/>
            <w:vAlign w:val="bottom"/>
            <w:gridSpan w:val="5"/>
          </w:tcPr>
          <w:p>
            <w:pPr>
              <w:ind w:left="640"/>
              <w:spacing w:after="0"/>
              <w:rPr>
                <w:sz w:val="20"/>
                <w:szCs w:val="20"/>
                <w:color w:val="auto"/>
              </w:rPr>
            </w:pPr>
            <w:r>
              <w:rPr>
                <w:rFonts w:ascii="Arial" w:cs="Arial" w:eastAsia="Arial" w:hAnsi="Arial"/>
                <w:sz w:val="14"/>
                <w:szCs w:val="14"/>
                <w:b w:val="1"/>
                <w:bCs w:val="1"/>
                <w:color w:val="auto"/>
                <w:w w:val="91"/>
              </w:rPr>
              <w:t>Years Ended January 31,</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160" w:type="dxa"/>
            <w:vAlign w:val="bottom"/>
          </w:tcPr>
          <w:p>
            <w:pPr>
              <w:spacing w:after="0"/>
              <w:rPr>
                <w:sz w:val="23"/>
                <w:szCs w:val="23"/>
                <w:color w:val="auto"/>
              </w:rPr>
            </w:pPr>
          </w:p>
        </w:tc>
        <w:tc>
          <w:tcPr>
            <w:tcW w:w="3820" w:type="dxa"/>
            <w:vAlign w:val="bottom"/>
          </w:tcPr>
          <w:p>
            <w:pPr>
              <w:spacing w:after="0"/>
              <w:rPr>
                <w:sz w:val="23"/>
                <w:szCs w:val="23"/>
                <w:color w:val="auto"/>
              </w:rPr>
            </w:pPr>
          </w:p>
        </w:tc>
        <w:tc>
          <w:tcPr>
            <w:tcW w:w="210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40" w:type="dxa"/>
            <w:vAlign w:val="bottom"/>
          </w:tcPr>
          <w:p>
            <w:pPr>
              <w:jc w:val="right"/>
              <w:ind w:right="320"/>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00" w:type="dxa"/>
            <w:vAlign w:val="bottom"/>
          </w:tcPr>
          <w:p>
            <w:pPr>
              <w:jc w:val="right"/>
              <w:ind w:right="237"/>
              <w:spacing w:after="0"/>
              <w:rPr>
                <w:sz w:val="20"/>
                <w:szCs w:val="20"/>
                <w:color w:val="auto"/>
              </w:rPr>
            </w:pPr>
            <w:r>
              <w:rPr>
                <w:rFonts w:ascii="Arial" w:cs="Arial" w:eastAsia="Arial" w:hAnsi="Arial"/>
                <w:sz w:val="14"/>
                <w:szCs w:val="14"/>
                <w:b w:val="1"/>
                <w:bCs w:val="1"/>
                <w:color w:val="auto"/>
              </w:rPr>
              <w:t>2004</w:t>
            </w:r>
          </w:p>
        </w:tc>
        <w:tc>
          <w:tcPr>
            <w:tcW w:w="1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540" w:type="dxa"/>
            <w:vAlign w:val="bottom"/>
          </w:tcPr>
          <w:p>
            <w:pPr>
              <w:jc w:val="right"/>
              <w:ind w:right="117"/>
              <w:spacing w:after="0"/>
              <w:rPr>
                <w:sz w:val="20"/>
                <w:szCs w:val="20"/>
                <w:color w:val="auto"/>
              </w:rPr>
            </w:pPr>
            <w:r>
              <w:rPr>
                <w:rFonts w:ascii="Arial" w:cs="Arial" w:eastAsia="Arial" w:hAnsi="Arial"/>
                <w:sz w:val="14"/>
                <w:szCs w:val="14"/>
                <w:b w:val="1"/>
                <w:bCs w:val="1"/>
                <w:color w:val="auto"/>
              </w:rPr>
              <w:t>2003</w:t>
            </w: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60" w:type="dxa"/>
            <w:vAlign w:val="bottom"/>
            <w:vMerge w:val="restart"/>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2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11,196</w:t>
            </w:r>
          </w:p>
        </w:tc>
        <w:tc>
          <w:tcPr>
            <w:tcW w:w="4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9,189</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5,063</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60" w:type="dxa"/>
            <w:vAlign w:val="bottom"/>
          </w:tcPr>
          <w:p>
            <w:pPr>
              <w:spacing w:after="0"/>
              <w:rPr>
                <w:sz w:val="19"/>
                <w:szCs w:val="19"/>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Less amount funded</w:t>
            </w:r>
          </w:p>
        </w:tc>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8,480</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6,896</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3,782</w:t>
            </w: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160" w:type="dxa"/>
            <w:vAlign w:val="bottom"/>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60" w:type="dxa"/>
            <w:vAlign w:val="bottom"/>
            <w:vMerge w:val="restart"/>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Unfunded portion, net accrued severance pay</w:t>
            </w:r>
          </w:p>
        </w:tc>
        <w:tc>
          <w:tcPr>
            <w:tcW w:w="2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2,716</w:t>
            </w:r>
          </w:p>
        </w:tc>
        <w:tc>
          <w:tcPr>
            <w:tcW w:w="4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2,293</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1,281</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160" w:type="dxa"/>
            <w:vAlign w:val="bottom"/>
          </w:tcPr>
          <w:p>
            <w:pPr>
              <w:spacing w:after="0"/>
              <w:rPr>
                <w:sz w:val="9"/>
                <w:szCs w:val="9"/>
                <w:color w:val="auto"/>
              </w:rPr>
            </w:pPr>
          </w:p>
        </w:tc>
        <w:tc>
          <w:tcPr>
            <w:tcW w:w="3820" w:type="dxa"/>
            <w:vAlign w:val="bottom"/>
          </w:tcPr>
          <w:p>
            <w:pPr>
              <w:spacing w:after="0"/>
              <w:rPr>
                <w:sz w:val="9"/>
                <w:szCs w:val="9"/>
                <w:color w:val="auto"/>
              </w:rPr>
            </w:pPr>
          </w:p>
        </w:tc>
        <w:tc>
          <w:tcPr>
            <w:tcW w:w="2100" w:type="dxa"/>
            <w:vAlign w:val="bottom"/>
            <w:vMerge w:val="restart"/>
          </w:tcPr>
          <w:p>
            <w:pPr>
              <w:jc w:val="right"/>
              <w:ind w:right="1192"/>
              <w:spacing w:after="0"/>
              <w:rPr>
                <w:sz w:val="20"/>
                <w:szCs w:val="20"/>
                <w:color w:val="auto"/>
              </w:rPr>
            </w:pPr>
            <w:r>
              <w:rPr>
                <w:rFonts w:ascii="Arial" w:cs="Arial" w:eastAsia="Arial" w:hAnsi="Arial"/>
                <w:sz w:val="18"/>
                <w:szCs w:val="18"/>
                <w:color w:val="auto"/>
              </w:rPr>
              <w:t>98</w:t>
            </w: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60" w:type="dxa"/>
            <w:vAlign w:val="bottom"/>
          </w:tcPr>
          <w:p>
            <w:pPr>
              <w:spacing w:after="0"/>
              <w:rPr>
                <w:sz w:val="5"/>
                <w:szCs w:val="5"/>
                <w:color w:val="auto"/>
              </w:rPr>
            </w:pPr>
          </w:p>
        </w:tc>
        <w:tc>
          <w:tcPr>
            <w:tcW w:w="3820" w:type="dxa"/>
            <w:vAlign w:val="bottom"/>
          </w:tcPr>
          <w:p>
            <w:pPr>
              <w:spacing w:after="0"/>
              <w:rPr>
                <w:sz w:val="5"/>
                <w:szCs w:val="5"/>
                <w:color w:val="auto"/>
              </w:rPr>
            </w:pPr>
          </w:p>
        </w:tc>
        <w:tc>
          <w:tcPr>
            <w:tcW w:w="2100" w:type="dxa"/>
            <w:vAlign w:val="bottom"/>
            <w:vMerge w:val="continue"/>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4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540" w:type="dxa"/>
            <w:vAlign w:val="bottom"/>
            <w:shd w:val="clear" w:color="auto" w:fill="808080"/>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60" w:type="dxa"/>
            <w:vAlign w:val="bottom"/>
          </w:tcPr>
          <w:p>
            <w:pPr>
              <w:spacing w:after="0"/>
              <w:rPr>
                <w:sz w:val="24"/>
                <w:szCs w:val="24"/>
                <w:color w:val="auto"/>
              </w:rPr>
            </w:pPr>
          </w:p>
        </w:tc>
        <w:tc>
          <w:tcPr>
            <w:tcW w:w="3820" w:type="dxa"/>
            <w:vAlign w:val="bottom"/>
          </w:tcPr>
          <w:p>
            <w:pPr>
              <w:spacing w:after="0"/>
              <w:rPr>
                <w:sz w:val="24"/>
                <w:szCs w:val="24"/>
                <w:color w:val="auto"/>
              </w:rPr>
            </w:pPr>
          </w:p>
        </w:tc>
        <w:tc>
          <w:tcPr>
            <w:tcW w:w="210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60" w:type="dxa"/>
            <w:vAlign w:val="bottom"/>
            <w:tcBorders>
              <w:bottom w:val="single" w:sz="8" w:color="808080"/>
            </w:tcBorders>
          </w:tcPr>
          <w:p>
            <w:pPr>
              <w:spacing w:after="0"/>
              <w:rPr>
                <w:sz w:val="19"/>
                <w:szCs w:val="19"/>
                <w:color w:val="auto"/>
              </w:rPr>
            </w:pPr>
          </w:p>
        </w:tc>
        <w:tc>
          <w:tcPr>
            <w:tcW w:w="3820" w:type="dxa"/>
            <w:vAlign w:val="bottom"/>
            <w:tcBorders>
              <w:bottom w:val="single" w:sz="8" w:color="808080"/>
            </w:tcBorders>
          </w:tcPr>
          <w:p>
            <w:pPr>
              <w:spacing w:after="0"/>
              <w:rPr>
                <w:sz w:val="19"/>
                <w:szCs w:val="19"/>
                <w:color w:val="auto"/>
              </w:rPr>
            </w:pPr>
          </w:p>
        </w:tc>
        <w:tc>
          <w:tcPr>
            <w:tcW w:w="21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84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70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54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6520815</wp:posOffset>
            </wp:positionH>
            <wp:positionV relativeFrom="paragraph">
              <wp:posOffset>-1497965</wp:posOffset>
            </wp:positionV>
            <wp:extent cx="12700" cy="8890"/>
            <wp:wrapNone/>
            <wp:docPr id="942" name="Picture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pic:cNvPicPr>
                      <a:picLocks noChangeAspect="1" noChangeArrowheads="1"/>
                    </pic:cNvPicPr>
                  </pic:nvPicPr>
                  <pic:blipFill>
                    <a:blip r:embed="rId9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-1497965</wp:posOffset>
            </wp:positionV>
            <wp:extent cx="12700" cy="8890"/>
            <wp:wrapNone/>
            <wp:docPr id="943" name="Picture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pic:cNvPicPr>
                      <a:picLocks noChangeAspect="1" noChangeArrowheads="1"/>
                    </pic:cNvPicPr>
                  </pic:nvPicPr>
                  <pic:blipFill>
                    <a:blip r:embed="rId9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-1249045</wp:posOffset>
            </wp:positionV>
            <wp:extent cx="12700" cy="8890"/>
            <wp:wrapNone/>
            <wp:docPr id="944" name="Picture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pic:cNvPicPr>
                      <a:picLocks noChangeAspect="1" noChangeArrowheads="1"/>
                    </pic:cNvPicPr>
                  </pic:nvPicPr>
                  <pic:blipFill>
                    <a:blip r:embed="rId9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-1249045</wp:posOffset>
            </wp:positionV>
            <wp:extent cx="12700" cy="8890"/>
            <wp:wrapNone/>
            <wp:docPr id="945" name="Picture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pic:cNvPicPr>
                      <a:picLocks noChangeAspect="1" noChangeArrowheads="1"/>
                    </pic:cNvPicPr>
                  </pic:nvPicPr>
                  <pic:blipFill>
                    <a:blip r:embed="rId9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5920105</wp:posOffset>
            </wp:positionH>
            <wp:positionV relativeFrom="paragraph">
              <wp:posOffset>-1249045</wp:posOffset>
            </wp:positionV>
            <wp:extent cx="12700" cy="8890"/>
            <wp:wrapNone/>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9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-1249045</wp:posOffset>
            </wp:positionV>
            <wp:extent cx="12700" cy="8890"/>
            <wp:wrapNone/>
            <wp:docPr id="947" name="Picture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9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6520815</wp:posOffset>
            </wp:positionH>
            <wp:positionV relativeFrom="paragraph">
              <wp:posOffset>-1249045</wp:posOffset>
            </wp:positionV>
            <wp:extent cx="12700" cy="8890"/>
            <wp:wrapNone/>
            <wp:docPr id="948" name="Picture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9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6100445</wp:posOffset>
            </wp:positionH>
            <wp:positionV relativeFrom="paragraph">
              <wp:posOffset>-1249045</wp:posOffset>
            </wp:positionV>
            <wp:extent cx="12700" cy="8890"/>
            <wp:wrapNone/>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pic:cNvPicPr>
                      <a:picLocks noChangeAspect="1" noChangeArrowheads="1"/>
                    </pic:cNvPicPr>
                  </pic:nvPicPr>
                  <pic:blipFill>
                    <a:blip r:embed="rId9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-820420</wp:posOffset>
            </wp:positionV>
            <wp:extent cx="12700" cy="8890"/>
            <wp:wrapNone/>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pic:cNvPicPr>
                      <a:picLocks noChangeAspect="1" noChangeArrowheads="1"/>
                    </pic:cNvPicPr>
                  </pic:nvPicPr>
                  <pic:blipFill>
                    <a:blip r:embed="rId9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-820420</wp:posOffset>
            </wp:positionV>
            <wp:extent cx="12700" cy="8890"/>
            <wp:wrapNone/>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9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5920105</wp:posOffset>
            </wp:positionH>
            <wp:positionV relativeFrom="paragraph">
              <wp:posOffset>-820420</wp:posOffset>
            </wp:positionV>
            <wp:extent cx="12700" cy="8890"/>
            <wp:wrapNone/>
            <wp:docPr id="952" name="Picture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9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-820420</wp:posOffset>
            </wp:positionV>
            <wp:extent cx="12700" cy="8890"/>
            <wp:wrapNone/>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9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6520815</wp:posOffset>
            </wp:positionH>
            <wp:positionV relativeFrom="paragraph">
              <wp:posOffset>-820420</wp:posOffset>
            </wp:positionV>
            <wp:extent cx="12700" cy="8890"/>
            <wp:wrapNone/>
            <wp:docPr id="954" name="Picture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9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6100445</wp:posOffset>
            </wp:positionH>
            <wp:positionV relativeFrom="paragraph">
              <wp:posOffset>-820420</wp:posOffset>
            </wp:positionV>
            <wp:extent cx="12700" cy="8890"/>
            <wp:wrapNone/>
            <wp:docPr id="955" name="Picture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9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56" name="Picture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9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57" name="Picture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96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99" w:name="page100"/>
    <w:bookmarkEnd w:id="99"/>
    <w:p>
      <w:pPr>
        <w:spacing w:after="0"/>
        <w:rPr>
          <w:sz w:val="20"/>
          <w:szCs w:val="20"/>
          <w:color w:val="auto"/>
        </w:rPr>
      </w:pPr>
      <w:r>
        <w:rPr>
          <w:rFonts w:ascii="Arial" w:cs="Arial" w:eastAsia="Arial" w:hAnsi="Arial"/>
          <w:sz w:val="18"/>
          <w:szCs w:val="18"/>
          <w:b w:val="1"/>
          <w:bCs w:val="1"/>
          <w:color w:val="auto"/>
        </w:rPr>
        <w:t>Note 10 — Income Taxes: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040" w:type="dxa"/>
            <w:vAlign w:val="bottom"/>
          </w:tcPr>
          <w:p>
            <w:pPr>
              <w:spacing w:after="0"/>
              <w:rPr>
                <w:sz w:val="15"/>
                <w:szCs w:val="15"/>
                <w:color w:val="auto"/>
              </w:rPr>
            </w:pPr>
          </w:p>
        </w:tc>
        <w:tc>
          <w:tcPr>
            <w:tcW w:w="44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720" w:type="dxa"/>
            <w:vAlign w:val="bottom"/>
            <w:gridSpan w:val="10"/>
          </w:tcPr>
          <w:p>
            <w:pPr>
              <w:jc w:val="right"/>
              <w:ind w:right="200"/>
              <w:spacing w:after="0"/>
              <w:rPr>
                <w:sz w:val="20"/>
                <w:szCs w:val="20"/>
                <w:color w:val="auto"/>
              </w:rPr>
            </w:pPr>
            <w:r>
              <w:rPr>
                <w:rFonts w:ascii="Arial" w:cs="Arial" w:eastAsia="Arial" w:hAnsi="Arial"/>
                <w:sz w:val="14"/>
                <w:szCs w:val="14"/>
                <w:b w:val="1"/>
                <w:bCs w:val="1"/>
                <w:color w:val="auto"/>
                <w:w w:val="90"/>
              </w:rPr>
              <w:t>Years Ended January 31,</w:t>
            </w:r>
          </w:p>
        </w:tc>
        <w:tc>
          <w:tcPr>
            <w:tcW w:w="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040" w:type="dxa"/>
            <w:vAlign w:val="bottom"/>
          </w:tcPr>
          <w:p>
            <w:pPr>
              <w:spacing w:after="0"/>
              <w:rPr>
                <w:sz w:val="23"/>
                <w:szCs w:val="23"/>
                <w:color w:val="auto"/>
              </w:rPr>
            </w:pPr>
          </w:p>
        </w:tc>
        <w:tc>
          <w:tcPr>
            <w:tcW w:w="44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760" w:type="dxa"/>
            <w:vAlign w:val="bottom"/>
          </w:tcPr>
          <w:p>
            <w:pPr>
              <w:jc w:val="right"/>
              <w:ind w:right="194"/>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00" w:type="dxa"/>
            <w:vAlign w:val="bottom"/>
          </w:tcPr>
          <w:p>
            <w:pPr>
              <w:jc w:val="right"/>
              <w:ind w:right="254"/>
              <w:spacing w:after="0"/>
              <w:rPr>
                <w:sz w:val="20"/>
                <w:szCs w:val="20"/>
                <w:color w:val="auto"/>
              </w:rPr>
            </w:pPr>
            <w:r>
              <w:rPr>
                <w:rFonts w:ascii="Arial" w:cs="Arial" w:eastAsia="Arial" w:hAnsi="Arial"/>
                <w:sz w:val="14"/>
                <w:szCs w:val="14"/>
                <w:b w:val="1"/>
                <w:bCs w:val="1"/>
                <w:color w:val="auto"/>
              </w:rPr>
              <w:t>2004</w:t>
            </w:r>
          </w:p>
        </w:tc>
        <w:tc>
          <w:tcPr>
            <w:tcW w:w="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20" w:type="dxa"/>
            <w:vAlign w:val="bottom"/>
          </w:tcPr>
          <w:p>
            <w:pPr>
              <w:jc w:val="right"/>
              <w:ind w:right="314"/>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Current income tax expense:</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Federal</w:t>
            </w:r>
          </w:p>
        </w:tc>
        <w:tc>
          <w:tcPr>
            <w:tcW w:w="144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4,295</w:t>
            </w:r>
          </w:p>
        </w:tc>
        <w:tc>
          <w:tcPr>
            <w:tcW w:w="60" w:type="dxa"/>
            <w:vAlign w:val="bottom"/>
          </w:tcPr>
          <w:p>
            <w:pPr>
              <w:spacing w:after="0"/>
              <w:rPr>
                <w:sz w:val="18"/>
                <w:szCs w:val="18"/>
                <w:color w:val="auto"/>
              </w:rPr>
            </w:pPr>
          </w:p>
        </w:tc>
        <w:tc>
          <w:tcPr>
            <w:tcW w:w="300" w:type="dxa"/>
            <w:vAlign w:val="bottom"/>
            <w:gridSpan w:val="3"/>
          </w:tcPr>
          <w:p>
            <w:pPr>
              <w:jc w:val="right"/>
              <w:ind w:right="1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5,074</w:t>
            </w:r>
          </w:p>
        </w:tc>
        <w:tc>
          <w:tcPr>
            <w:tcW w:w="80" w:type="dxa"/>
            <w:vAlign w:val="bottom"/>
          </w:tcPr>
          <w:p>
            <w:pPr>
              <w:spacing w:after="0"/>
              <w:rPr>
                <w:sz w:val="18"/>
                <w:szCs w:val="18"/>
                <w:color w:val="auto"/>
              </w:rPr>
            </w:pPr>
          </w:p>
        </w:tc>
        <w:tc>
          <w:tcPr>
            <w:tcW w:w="3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1,606</w:t>
            </w: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State</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w:t>
            </w: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tcPr>
          <w:p>
            <w:pPr>
              <w:spacing w:after="0"/>
              <w:rPr>
                <w:sz w:val="19"/>
                <w:szCs w:val="19"/>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Foreign</w:t>
            </w:r>
          </w:p>
        </w:tc>
        <w:tc>
          <w:tcPr>
            <w:tcW w:w="1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27,963</w:t>
            </w: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13,939</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10,648</w:t>
            </w:r>
          </w:p>
        </w:tc>
        <w:tc>
          <w:tcPr>
            <w:tcW w:w="2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32,265</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19,019</w:t>
            </w: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12,256</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5460" w:type="dxa"/>
            <w:vAlign w:val="bottom"/>
            <w:gridSpan w:val="2"/>
            <w:vMerge w:val="restart"/>
          </w:tcPr>
          <w:p>
            <w:pPr>
              <w:ind w:left="1040"/>
              <w:spacing w:after="0"/>
              <w:rPr>
                <w:sz w:val="20"/>
                <w:szCs w:val="20"/>
                <w:color w:val="auto"/>
              </w:rPr>
            </w:pPr>
            <w:r>
              <w:rPr>
                <w:rFonts w:ascii="Arial" w:cs="Arial" w:eastAsia="Arial" w:hAnsi="Arial"/>
                <w:sz w:val="18"/>
                <w:szCs w:val="18"/>
                <w:color w:val="auto"/>
              </w:rPr>
              <w:t>Deferred income tax expense (benefit):</w:t>
            </w:r>
          </w:p>
        </w:tc>
        <w:tc>
          <w:tcPr>
            <w:tcW w:w="1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80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5460" w:type="dxa"/>
            <w:vAlign w:val="bottom"/>
            <w:gridSpan w:val="2"/>
            <w:vMerge w:val="continue"/>
          </w:tcPr>
          <w:p>
            <w:pPr>
              <w:spacing w:after="0"/>
              <w:rPr>
                <w:sz w:val="24"/>
                <w:szCs w:val="24"/>
                <w:color w:val="auto"/>
              </w:rPr>
            </w:pPr>
          </w:p>
        </w:tc>
        <w:tc>
          <w:tcPr>
            <w:tcW w:w="1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1040" w:type="dxa"/>
            <w:vAlign w:val="bottom"/>
          </w:tcPr>
          <w:p>
            <w:pPr>
              <w:spacing w:after="0"/>
              <w:rPr>
                <w:sz w:val="18"/>
                <w:szCs w:val="18"/>
                <w:color w:val="auto"/>
              </w:rPr>
            </w:pPr>
          </w:p>
        </w:tc>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Federal</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194</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(1,442)</w:t>
            </w: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(4,479)</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State</w:t>
            </w:r>
          </w:p>
        </w:tc>
        <w:tc>
          <w:tcPr>
            <w:tcW w:w="1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(1,101)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172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46</w:t>
            </w: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Foreign</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(3,515)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93</w:t>
            </w: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701</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5460" w:type="dxa"/>
            <w:vAlign w:val="bottom"/>
            <w:gridSpan w:val="2"/>
          </w:tcPr>
          <w:p>
            <w:pPr>
              <w:spacing w:after="0"/>
              <w:rPr>
                <w:sz w:val="10"/>
                <w:szCs w:val="10"/>
                <w:color w:val="auto"/>
              </w:rPr>
            </w:pPr>
          </w:p>
        </w:tc>
        <w:tc>
          <w:tcPr>
            <w:tcW w:w="1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80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460" w:type="dxa"/>
            <w:vAlign w:val="bottom"/>
            <w:gridSpan w:val="2"/>
          </w:tcPr>
          <w:p>
            <w:pPr>
              <w:ind w:left="1040"/>
              <w:spacing w:after="0"/>
              <w:rPr>
                <w:sz w:val="20"/>
                <w:szCs w:val="20"/>
                <w:color w:val="auto"/>
              </w:rPr>
            </w:pPr>
            <w:r>
              <w:rPr>
                <w:rFonts w:ascii="Arial" w:cs="Arial" w:eastAsia="Arial" w:hAnsi="Arial"/>
                <w:sz w:val="18"/>
                <w:szCs w:val="18"/>
                <w:color w:val="auto"/>
              </w:rPr>
              <w:t>Total deferred income tax expense (benefit)</w:t>
            </w:r>
          </w:p>
        </w:tc>
        <w:tc>
          <w:tcPr>
            <w:tcW w:w="1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(4,422)</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(1,177)</w:t>
            </w: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(3,732)</w:t>
            </w: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1040" w:type="dxa"/>
            <w:vAlign w:val="bottom"/>
          </w:tcPr>
          <w:p>
            <w:pPr>
              <w:spacing w:after="0"/>
              <w:rPr>
                <w:sz w:val="10"/>
                <w:szCs w:val="10"/>
                <w:color w:val="auto"/>
              </w:rPr>
            </w:pPr>
          </w:p>
        </w:tc>
        <w:tc>
          <w:tcPr>
            <w:tcW w:w="44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80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for income taxes</w:t>
            </w:r>
          </w:p>
        </w:tc>
        <w:tc>
          <w:tcPr>
            <w:tcW w:w="14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27,843</w:t>
            </w:r>
          </w:p>
        </w:tc>
        <w:tc>
          <w:tcPr>
            <w:tcW w:w="60" w:type="dxa"/>
            <w:vAlign w:val="bottom"/>
            <w:shd w:val="clear" w:color="auto" w:fill="CCEEFF"/>
          </w:tcPr>
          <w:p>
            <w:pPr>
              <w:spacing w:after="0"/>
              <w:rPr>
                <w:sz w:val="18"/>
                <w:szCs w:val="18"/>
                <w:color w:val="auto"/>
              </w:rPr>
            </w:pPr>
          </w:p>
        </w:tc>
        <w:tc>
          <w:tcPr>
            <w:tcW w:w="3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17,842</w:t>
            </w:r>
          </w:p>
        </w:tc>
        <w:tc>
          <w:tcPr>
            <w:tcW w:w="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8,524</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460" w:type="dxa"/>
            <w:vAlign w:val="bottom"/>
            <w:gridSpan w:val="2"/>
            <w:vMerge w:val="restart"/>
          </w:tcPr>
          <w:p>
            <w:pPr>
              <w:ind w:left="360"/>
              <w:spacing w:after="0"/>
              <w:rPr>
                <w:sz w:val="20"/>
                <w:szCs w:val="20"/>
                <w:color w:val="auto"/>
              </w:rPr>
            </w:pPr>
            <w:r>
              <w:rPr>
                <w:rFonts w:ascii="Arial" w:cs="Arial" w:eastAsia="Arial" w:hAnsi="Arial"/>
                <w:sz w:val="18"/>
                <w:szCs w:val="18"/>
                <w:color w:val="auto"/>
                <w:w w:val="92"/>
              </w:rPr>
              <w:t>Deferred tax assets (liabilities) consist of the following (in thousands):</w:t>
            </w: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460" w:type="dxa"/>
            <w:vAlign w:val="bottom"/>
            <w:gridSpan w:val="2"/>
            <w:vMerge w:val="continue"/>
          </w:tcPr>
          <w:p>
            <w:pPr>
              <w:spacing w:after="0"/>
              <w:rPr>
                <w:sz w:val="5"/>
                <w:szCs w:val="5"/>
                <w:color w:val="auto"/>
              </w:rPr>
            </w:pPr>
          </w:p>
        </w:tc>
        <w:tc>
          <w:tcPr>
            <w:tcW w:w="1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0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5460" w:type="dxa"/>
            <w:vAlign w:val="bottom"/>
            <w:gridSpan w:val="2"/>
            <w:vMerge w:val="continue"/>
          </w:tcPr>
          <w:p>
            <w:pPr>
              <w:spacing w:after="0"/>
              <w:rPr>
                <w:sz w:val="24"/>
                <w:szCs w:val="24"/>
                <w:color w:val="auto"/>
              </w:rPr>
            </w:pPr>
          </w:p>
        </w:tc>
        <w:tc>
          <w:tcPr>
            <w:tcW w:w="1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0"/>
        </w:trPr>
        <w:tc>
          <w:tcPr>
            <w:tcW w:w="1040" w:type="dxa"/>
            <w:vAlign w:val="bottom"/>
          </w:tcPr>
          <w:p>
            <w:pPr>
              <w:spacing w:after="0"/>
              <w:rPr>
                <w:sz w:val="24"/>
                <w:szCs w:val="24"/>
                <w:color w:val="auto"/>
              </w:rPr>
            </w:pPr>
          </w:p>
        </w:tc>
        <w:tc>
          <w:tcPr>
            <w:tcW w:w="44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20" w:type="dxa"/>
            <w:vAlign w:val="bottom"/>
            <w:gridSpan w:val="5"/>
          </w:tcPr>
          <w:p>
            <w:pPr>
              <w:jc w:val="right"/>
              <w:ind w:right="160"/>
              <w:spacing w:after="0"/>
              <w:rPr>
                <w:sz w:val="20"/>
                <w:szCs w:val="20"/>
                <w:color w:val="auto"/>
              </w:rPr>
            </w:pPr>
            <w:r>
              <w:rPr>
                <w:rFonts w:ascii="Arial" w:cs="Arial" w:eastAsia="Arial" w:hAnsi="Arial"/>
                <w:sz w:val="14"/>
                <w:szCs w:val="14"/>
                <w:b w:val="1"/>
                <w:bCs w:val="1"/>
                <w:color w:val="auto"/>
                <w:w w:val="89"/>
              </w:rPr>
              <w:t>As of January 31,</w:t>
            </w: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040" w:type="dxa"/>
            <w:vAlign w:val="bottom"/>
          </w:tcPr>
          <w:p>
            <w:pPr>
              <w:spacing w:after="0"/>
              <w:rPr>
                <w:sz w:val="23"/>
                <w:szCs w:val="23"/>
                <w:color w:val="auto"/>
              </w:rPr>
            </w:pPr>
          </w:p>
        </w:tc>
        <w:tc>
          <w:tcPr>
            <w:tcW w:w="44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760" w:type="dxa"/>
            <w:vAlign w:val="bottom"/>
          </w:tcPr>
          <w:p>
            <w:pPr>
              <w:jc w:val="right"/>
              <w:ind w:right="314"/>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00" w:type="dxa"/>
            <w:vAlign w:val="bottom"/>
          </w:tcPr>
          <w:p>
            <w:pPr>
              <w:jc w:val="right"/>
              <w:ind w:right="334"/>
              <w:spacing w:after="0"/>
              <w:rPr>
                <w:sz w:val="20"/>
                <w:szCs w:val="20"/>
                <w:color w:val="auto"/>
              </w:rPr>
            </w:pPr>
            <w:r>
              <w:rPr>
                <w:rFonts w:ascii="Arial" w:cs="Arial" w:eastAsia="Arial" w:hAnsi="Arial"/>
                <w:sz w:val="14"/>
                <w:szCs w:val="14"/>
                <w:b w:val="1"/>
                <w:bCs w:val="1"/>
                <w:color w:val="auto"/>
              </w:rPr>
              <w:t>2004</w:t>
            </w:r>
          </w:p>
        </w:tc>
        <w:tc>
          <w:tcPr>
            <w:tcW w:w="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20" w:type="dxa"/>
            <w:vAlign w:val="bottom"/>
          </w:tcPr>
          <w:p>
            <w:pPr>
              <w:jc w:val="right"/>
              <w:ind w:right="334"/>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Research and development credits</w:t>
            </w: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52,884</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23,584</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11,050</w:t>
            </w: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California investment credits</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1,290</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Reserves and accruals</w:t>
            </w:r>
          </w:p>
        </w:tc>
        <w:tc>
          <w:tcPr>
            <w:tcW w:w="1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12,339</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6,390</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8,916</w:t>
            </w: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Depreciation and facilities charges</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4,176</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3,945</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tcPr>
          <w:p>
            <w:pPr>
              <w:spacing w:after="0"/>
              <w:rPr>
                <w:sz w:val="19"/>
                <w:szCs w:val="19"/>
                <w:color w:val="auto"/>
              </w:rPr>
            </w:pPr>
          </w:p>
        </w:tc>
        <w:tc>
          <w:tcPr>
            <w:tcW w:w="4420" w:type="dxa"/>
            <w:vAlign w:val="bottom"/>
          </w:tcPr>
          <w:p>
            <w:pPr>
              <w:ind w:left="180"/>
              <w:spacing w:after="0"/>
              <w:rPr>
                <w:sz w:val="20"/>
                <w:szCs w:val="20"/>
                <w:color w:val="auto"/>
              </w:rPr>
            </w:pPr>
            <w:r>
              <w:rPr>
                <w:rFonts w:ascii="Arial" w:cs="Arial" w:eastAsia="Arial" w:hAnsi="Arial"/>
                <w:sz w:val="18"/>
                <w:szCs w:val="18"/>
                <w:color w:val="auto"/>
              </w:rPr>
              <w:t>Net operating losses</w:t>
            </w:r>
          </w:p>
        </w:tc>
        <w:tc>
          <w:tcPr>
            <w:tcW w:w="1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15,160</w:t>
            </w: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3,616</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Gross deferred tax assets</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82,395</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39,056</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24,069</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tcPr>
          <w:p>
            <w:pPr>
              <w:spacing w:after="0"/>
              <w:rPr>
                <w:sz w:val="19"/>
                <w:szCs w:val="19"/>
                <w:color w:val="auto"/>
              </w:rPr>
            </w:pPr>
          </w:p>
        </w:tc>
        <w:tc>
          <w:tcPr>
            <w:tcW w:w="4420" w:type="dxa"/>
            <w:vAlign w:val="bottom"/>
          </w:tcPr>
          <w:p>
            <w:pPr>
              <w:spacing w:after="0"/>
              <w:rPr>
                <w:sz w:val="20"/>
                <w:szCs w:val="20"/>
                <w:color w:val="auto"/>
              </w:rPr>
            </w:pPr>
            <w:r>
              <w:rPr>
                <w:rFonts w:ascii="Arial" w:cs="Arial" w:eastAsia="Arial" w:hAnsi="Arial"/>
                <w:sz w:val="18"/>
                <w:szCs w:val="18"/>
                <w:color w:val="auto"/>
              </w:rPr>
              <w:t>Valuation allowance</w:t>
            </w:r>
          </w:p>
        </w:tc>
        <w:tc>
          <w:tcPr>
            <w:tcW w:w="1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(57,815)</w:t>
            </w: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(24,716)</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(11,050)</w:t>
            </w: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assets</w:t>
            </w:r>
          </w:p>
        </w:tc>
        <w:tc>
          <w:tcPr>
            <w:tcW w:w="114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24,580</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14,340</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13,019</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tcPr>
          <w:p>
            <w:pPr>
              <w:spacing w:after="0"/>
              <w:rPr>
                <w:sz w:val="19"/>
                <w:szCs w:val="19"/>
                <w:color w:val="auto"/>
              </w:rPr>
            </w:pPr>
          </w:p>
        </w:tc>
        <w:tc>
          <w:tcPr>
            <w:tcW w:w="4420" w:type="dxa"/>
            <w:vAlign w:val="bottom"/>
          </w:tcPr>
          <w:p>
            <w:pPr>
              <w:spacing w:after="0"/>
              <w:rPr>
                <w:sz w:val="20"/>
                <w:szCs w:val="20"/>
                <w:color w:val="auto"/>
              </w:rPr>
            </w:pPr>
            <w:r>
              <w:rPr>
                <w:rFonts w:ascii="Arial" w:cs="Arial" w:eastAsia="Arial" w:hAnsi="Arial"/>
                <w:sz w:val="18"/>
                <w:szCs w:val="18"/>
                <w:color w:val="auto"/>
              </w:rPr>
              <w:t>Total deferred tax liabilities</w:t>
            </w:r>
          </w:p>
        </w:tc>
        <w:tc>
          <w:tcPr>
            <w:tcW w:w="1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(5,962)</w:t>
            </w: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(144)</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Net deferred tax assets</w:t>
            </w:r>
          </w:p>
        </w:tc>
        <w:tc>
          <w:tcPr>
            <w:tcW w:w="12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18,618</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14,196</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13,019</w:t>
            </w:r>
          </w:p>
        </w:tc>
        <w:tc>
          <w:tcPr>
            <w:tcW w:w="200" w:type="dxa"/>
            <w:vAlign w:val="bottom"/>
            <w:shd w:val="clear" w:color="auto" w:fill="CCEEFF"/>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4420" w:type="dxa"/>
            <w:vAlign w:val="bottom"/>
          </w:tcPr>
          <w:p>
            <w:pPr>
              <w:spacing w:after="0"/>
              <w:rPr>
                <w:sz w:val="9"/>
                <w:szCs w:val="9"/>
                <w:color w:val="auto"/>
              </w:rPr>
            </w:pPr>
          </w:p>
        </w:tc>
        <w:tc>
          <w:tcPr>
            <w:tcW w:w="1140" w:type="dxa"/>
            <w:vAlign w:val="bottom"/>
            <w:vMerge w:val="restart"/>
          </w:tcPr>
          <w:p>
            <w:pPr>
              <w:jc w:val="right"/>
              <w:ind w:right="712"/>
              <w:spacing w:after="0"/>
              <w:rPr>
                <w:sz w:val="20"/>
                <w:szCs w:val="20"/>
                <w:color w:val="auto"/>
              </w:rPr>
            </w:pPr>
            <w:r>
              <w:rPr>
                <w:rFonts w:ascii="Arial" w:cs="Arial" w:eastAsia="Arial" w:hAnsi="Arial"/>
                <w:sz w:val="18"/>
                <w:szCs w:val="18"/>
                <w:color w:val="auto"/>
              </w:rPr>
              <w:t>99</w:t>
            </w: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040" w:type="dxa"/>
            <w:vAlign w:val="bottom"/>
          </w:tcPr>
          <w:p>
            <w:pPr>
              <w:spacing w:after="0"/>
              <w:rPr>
                <w:sz w:val="5"/>
                <w:szCs w:val="5"/>
                <w:color w:val="auto"/>
              </w:rPr>
            </w:pPr>
          </w:p>
        </w:tc>
        <w:tc>
          <w:tcPr>
            <w:tcW w:w="442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40" w:type="dxa"/>
            <w:vAlign w:val="bottom"/>
            <w:tcBorders>
              <w:left w:val="single" w:sz="8" w:color="808080"/>
            </w:tcBorders>
            <w:shd w:val="clear" w:color="auto" w:fill="808080"/>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0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040" w:type="dxa"/>
            <w:vAlign w:val="bottom"/>
          </w:tcPr>
          <w:p>
            <w:pPr>
              <w:spacing w:after="0"/>
              <w:rPr>
                <w:sz w:val="24"/>
                <w:szCs w:val="24"/>
                <w:color w:val="auto"/>
              </w:rPr>
            </w:pPr>
          </w:p>
        </w:tc>
        <w:tc>
          <w:tcPr>
            <w:tcW w:w="4420" w:type="dxa"/>
            <w:vAlign w:val="bottom"/>
          </w:tcPr>
          <w:p>
            <w:pPr>
              <w:spacing w:after="0"/>
              <w:rPr>
                <w:sz w:val="24"/>
                <w:szCs w:val="24"/>
                <w:color w:val="auto"/>
              </w:rPr>
            </w:pPr>
          </w:p>
        </w:tc>
        <w:tc>
          <w:tcPr>
            <w:tcW w:w="114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040" w:type="dxa"/>
            <w:vAlign w:val="bottom"/>
            <w:tcBorders>
              <w:bottom w:val="single" w:sz="8" w:color="808080"/>
            </w:tcBorders>
          </w:tcPr>
          <w:p>
            <w:pPr>
              <w:spacing w:after="0"/>
              <w:rPr>
                <w:sz w:val="19"/>
                <w:szCs w:val="19"/>
                <w:color w:val="auto"/>
              </w:rPr>
            </w:pPr>
          </w:p>
        </w:tc>
        <w:tc>
          <w:tcPr>
            <w:tcW w:w="442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76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0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6469380</wp:posOffset>
            </wp:positionH>
            <wp:positionV relativeFrom="paragraph">
              <wp:posOffset>-6111875</wp:posOffset>
            </wp:positionV>
            <wp:extent cx="12700" cy="8890"/>
            <wp:wrapNone/>
            <wp:docPr id="958" name="Picture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pic:cNvPicPr>
                      <a:picLocks noChangeAspect="1" noChangeArrowheads="1"/>
                    </pic:cNvPicPr>
                  </pic:nvPicPr>
                  <pic:blipFill>
                    <a:blip r:embed="rId9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-6111875</wp:posOffset>
            </wp:positionV>
            <wp:extent cx="12700" cy="8890"/>
            <wp:wrapNone/>
            <wp:docPr id="959" name="Picture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9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-5862955</wp:posOffset>
            </wp:positionV>
            <wp:extent cx="12700" cy="8890"/>
            <wp:wrapNone/>
            <wp:docPr id="960" name="Picture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9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-5862955</wp:posOffset>
            </wp:positionV>
            <wp:extent cx="12700" cy="8890"/>
            <wp:wrapNone/>
            <wp:docPr id="961" name="Picture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9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-5862955</wp:posOffset>
            </wp:positionV>
            <wp:extent cx="12700" cy="8890"/>
            <wp:wrapNone/>
            <wp:docPr id="962" name="Picture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9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-5862955</wp:posOffset>
            </wp:positionV>
            <wp:extent cx="12700" cy="8890"/>
            <wp:wrapNone/>
            <wp:docPr id="963" name="Picture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9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-5862955</wp:posOffset>
            </wp:positionV>
            <wp:extent cx="12700" cy="8890"/>
            <wp:wrapNone/>
            <wp:docPr id="964" name="Picture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pic:cNvPicPr>
                      <a:picLocks noChangeAspect="1" noChangeArrowheads="1"/>
                    </pic:cNvPicPr>
                  </pic:nvPicPr>
                  <pic:blipFill>
                    <a:blip r:embed="rId9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-5862955</wp:posOffset>
            </wp:positionV>
            <wp:extent cx="12700" cy="8890"/>
            <wp:wrapNone/>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9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-5160010</wp:posOffset>
            </wp:positionV>
            <wp:extent cx="12700" cy="8890"/>
            <wp:wrapNone/>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pic:cNvPicPr>
                      <a:picLocks noChangeAspect="1" noChangeArrowheads="1"/>
                    </pic:cNvPicPr>
                  </pic:nvPicPr>
                  <pic:blipFill>
                    <a:blip r:embed="rId9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-5160010</wp:posOffset>
            </wp:positionV>
            <wp:extent cx="12700" cy="8890"/>
            <wp:wrapNone/>
            <wp:docPr id="967" name="Picture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pic:cNvPicPr>
                      <a:picLocks noChangeAspect="1" noChangeArrowheads="1"/>
                    </pic:cNvPicPr>
                  </pic:nvPicPr>
                  <pic:blipFill>
                    <a:blip r:embed="rId9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-5160010</wp:posOffset>
            </wp:positionV>
            <wp:extent cx="12700" cy="8890"/>
            <wp:wrapNone/>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pic:cNvPicPr>
                      <a:picLocks noChangeAspect="1" noChangeArrowheads="1"/>
                    </pic:cNvPicPr>
                  </pic:nvPicPr>
                  <pic:blipFill>
                    <a:blip r:embed="rId9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-5160010</wp:posOffset>
            </wp:positionV>
            <wp:extent cx="12700" cy="8890"/>
            <wp:wrapNone/>
            <wp:docPr id="969"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9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-5160010</wp:posOffset>
            </wp:positionV>
            <wp:extent cx="12700" cy="8890"/>
            <wp:wrapNone/>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pic:cNvPicPr>
                      <a:picLocks noChangeAspect="1" noChangeArrowheads="1"/>
                    </pic:cNvPicPr>
                  </pic:nvPicPr>
                  <pic:blipFill>
                    <a:blip r:embed="rId9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-5160010</wp:posOffset>
            </wp:positionV>
            <wp:extent cx="12700" cy="8890"/>
            <wp:wrapNone/>
            <wp:docPr id="971" name="Picture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pic:cNvPicPr>
                      <a:picLocks noChangeAspect="1" noChangeArrowheads="1"/>
                    </pic:cNvPicPr>
                  </pic:nvPicPr>
                  <pic:blipFill>
                    <a:blip r:embed="rId9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-4867910</wp:posOffset>
            </wp:positionV>
            <wp:extent cx="12700" cy="8890"/>
            <wp:wrapNone/>
            <wp:docPr id="972" name="Picture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pic:cNvPicPr>
                      <a:picLocks noChangeAspect="1" noChangeArrowheads="1"/>
                    </pic:cNvPicPr>
                  </pic:nvPicPr>
                  <pic:blipFill>
                    <a:blip r:embed="rId9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-4867910</wp:posOffset>
            </wp:positionV>
            <wp:extent cx="12700" cy="8890"/>
            <wp:wrapNone/>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pic:cNvPicPr>
                      <a:picLocks noChangeAspect="1" noChangeArrowheads="1"/>
                    </pic:cNvPicPr>
                  </pic:nvPicPr>
                  <pic:blipFill>
                    <a:blip r:embed="rId9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-4867910</wp:posOffset>
            </wp:positionV>
            <wp:extent cx="12700" cy="8890"/>
            <wp:wrapNone/>
            <wp:docPr id="974" name="Picture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pic:cNvPicPr>
                      <a:picLocks noChangeAspect="1" noChangeArrowheads="1"/>
                    </pic:cNvPicPr>
                  </pic:nvPicPr>
                  <pic:blipFill>
                    <a:blip r:embed="rId9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-4867910</wp:posOffset>
            </wp:positionV>
            <wp:extent cx="12700" cy="8890"/>
            <wp:wrapNone/>
            <wp:docPr id="975" name="Picture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pic:cNvPicPr>
                      <a:picLocks noChangeAspect="1" noChangeArrowheads="1"/>
                    </pic:cNvPicPr>
                  </pic:nvPicPr>
                  <pic:blipFill>
                    <a:blip r:embed="rId9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-4867910</wp:posOffset>
            </wp:positionV>
            <wp:extent cx="12700" cy="8890"/>
            <wp:wrapNone/>
            <wp:docPr id="976" name="Picture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pic:cNvPicPr>
                      <a:picLocks noChangeAspect="1" noChangeArrowheads="1"/>
                    </pic:cNvPicPr>
                  </pic:nvPicPr>
                  <pic:blipFill>
                    <a:blip r:embed="rId9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-4867910</wp:posOffset>
            </wp:positionV>
            <wp:extent cx="12700" cy="8890"/>
            <wp:wrapNone/>
            <wp:docPr id="977" name="Picture 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pic:cNvPicPr>
                      <a:picLocks noChangeAspect="1" noChangeArrowheads="1"/>
                    </pic:cNvPicPr>
                  </pic:nvPicPr>
                  <pic:blipFill>
                    <a:blip r:embed="rId9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-4164965</wp:posOffset>
            </wp:positionV>
            <wp:extent cx="12700" cy="8890"/>
            <wp:wrapNone/>
            <wp:docPr id="978" name="Picture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pic:cNvPicPr>
                      <a:picLocks noChangeAspect="1" noChangeArrowheads="1"/>
                    </pic:cNvPicPr>
                  </pic:nvPicPr>
                  <pic:blipFill>
                    <a:blip r:embed="rId9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-4164965</wp:posOffset>
            </wp:positionV>
            <wp:extent cx="12700" cy="8890"/>
            <wp:wrapNone/>
            <wp:docPr id="979" name="Picture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pic:cNvPicPr>
                      <a:picLocks noChangeAspect="1" noChangeArrowheads="1"/>
                    </pic:cNvPicPr>
                  </pic:nvPicPr>
                  <pic:blipFill>
                    <a:blip r:embed="rId9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-4164965</wp:posOffset>
            </wp:positionV>
            <wp:extent cx="12700" cy="8890"/>
            <wp:wrapNone/>
            <wp:docPr id="980" name="Picture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pic:cNvPicPr>
                      <a:picLocks noChangeAspect="1" noChangeArrowheads="1"/>
                    </pic:cNvPicPr>
                  </pic:nvPicPr>
                  <pic:blipFill>
                    <a:blip r:embed="rId9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-4164965</wp:posOffset>
            </wp:positionV>
            <wp:extent cx="12700" cy="8890"/>
            <wp:wrapNone/>
            <wp:docPr id="981" name="Picture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pic:cNvPicPr>
                      <a:picLocks noChangeAspect="1" noChangeArrowheads="1"/>
                    </pic:cNvPicPr>
                  </pic:nvPicPr>
                  <pic:blipFill>
                    <a:blip r:embed="rId9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-4164965</wp:posOffset>
            </wp:positionV>
            <wp:extent cx="12700" cy="8890"/>
            <wp:wrapNone/>
            <wp:docPr id="982" name="Picture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
                    <pic:cNvPicPr>
                      <a:picLocks noChangeAspect="1" noChangeArrowheads="1"/>
                    </pic:cNvPicPr>
                  </pic:nvPicPr>
                  <pic:blipFill>
                    <a:blip r:embed="rId9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-4164965</wp:posOffset>
            </wp:positionV>
            <wp:extent cx="12700" cy="8890"/>
            <wp:wrapNone/>
            <wp:docPr id="983" name="Picture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3"/>
                    <pic:cNvPicPr>
                      <a:picLocks noChangeAspect="1" noChangeArrowheads="1"/>
                    </pic:cNvPicPr>
                  </pic:nvPicPr>
                  <pic:blipFill>
                    <a:blip r:embed="rId9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-3873500</wp:posOffset>
            </wp:positionV>
            <wp:extent cx="12700" cy="8890"/>
            <wp:wrapNone/>
            <wp:docPr id="984" name="Picture 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pic:cNvPicPr>
                      <a:picLocks noChangeAspect="1" noChangeArrowheads="1"/>
                    </pic:cNvPicPr>
                  </pic:nvPicPr>
                  <pic:blipFill>
                    <a:blip r:embed="rId9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4273550</wp:posOffset>
            </wp:positionH>
            <wp:positionV relativeFrom="paragraph">
              <wp:posOffset>-3873500</wp:posOffset>
            </wp:positionV>
            <wp:extent cx="12700" cy="8890"/>
            <wp:wrapNone/>
            <wp:docPr id="985" name="Picture 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pic:cNvPicPr>
                      <a:picLocks noChangeAspect="1" noChangeArrowheads="1"/>
                    </pic:cNvPicPr>
                  </pic:nvPicPr>
                  <pic:blipFill>
                    <a:blip r:embed="rId9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-3873500</wp:posOffset>
            </wp:positionV>
            <wp:extent cx="12700" cy="8890"/>
            <wp:wrapNone/>
            <wp:docPr id="986" name="Picture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pic:cNvPicPr>
                      <a:picLocks noChangeAspect="1" noChangeArrowheads="1"/>
                    </pic:cNvPicPr>
                  </pic:nvPicPr>
                  <pic:blipFill>
                    <a:blip r:embed="rId9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5036820</wp:posOffset>
            </wp:positionH>
            <wp:positionV relativeFrom="paragraph">
              <wp:posOffset>-3873500</wp:posOffset>
            </wp:positionV>
            <wp:extent cx="12700" cy="8890"/>
            <wp:wrapNone/>
            <wp:docPr id="987" name="Picture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
                    <pic:cNvPicPr>
                      <a:picLocks noChangeAspect="1" noChangeArrowheads="1"/>
                    </pic:cNvPicPr>
                  </pic:nvPicPr>
                  <pic:blipFill>
                    <a:blip r:embed="rId9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-3873500</wp:posOffset>
            </wp:positionV>
            <wp:extent cx="12700" cy="8890"/>
            <wp:wrapNone/>
            <wp:docPr id="988" name="Picture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
                    <pic:cNvPicPr>
                      <a:picLocks noChangeAspect="1" noChangeArrowheads="1"/>
                    </pic:cNvPicPr>
                  </pic:nvPicPr>
                  <pic:blipFill>
                    <a:blip r:embed="rId9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-3873500</wp:posOffset>
            </wp:positionV>
            <wp:extent cx="12700" cy="8890"/>
            <wp:wrapNone/>
            <wp:docPr id="989" name="Picture 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pic:cNvPicPr>
                      <a:picLocks noChangeAspect="1" noChangeArrowheads="1"/>
                    </pic:cNvPicPr>
                  </pic:nvPicPr>
                  <pic:blipFill>
                    <a:blip r:embed="rId9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6460490</wp:posOffset>
            </wp:positionH>
            <wp:positionV relativeFrom="paragraph">
              <wp:posOffset>-2904490</wp:posOffset>
            </wp:positionV>
            <wp:extent cx="12700" cy="8890"/>
            <wp:wrapNone/>
            <wp:docPr id="990" name="Picture 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pic:cNvPicPr>
                      <a:picLocks noChangeAspect="1" noChangeArrowheads="1"/>
                    </pic:cNvPicPr>
                  </pic:nvPicPr>
                  <pic:blipFill>
                    <a:blip r:embed="rId9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-2904490</wp:posOffset>
            </wp:positionV>
            <wp:extent cx="12700" cy="8890"/>
            <wp:wrapNone/>
            <wp:docPr id="991" name="Picture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1"/>
                    <pic:cNvPicPr>
                      <a:picLocks noChangeAspect="1" noChangeArrowheads="1"/>
                    </pic:cNvPicPr>
                  </pic:nvPicPr>
                  <pic:blipFill>
                    <a:blip r:embed="rId9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-2655570</wp:posOffset>
            </wp:positionV>
            <wp:extent cx="12700" cy="8890"/>
            <wp:wrapNone/>
            <wp:docPr id="992" name="Picture 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2"/>
                    <pic:cNvPicPr>
                      <a:picLocks noChangeAspect="1" noChangeArrowheads="1"/>
                    </pic:cNvPicPr>
                  </pic:nvPicPr>
                  <pic:blipFill>
                    <a:blip r:embed="rId9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-2655570</wp:posOffset>
            </wp:positionV>
            <wp:extent cx="12700" cy="8890"/>
            <wp:wrapNone/>
            <wp:docPr id="993" name="Picture 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3"/>
                    <pic:cNvPicPr>
                      <a:picLocks noChangeAspect="1" noChangeArrowheads="1"/>
                    </pic:cNvPicPr>
                  </pic:nvPicPr>
                  <pic:blipFill>
                    <a:blip r:embed="rId10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5654675</wp:posOffset>
            </wp:positionH>
            <wp:positionV relativeFrom="paragraph">
              <wp:posOffset>-2655570</wp:posOffset>
            </wp:positionV>
            <wp:extent cx="12700" cy="8890"/>
            <wp:wrapNone/>
            <wp:docPr id="994" name="Picture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10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-2655570</wp:posOffset>
            </wp:positionV>
            <wp:extent cx="12700" cy="8890"/>
            <wp:wrapNone/>
            <wp:docPr id="995" name="Picture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pic:cNvPicPr>
                      <a:picLocks noChangeAspect="1" noChangeArrowheads="1"/>
                    </pic:cNvPicPr>
                  </pic:nvPicPr>
                  <pic:blipFill>
                    <a:blip r:embed="rId10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6460490</wp:posOffset>
            </wp:positionH>
            <wp:positionV relativeFrom="paragraph">
              <wp:posOffset>-2655570</wp:posOffset>
            </wp:positionV>
            <wp:extent cx="12700" cy="8890"/>
            <wp:wrapNone/>
            <wp:docPr id="996" name="Picture 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pic:cNvPicPr>
                      <a:picLocks noChangeAspect="1" noChangeArrowheads="1"/>
                    </pic:cNvPicPr>
                  </pic:nvPicPr>
                  <pic:blipFill>
                    <a:blip r:embed="rId10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-2655570</wp:posOffset>
            </wp:positionV>
            <wp:extent cx="12700" cy="8890"/>
            <wp:wrapNone/>
            <wp:docPr id="997" name="Picture 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
                    <pic:cNvPicPr>
                      <a:picLocks noChangeAspect="1" noChangeArrowheads="1"/>
                    </pic:cNvPicPr>
                  </pic:nvPicPr>
                  <pic:blipFill>
                    <a:blip r:embed="rId10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-1678305</wp:posOffset>
            </wp:positionV>
            <wp:extent cx="12700" cy="8890"/>
            <wp:wrapNone/>
            <wp:docPr id="998" name="Picture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8"/>
                    <pic:cNvPicPr>
                      <a:picLocks noChangeAspect="1" noChangeArrowheads="1"/>
                    </pic:cNvPicPr>
                  </pic:nvPicPr>
                  <pic:blipFill>
                    <a:blip r:embed="rId10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-1678305</wp:posOffset>
            </wp:positionV>
            <wp:extent cx="12700" cy="8890"/>
            <wp:wrapNone/>
            <wp:docPr id="999" name="Picture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pic:cNvPicPr>
                      <a:picLocks noChangeAspect="1" noChangeArrowheads="1"/>
                    </pic:cNvPicPr>
                  </pic:nvPicPr>
                  <pic:blipFill>
                    <a:blip r:embed="rId10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5654675</wp:posOffset>
            </wp:positionH>
            <wp:positionV relativeFrom="paragraph">
              <wp:posOffset>-1678305</wp:posOffset>
            </wp:positionV>
            <wp:extent cx="12700" cy="8890"/>
            <wp:wrapNone/>
            <wp:docPr id="1000" name="Picture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pic:cNvPicPr>
                      <a:picLocks noChangeAspect="1" noChangeArrowheads="1"/>
                    </pic:cNvPicPr>
                  </pic:nvPicPr>
                  <pic:blipFill>
                    <a:blip r:embed="rId10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-1678305</wp:posOffset>
            </wp:positionV>
            <wp:extent cx="12700" cy="8890"/>
            <wp:wrapNone/>
            <wp:docPr id="1001" name="Picture 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pic:cNvPicPr>
                      <a:picLocks noChangeAspect="1" noChangeArrowheads="1"/>
                    </pic:cNvPicPr>
                  </pic:nvPicPr>
                  <pic:blipFill>
                    <a:blip r:embed="rId10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6460490</wp:posOffset>
            </wp:positionH>
            <wp:positionV relativeFrom="paragraph">
              <wp:posOffset>-1678305</wp:posOffset>
            </wp:positionV>
            <wp:extent cx="12700" cy="8890"/>
            <wp:wrapNone/>
            <wp:docPr id="1002" name="Picture 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pic:cNvPicPr>
                      <a:picLocks noChangeAspect="1" noChangeArrowheads="1"/>
                    </pic:cNvPicPr>
                  </pic:nvPicPr>
                  <pic:blipFill>
                    <a:blip r:embed="rId10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-1678305</wp:posOffset>
            </wp:positionV>
            <wp:extent cx="12700" cy="8890"/>
            <wp:wrapNone/>
            <wp:docPr id="1003" name="Picture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3"/>
                    <pic:cNvPicPr>
                      <a:picLocks noChangeAspect="1" noChangeArrowheads="1"/>
                    </pic:cNvPicPr>
                  </pic:nvPicPr>
                  <pic:blipFill>
                    <a:blip r:embed="rId10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-1249045</wp:posOffset>
            </wp:positionV>
            <wp:extent cx="12700" cy="8890"/>
            <wp:wrapNone/>
            <wp:docPr id="1004" name="Picture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pic:cNvPicPr>
                      <a:picLocks noChangeAspect="1" noChangeArrowheads="1"/>
                    </pic:cNvPicPr>
                  </pic:nvPicPr>
                  <pic:blipFill>
                    <a:blip r:embed="rId10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-1249045</wp:posOffset>
            </wp:positionV>
            <wp:extent cx="12700" cy="8890"/>
            <wp:wrapNone/>
            <wp:docPr id="1005" name="Picture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pic:cNvPicPr>
                      <a:picLocks noChangeAspect="1" noChangeArrowheads="1"/>
                    </pic:cNvPicPr>
                  </pic:nvPicPr>
                  <pic:blipFill>
                    <a:blip r:embed="rId10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5654675</wp:posOffset>
            </wp:positionH>
            <wp:positionV relativeFrom="paragraph">
              <wp:posOffset>-1249045</wp:posOffset>
            </wp:positionV>
            <wp:extent cx="12700" cy="8890"/>
            <wp:wrapNone/>
            <wp:docPr id="1006" name="Picture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pic:cNvPicPr>
                      <a:picLocks noChangeAspect="1" noChangeArrowheads="1"/>
                    </pic:cNvPicPr>
                  </pic:nvPicPr>
                  <pic:blipFill>
                    <a:blip r:embed="rId10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-1249045</wp:posOffset>
            </wp:positionV>
            <wp:extent cx="12700" cy="8890"/>
            <wp:wrapNone/>
            <wp:docPr id="1007" name="Picture 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pic:cNvPicPr>
                      <a:picLocks noChangeAspect="1" noChangeArrowheads="1"/>
                    </pic:cNvPicPr>
                  </pic:nvPicPr>
                  <pic:blipFill>
                    <a:blip r:embed="rId10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6460490</wp:posOffset>
            </wp:positionH>
            <wp:positionV relativeFrom="paragraph">
              <wp:posOffset>-1249045</wp:posOffset>
            </wp:positionV>
            <wp:extent cx="12700" cy="8890"/>
            <wp:wrapNone/>
            <wp:docPr id="1008" name="Picture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pic:cNvPicPr>
                      <a:picLocks noChangeAspect="1" noChangeArrowheads="1"/>
                    </pic:cNvPicPr>
                  </pic:nvPicPr>
                  <pic:blipFill>
                    <a:blip r:embed="rId10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-1249045</wp:posOffset>
            </wp:positionV>
            <wp:extent cx="12700" cy="8890"/>
            <wp:wrapNone/>
            <wp:docPr id="1009" name="Pictur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pic:cNvPicPr>
                      <a:picLocks noChangeAspect="1" noChangeArrowheads="1"/>
                    </pic:cNvPicPr>
                  </pic:nvPicPr>
                  <pic:blipFill>
                    <a:blip r:embed="rId10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-820420</wp:posOffset>
            </wp:positionV>
            <wp:extent cx="12700" cy="8890"/>
            <wp:wrapNone/>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pic:cNvPicPr>
                      <a:picLocks noChangeAspect="1" noChangeArrowheads="1"/>
                    </pic:cNvPicPr>
                  </pic:nvPicPr>
                  <pic:blipFill>
                    <a:blip r:embed="rId10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-820420</wp:posOffset>
            </wp:positionV>
            <wp:extent cx="12700" cy="8890"/>
            <wp:wrapNone/>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pic:cNvPicPr>
                      <a:picLocks noChangeAspect="1" noChangeArrowheads="1"/>
                    </pic:cNvPicPr>
                  </pic:nvPicPr>
                  <pic:blipFill>
                    <a:blip r:embed="rId10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5654675</wp:posOffset>
            </wp:positionH>
            <wp:positionV relativeFrom="paragraph">
              <wp:posOffset>-820420</wp:posOffset>
            </wp:positionV>
            <wp:extent cx="12700" cy="8890"/>
            <wp:wrapNone/>
            <wp:docPr id="1012" name="Picture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0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-820420</wp:posOffset>
            </wp:positionV>
            <wp:extent cx="12700" cy="8890"/>
            <wp:wrapNone/>
            <wp:docPr id="1013" name="Picture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pic:cNvPicPr>
                      <a:picLocks noChangeAspect="1" noChangeArrowheads="1"/>
                    </pic:cNvPicPr>
                  </pic:nvPicPr>
                  <pic:blipFill>
                    <a:blip r:embed="rId10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6460490</wp:posOffset>
            </wp:positionH>
            <wp:positionV relativeFrom="paragraph">
              <wp:posOffset>-820420</wp:posOffset>
            </wp:positionV>
            <wp:extent cx="12700" cy="8890"/>
            <wp:wrapNone/>
            <wp:docPr id="1014" name="Picture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0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-820420</wp:posOffset>
            </wp:positionV>
            <wp:extent cx="12700" cy="8890"/>
            <wp:wrapNone/>
            <wp:docPr id="1015" name="Picture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pic:cNvPicPr>
                      <a:picLocks noChangeAspect="1" noChangeArrowheads="1"/>
                    </pic:cNvPicPr>
                  </pic:nvPicPr>
                  <pic:blipFill>
                    <a:blip r:embed="rId10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16" name="Picture 1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pic:cNvPicPr>
                      <a:picLocks noChangeAspect="1" noChangeArrowheads="1"/>
                    </pic:cNvPicPr>
                  </pic:nvPicPr>
                  <pic:blipFill>
                    <a:blip r:embed="rId10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17" name="Picture 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pic:cNvPicPr>
                      <a:picLocks noChangeAspect="1" noChangeArrowheads="1"/>
                    </pic:cNvPicPr>
                  </pic:nvPicPr>
                  <pic:blipFill>
                    <a:blip r:embed="rId10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0" w:name="page101"/>
    <w:bookmarkEnd w:id="100"/>
    <w:p>
      <w:pPr>
        <w:ind w:right="220" w:firstLine="348"/>
        <w:spacing w:after="0" w:line="268" w:lineRule="auto"/>
        <w:rPr>
          <w:sz w:val="20"/>
          <w:szCs w:val="20"/>
          <w:color w:val="auto"/>
        </w:rPr>
      </w:pPr>
      <w:r>
        <w:rPr>
          <w:rFonts w:ascii="Arial" w:cs="Arial" w:eastAsia="Arial" w:hAnsi="Arial"/>
          <w:sz w:val="18"/>
          <w:szCs w:val="18"/>
          <w:color w:val="auto"/>
        </w:rPr>
        <w:t>The non-current portion of the Deferred Tax Assets as of January 31, 2005 and 2004 was $5,825 and $7,649, respectively, and are included with the Other Noncurrent Assets.</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21" w:lineRule="exact"/>
        <w:rPr>
          <w:sz w:val="20"/>
          <w:szCs w:val="20"/>
          <w:color w:val="auto"/>
        </w:rPr>
      </w:pPr>
    </w:p>
    <w:tbl>
      <w:tblPr>
        <w:tblLayout w:type="fixed"/>
        <w:tblInd w:w="16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800" w:type="dxa"/>
            <w:vAlign w:val="bottom"/>
          </w:tcPr>
          <w:p>
            <w:pPr>
              <w:spacing w:after="0"/>
              <w:rPr>
                <w:sz w:val="15"/>
                <w:szCs w:val="15"/>
                <w:color w:val="auto"/>
              </w:rPr>
            </w:pPr>
          </w:p>
        </w:tc>
        <w:tc>
          <w:tcPr>
            <w:tcW w:w="240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Years Ended January 31,</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5800" w:type="dxa"/>
            <w:vAlign w:val="bottom"/>
          </w:tcPr>
          <w:p>
            <w:pPr>
              <w:spacing w:after="0"/>
              <w:rPr>
                <w:sz w:val="23"/>
                <w:szCs w:val="23"/>
                <w:color w:val="auto"/>
              </w:rPr>
            </w:pPr>
          </w:p>
        </w:tc>
        <w:tc>
          <w:tcPr>
            <w:tcW w:w="580" w:type="dxa"/>
            <w:vAlign w:val="bottom"/>
          </w:tcPr>
          <w:p>
            <w:pPr>
              <w:jc w:val="right"/>
              <w:ind w:right="77"/>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3"/>
                <w:szCs w:val="23"/>
                <w:color w:val="auto"/>
              </w:rPr>
            </w:pPr>
          </w:p>
        </w:tc>
        <w:tc>
          <w:tcPr>
            <w:tcW w:w="560" w:type="dxa"/>
            <w:vAlign w:val="bottom"/>
          </w:tcPr>
          <w:p>
            <w:pPr>
              <w:jc w:val="right"/>
              <w:ind w:right="75"/>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23"/>
                <w:szCs w:val="23"/>
                <w:color w:val="auto"/>
              </w:rPr>
            </w:pPr>
          </w:p>
        </w:tc>
        <w:tc>
          <w:tcPr>
            <w:tcW w:w="580" w:type="dxa"/>
            <w:vAlign w:val="bottom"/>
          </w:tcPr>
          <w:p>
            <w:pPr>
              <w:jc w:val="right"/>
              <w:ind w:right="75"/>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at federal statutory rate</w:t>
            </w:r>
          </w:p>
        </w:tc>
        <w:tc>
          <w:tcPr>
            <w:tcW w:w="820" w:type="dxa"/>
            <w:vAlign w:val="bottom"/>
            <w:tcBorders>
              <w:right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34.0%</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34.0%</w:t>
            </w: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580" w:type="dxa"/>
            <w:vAlign w:val="bottom"/>
          </w:tcPr>
          <w:p>
            <w:pPr>
              <w:jc w:val="right"/>
              <w:spacing w:after="0"/>
              <w:rPr>
                <w:sz w:val="20"/>
                <w:szCs w:val="20"/>
                <w:color w:val="auto"/>
              </w:rPr>
            </w:pPr>
            <w:r>
              <w:rPr>
                <w:rFonts w:ascii="Arial" w:cs="Arial" w:eastAsia="Arial" w:hAnsi="Arial"/>
                <w:sz w:val="18"/>
                <w:szCs w:val="18"/>
                <w:color w:val="auto"/>
              </w:rPr>
              <w:t>2.4</w:t>
            </w:r>
          </w:p>
        </w:tc>
        <w:tc>
          <w:tcPr>
            <w:tcW w:w="2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2.7</w:t>
            </w:r>
          </w:p>
        </w:tc>
        <w:tc>
          <w:tcPr>
            <w:tcW w:w="2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taxes</w:t>
            </w:r>
          </w:p>
        </w:tc>
        <w:tc>
          <w:tcPr>
            <w:tcW w:w="820" w:type="dxa"/>
            <w:vAlign w:val="bottom"/>
            <w:tcBorders>
              <w:right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(19.7)</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(5.6)</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State taxes, net of federal benefit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(0.6)</w:t>
            </w:r>
          </w:p>
        </w:tc>
        <w:tc>
          <w:tcPr>
            <w:tcW w:w="560" w:type="dxa"/>
            <w:vAlign w:val="bottom"/>
          </w:tcPr>
          <w:p>
            <w:pPr>
              <w:jc w:val="right"/>
              <w:spacing w:after="0"/>
              <w:rPr>
                <w:sz w:val="20"/>
                <w:szCs w:val="20"/>
                <w:color w:val="auto"/>
              </w:rPr>
            </w:pPr>
            <w:r>
              <w:rPr>
                <w:rFonts w:ascii="Arial" w:cs="Arial" w:eastAsia="Arial" w:hAnsi="Arial"/>
                <w:sz w:val="18"/>
                <w:szCs w:val="18"/>
                <w:color w:val="auto"/>
              </w:rPr>
              <w:t>0.3</w:t>
            </w:r>
          </w:p>
        </w:tc>
        <w:tc>
          <w:tcPr>
            <w:tcW w:w="2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General business credits</w:t>
            </w:r>
          </w:p>
        </w:tc>
        <w:tc>
          <w:tcPr>
            <w:tcW w:w="820" w:type="dxa"/>
            <w:vAlign w:val="bottom"/>
            <w:tcBorders>
              <w:right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(3.3)</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Other</w:t>
            </w:r>
          </w:p>
        </w:tc>
        <w:tc>
          <w:tcPr>
            <w:tcW w:w="580" w:type="dxa"/>
            <w:vAlign w:val="bottom"/>
          </w:tcPr>
          <w:p>
            <w:pPr>
              <w:jc w:val="right"/>
              <w:spacing w:after="0"/>
              <w:rPr>
                <w:sz w:val="20"/>
                <w:szCs w:val="20"/>
                <w:color w:val="auto"/>
              </w:rPr>
            </w:pPr>
            <w:r>
              <w:rPr>
                <w:rFonts w:ascii="Arial" w:cs="Arial" w:eastAsia="Arial" w:hAnsi="Arial"/>
                <w:sz w:val="18"/>
                <w:szCs w:val="18"/>
                <w:color w:val="auto"/>
              </w:rPr>
              <w:t>0.3</w:t>
            </w:r>
          </w:p>
        </w:tc>
        <w:tc>
          <w:tcPr>
            <w:tcW w:w="2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0.1</w:t>
            </w:r>
          </w:p>
        </w:tc>
        <w:tc>
          <w:tcPr>
            <w:tcW w:w="2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820" w:type="dxa"/>
            <w:vAlign w:val="bottom"/>
            <w:tcBorders>
              <w:right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16.4%</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28.2%</w:t>
            </w: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8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6092190</wp:posOffset>
            </wp:positionH>
            <wp:positionV relativeFrom="paragraph">
              <wp:posOffset>-1549400</wp:posOffset>
            </wp:positionV>
            <wp:extent cx="12700" cy="8890"/>
            <wp:wrapNone/>
            <wp:docPr id="1018" name="Picture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pic:cNvPicPr>
                      <a:picLocks noChangeAspect="1" noChangeArrowheads="1"/>
                    </pic:cNvPicPr>
                  </pic:nvPicPr>
                  <pic:blipFill>
                    <a:blip r:embed="rId10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-1549400</wp:posOffset>
            </wp:positionV>
            <wp:extent cx="12700" cy="8890"/>
            <wp:wrapNone/>
            <wp:docPr id="1019" name="Picture 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10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5062855</wp:posOffset>
            </wp:positionH>
            <wp:positionV relativeFrom="paragraph">
              <wp:posOffset>-1300480</wp:posOffset>
            </wp:positionV>
            <wp:extent cx="12700" cy="8890"/>
            <wp:wrapNone/>
            <wp:docPr id="1020" name="Picture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10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-1300480</wp:posOffset>
            </wp:positionV>
            <wp:extent cx="12700" cy="8890"/>
            <wp:wrapNone/>
            <wp:docPr id="1021" name="Picture 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10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-1300480</wp:posOffset>
            </wp:positionV>
            <wp:extent cx="12700" cy="8890"/>
            <wp:wrapNone/>
            <wp:docPr id="1022" name="Picture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10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-1300480</wp:posOffset>
            </wp:positionV>
            <wp:extent cx="12700" cy="8890"/>
            <wp:wrapNone/>
            <wp:docPr id="1023" name="Picture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10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6092190</wp:posOffset>
            </wp:positionH>
            <wp:positionV relativeFrom="paragraph">
              <wp:posOffset>-1300480</wp:posOffset>
            </wp:positionV>
            <wp:extent cx="12700" cy="8890"/>
            <wp:wrapNone/>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10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-1300480</wp:posOffset>
            </wp:positionV>
            <wp:extent cx="12700" cy="8890"/>
            <wp:wrapNone/>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10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5062855</wp:posOffset>
            </wp:positionH>
            <wp:positionV relativeFrom="paragraph">
              <wp:posOffset>-323215</wp:posOffset>
            </wp:positionV>
            <wp:extent cx="12700" cy="8890"/>
            <wp:wrapNone/>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10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-323215</wp:posOffset>
            </wp:positionV>
            <wp:extent cx="12700" cy="8890"/>
            <wp:wrapNone/>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10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-323215</wp:posOffset>
            </wp:positionV>
            <wp:extent cx="12700" cy="8890"/>
            <wp:wrapNone/>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10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-323215</wp:posOffset>
            </wp:positionV>
            <wp:extent cx="12700" cy="8890"/>
            <wp:wrapNone/>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10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6092190</wp:posOffset>
            </wp:positionH>
            <wp:positionV relativeFrom="paragraph">
              <wp:posOffset>-323215</wp:posOffset>
            </wp:positionV>
            <wp:extent cx="12700" cy="8890"/>
            <wp:wrapNone/>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10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-323215</wp:posOffset>
            </wp:positionV>
            <wp:extent cx="12700" cy="8890"/>
            <wp:wrapNone/>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103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U.S. and non-U.S. components of income (loss) before income taxes are (in thousands):</w:t>
      </w:r>
    </w:p>
    <w:p>
      <w:pPr>
        <w:spacing w:after="0" w:line="221"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60" w:type="dxa"/>
            <w:vAlign w:val="bottom"/>
            <w:gridSpan w:val="5"/>
          </w:tcPr>
          <w:p>
            <w:pPr>
              <w:ind w:left="820"/>
              <w:spacing w:after="0"/>
              <w:rPr>
                <w:sz w:val="20"/>
                <w:szCs w:val="20"/>
                <w:color w:val="auto"/>
              </w:rPr>
            </w:pPr>
            <w:r>
              <w:rPr>
                <w:rFonts w:ascii="Arial" w:cs="Arial" w:eastAsia="Arial" w:hAnsi="Arial"/>
                <w:sz w:val="14"/>
                <w:szCs w:val="14"/>
                <w:b w:val="1"/>
                <w:bCs w:val="1"/>
                <w:color w:val="auto"/>
                <w:w w:val="85"/>
              </w:rPr>
              <w:t>Years Ended January 31,</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480" w:type="dxa"/>
            <w:vAlign w:val="bottom"/>
          </w:tcPr>
          <w:p>
            <w:pPr>
              <w:spacing w:after="0"/>
              <w:rPr>
                <w:sz w:val="23"/>
                <w:szCs w:val="23"/>
                <w:color w:val="auto"/>
              </w:rPr>
            </w:pPr>
          </w:p>
        </w:tc>
        <w:tc>
          <w:tcPr>
            <w:tcW w:w="208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80" w:type="dxa"/>
            <w:vAlign w:val="bottom"/>
          </w:tcPr>
          <w:p>
            <w:pPr>
              <w:jc w:val="right"/>
              <w:ind w:right="360"/>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jc w:val="right"/>
              <w:ind w:right="297"/>
              <w:spacing w:after="0"/>
              <w:rPr>
                <w:sz w:val="20"/>
                <w:szCs w:val="20"/>
                <w:color w:val="auto"/>
              </w:rPr>
            </w:pPr>
            <w:r>
              <w:rPr>
                <w:rFonts w:ascii="Arial" w:cs="Arial" w:eastAsia="Arial" w:hAnsi="Arial"/>
                <w:sz w:val="14"/>
                <w:szCs w:val="14"/>
                <w:b w:val="1"/>
                <w:bCs w:val="1"/>
                <w:color w:val="auto"/>
              </w:rPr>
              <w:t>2004</w:t>
            </w:r>
          </w:p>
        </w:tc>
        <w:tc>
          <w:tcPr>
            <w:tcW w:w="1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20" w:type="dxa"/>
            <w:vAlign w:val="bottom"/>
          </w:tcPr>
          <w:p>
            <w:pPr>
              <w:jc w:val="right"/>
              <w:ind w:right="317"/>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U.S. operations</w:t>
            </w:r>
          </w:p>
        </w:tc>
        <w:tc>
          <w:tcPr>
            <w:tcW w:w="2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5,187</w:t>
            </w:r>
          </w:p>
        </w:tc>
        <w:tc>
          <w:tcPr>
            <w:tcW w:w="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3,309</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(15,287)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Non-U.S. operations</w:t>
            </w:r>
          </w:p>
        </w:tc>
        <w:tc>
          <w:tcPr>
            <w:tcW w:w="20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164,317</w:t>
            </w:r>
          </w:p>
        </w:tc>
        <w:tc>
          <w:tcPr>
            <w:tcW w:w="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60,043</w:t>
            </w:r>
          </w:p>
        </w:tc>
        <w:tc>
          <w:tcPr>
            <w:tcW w:w="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(48,363)</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CCEEFF"/>
          </w:tcPr>
          <w:p>
            <w:pPr>
              <w:spacing w:after="0"/>
              <w:rPr>
                <w:sz w:val="18"/>
                <w:szCs w:val="18"/>
                <w:color w:val="auto"/>
              </w:rPr>
            </w:pPr>
          </w:p>
        </w:tc>
        <w:tc>
          <w:tcPr>
            <w:tcW w:w="2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169,504</w:t>
            </w:r>
          </w:p>
        </w:tc>
        <w:tc>
          <w:tcPr>
            <w:tcW w:w="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63,352</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(63,650)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80" w:type="dxa"/>
            <w:vAlign w:val="bottom"/>
          </w:tcPr>
          <w:p>
            <w:pPr>
              <w:spacing w:after="0"/>
              <w:rPr>
                <w:sz w:val="5"/>
                <w:szCs w:val="5"/>
                <w:color w:val="auto"/>
              </w:rPr>
            </w:pPr>
          </w:p>
        </w:tc>
        <w:tc>
          <w:tcPr>
            <w:tcW w:w="208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6469380</wp:posOffset>
            </wp:positionH>
            <wp:positionV relativeFrom="paragraph">
              <wp:posOffset>-1000760</wp:posOffset>
            </wp:positionV>
            <wp:extent cx="12700" cy="8890"/>
            <wp:wrapNone/>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10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-1000760</wp:posOffset>
            </wp:positionV>
            <wp:extent cx="12700" cy="8890"/>
            <wp:wrapNone/>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10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-751840</wp:posOffset>
            </wp:positionV>
            <wp:extent cx="12700" cy="8890"/>
            <wp:wrapNone/>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10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-751840</wp:posOffset>
            </wp:positionV>
            <wp:extent cx="12700" cy="8890"/>
            <wp:wrapNone/>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10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-751840</wp:posOffset>
            </wp:positionV>
            <wp:extent cx="12700" cy="8890"/>
            <wp:wrapNone/>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10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-751840</wp:posOffset>
            </wp:positionV>
            <wp:extent cx="12700" cy="8890"/>
            <wp:wrapNone/>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10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-751840</wp:posOffset>
            </wp:positionV>
            <wp:extent cx="12700" cy="8890"/>
            <wp:wrapNone/>
            <wp:docPr id="1038" name="Picture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pic:cNvPicPr>
                      <a:picLocks noChangeAspect="1" noChangeArrowheads="1"/>
                    </pic:cNvPicPr>
                  </pic:nvPicPr>
                  <pic:blipFill>
                    <a:blip r:embed="rId10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5800090</wp:posOffset>
            </wp:positionH>
            <wp:positionV relativeFrom="paragraph">
              <wp:posOffset>-751840</wp:posOffset>
            </wp:positionV>
            <wp:extent cx="12700" cy="8890"/>
            <wp:wrapNone/>
            <wp:docPr id="1039" name="Picture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pic:cNvPicPr>
                      <a:picLocks noChangeAspect="1" noChangeArrowheads="1"/>
                    </pic:cNvPicPr>
                  </pic:nvPicPr>
                  <pic:blipFill>
                    <a:blip r:embed="rId10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-323215</wp:posOffset>
            </wp:positionV>
            <wp:extent cx="12700" cy="8890"/>
            <wp:wrapNone/>
            <wp:docPr id="1040" name="Picture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pic:cNvPicPr>
                      <a:picLocks noChangeAspect="1" noChangeArrowheads="1"/>
                    </pic:cNvPicPr>
                  </pic:nvPicPr>
                  <pic:blipFill>
                    <a:blip r:embed="rId10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-323215</wp:posOffset>
            </wp:positionV>
            <wp:extent cx="12700" cy="8890"/>
            <wp:wrapNone/>
            <wp:docPr id="1041" name="Picture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pic:cNvPicPr>
                      <a:picLocks noChangeAspect="1" noChangeArrowheads="1"/>
                    </pic:cNvPicPr>
                  </pic:nvPicPr>
                  <pic:blipFill>
                    <a:blip r:embed="rId10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-323215</wp:posOffset>
            </wp:positionV>
            <wp:extent cx="12700" cy="8890"/>
            <wp:wrapNone/>
            <wp:docPr id="1042"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pic:cNvPicPr>
                      <a:picLocks noChangeAspect="1" noChangeArrowheads="1"/>
                    </pic:cNvPicPr>
                  </pic:nvPicPr>
                  <pic:blipFill>
                    <a:blip r:embed="rId10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-323215</wp:posOffset>
            </wp:positionV>
            <wp:extent cx="12700" cy="8890"/>
            <wp:wrapNone/>
            <wp:docPr id="1043" name="Pictur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pic:cNvPicPr>
                      <a:picLocks noChangeAspect="1" noChangeArrowheads="1"/>
                    </pic:cNvPicPr>
                  </pic:nvPicPr>
                  <pic:blipFill>
                    <a:blip r:embed="rId10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-323215</wp:posOffset>
            </wp:positionV>
            <wp:extent cx="12700" cy="8890"/>
            <wp:wrapNone/>
            <wp:docPr id="1044" name="Pictur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10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5800090</wp:posOffset>
            </wp:positionH>
            <wp:positionV relativeFrom="paragraph">
              <wp:posOffset>-323215</wp:posOffset>
            </wp:positionV>
            <wp:extent cx="12700" cy="8890"/>
            <wp:wrapNone/>
            <wp:docPr id="1045" name="Pictur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pic:cNvPicPr>
                      <a:picLocks noChangeAspect="1" noChangeArrowheads="1"/>
                    </pic:cNvPicPr>
                  </pic:nvPicPr>
                  <pic:blipFill>
                    <a:blip r:embed="rId10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January 31, 2005, the Company had net operating loss carryforwards available to offset future taxable income of approximately $7.9 million,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$34.2 million and $6.1 million for foreign, U.S. Federal and State of California purposes, respectively. The foreign losses will carryforward without a time limit.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Federal carryforwards will begin to expire in 2019, and the California carryforwards will begin to expire in 2008, if not utilized before these dates.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Additionally, the Company has Federal research tax credit carryforwards for U.S. Federal income tax return purposes of approximately $23.6 million that expire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through 2025. As of January 31, 2005, the Company has unused California research tax credits of approximately $29.3 million that will carry forward indefinitely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until utilized.</w:t>
      </w:r>
    </w:p>
    <w:p>
      <w:pPr>
        <w:spacing w:after="0" w:line="219" w:lineRule="exact"/>
        <w:rPr>
          <w:sz w:val="20"/>
          <w:szCs w:val="20"/>
          <w:color w:val="auto"/>
        </w:rPr>
      </w:pPr>
    </w:p>
    <w:p>
      <w:pPr>
        <w:ind w:right="80" w:firstLine="341"/>
        <w:spacing w:after="0" w:line="318" w:lineRule="auto"/>
        <w:rPr>
          <w:sz w:val="20"/>
          <w:szCs w:val="20"/>
          <w:color w:val="auto"/>
        </w:rPr>
      </w:pPr>
      <w:r>
        <w:rPr>
          <w:rFonts w:ascii="Arial" w:cs="Arial" w:eastAsia="Arial" w:hAnsi="Arial"/>
          <w:sz w:val="15"/>
          <w:szCs w:val="15"/>
          <w:color w:val="auto"/>
        </w:rPr>
        <w:t>A valuation allowance has been provided for these pre-acquisition net operating losses of certain acquired companies and for certain research and tax credit carryforwards. SFAS 109 requires that a valuation allowance be established when after considering both positive and negative evidence as well as tax planning strategies and future taxable income that is more likely than not that all or a portion of deferred tax assets will not be realized. When benefits of $4.2 million related to pre-acquisition periods of businesses acquired by the Company are realized, an adjustment will be made to goodwill, intangible assets and fixed assets. Any balance in excess of this will result in an extraordinary gain. Recognition of other tax benefits will reduce the income tax payable when realized.</w:t>
      </w:r>
    </w:p>
    <w:p>
      <w:pPr>
        <w:spacing w:after="0" w:line="154" w:lineRule="exact"/>
        <w:rPr>
          <w:sz w:val="20"/>
          <w:szCs w:val="20"/>
          <w:color w:val="auto"/>
        </w:rPr>
      </w:pPr>
    </w:p>
    <w:p>
      <w:pPr>
        <w:jc w:val="both"/>
        <w:ind w:right="320" w:firstLine="341"/>
        <w:spacing w:after="0" w:line="298"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46" name="Picture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pic:cNvPicPr>
                      <a:picLocks noChangeAspect="1" noChangeArrowheads="1"/>
                    </pic:cNvPicPr>
                  </pic:nvPicPr>
                  <pic:blipFill>
                    <a:blip r:embed="rId10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color w:val="auto"/>
        </w:rPr>
        <w:t>assessments or judgments against the Company that could materially impact its tax liability and/or its effective income tax rate.</w:t>
      </w:r>
    </w:p>
    <w:p>
      <w:pPr>
        <w:spacing w:after="0" w:line="225" w:lineRule="exact"/>
        <w:rPr>
          <w:sz w:val="20"/>
          <w:szCs w:val="20"/>
          <w:color w:val="auto"/>
        </w:rPr>
      </w:pPr>
    </w:p>
    <w:p>
      <w:pPr>
        <w:ind w:right="620" w:firstLine="348"/>
        <w:spacing w:after="0" w:line="268" w:lineRule="auto"/>
        <w:rPr>
          <w:sz w:val="20"/>
          <w:szCs w:val="20"/>
          <w:color w:val="auto"/>
        </w:rPr>
      </w:pPr>
      <w:r>
        <w:rPr>
          <w:rFonts w:ascii="Arial" w:cs="Arial" w:eastAsia="Arial" w:hAnsi="Arial"/>
          <w:sz w:val="18"/>
          <w:szCs w:val="18"/>
          <w:color w:val="auto"/>
        </w:rPr>
        <w:t>The Company has an undertaking from the government of Bermuda that it will not be subject to tax on its income and capital gains in Bermuda until March 28, 2016.</w:t>
      </w:r>
    </w:p>
    <w:p>
      <w:pPr>
        <w:spacing w:after="0" w:line="186" w:lineRule="exact"/>
        <w:rPr>
          <w:sz w:val="20"/>
          <w:szCs w:val="20"/>
          <w:color w:val="auto"/>
        </w:rPr>
      </w:pPr>
    </w:p>
    <w:p>
      <w:pPr>
        <w:ind w:right="40" w:firstLine="351"/>
        <w:spacing w:after="0" w:line="288" w:lineRule="auto"/>
        <w:rPr>
          <w:sz w:val="20"/>
          <w:szCs w:val="20"/>
          <w:color w:val="auto"/>
        </w:rPr>
      </w:pPr>
      <w:r>
        <w:rPr>
          <w:rFonts w:ascii="Arial" w:cs="Arial" w:eastAsia="Arial" w:hAnsi="Arial"/>
          <w:sz w:val="16"/>
          <w:szCs w:val="16"/>
          <w:color w:val="auto"/>
        </w:rPr>
        <w:t>Effective July 1, 1999, the Company's Singapore operations have been granted Pioneer Status for a term of eight years, which reduces the amount of Singapore taxes the Company is required to pay on certain qualifying non-investment income. The Singapore Economic Development Board on September 27, 2004 agreed to extend the term to 10 years. As a result, the Company anticipates that a significant portion of the income it earns in Singapore during this period will be exempt from Singapore income tax. The Company is required to meet several requirements as to investment, headcount and activities in Singapore to retain this status. If the Company's Pioneer Status is terminated early, its financial results could be harmed. In addition, on October 1, 2004, the Economic Development Board of Singapore agreed to grant the Company's Singapore subsidiary a Development and Expansion Incentive for a term of 5 years, commencing July 1, 2004, under which a portion of the income of the subsidiary which does not qualify for Pioneer Status will be taxed at a reduced rate of 10%. The Company agreed to maintain Singapore as its Asia Pacific headquarters and to meet several requirements relating to headcount, production activities and spending.</w:t>
      </w:r>
    </w:p>
    <w:p>
      <w:pPr>
        <w:spacing w:after="0" w:line="174" w:lineRule="exact"/>
        <w:rPr>
          <w:sz w:val="20"/>
          <w:szCs w:val="20"/>
          <w:color w:val="auto"/>
        </w:rPr>
      </w:pPr>
    </w:p>
    <w:p>
      <w:pPr>
        <w:ind w:firstLine="348"/>
        <w:spacing w:after="0" w:line="255" w:lineRule="auto"/>
        <w:rPr>
          <w:sz w:val="20"/>
          <w:szCs w:val="20"/>
          <w:color w:val="auto"/>
        </w:rPr>
      </w:pPr>
      <w:r>
        <w:rPr>
          <w:rFonts w:ascii="Arial" w:cs="Arial" w:eastAsia="Arial" w:hAnsi="Arial"/>
          <w:sz w:val="18"/>
          <w:szCs w:val="18"/>
          <w:color w:val="auto"/>
        </w:rPr>
        <w:t>The Company acquired MSIL on January 21, 2001 and RADLAN on June 27, 2003. MSIL's and RADLAN's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 in Israel. This tax holiday is conditional upon the Company continuing to meet specified conditions stipulated by the Investment Law. The primary condition is a requirement to make a minimum amount of investments in fixed assets in Israel.</w:t>
      </w:r>
    </w:p>
    <w:p>
      <w:pPr>
        <w:spacing w:after="0" w:line="197" w:lineRule="exact"/>
        <w:rPr>
          <w:sz w:val="20"/>
          <w:szCs w:val="20"/>
          <w:color w:val="auto"/>
        </w:rPr>
      </w:pPr>
    </w:p>
    <w:p>
      <w:pPr>
        <w:ind w:right="300" w:firstLine="351"/>
        <w:spacing w:after="0" w:line="259"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the main U.S. subsidiary of Marvell Technology Group Ltd., for the fiscal years ended January 31, 2003, 2002 and 2001. The audit was completed in fiscal 2005 with no material adverse impact on the Company's consolidated financial position or results of operations.</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47" name="Picture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10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102" w:name="page103"/>
    <w:bookmarkEnd w:id="102"/>
    <w:p>
      <w:pPr>
        <w:spacing w:after="0"/>
        <w:rPr>
          <w:sz w:val="20"/>
          <w:szCs w:val="20"/>
          <w:color w:val="auto"/>
        </w:rPr>
      </w:pPr>
      <w:r>
        <w:rPr>
          <w:rFonts w:ascii="Arial" w:cs="Arial" w:eastAsia="Arial" w:hAnsi="Arial"/>
          <w:sz w:val="18"/>
          <w:szCs w:val="18"/>
          <w:b w:val="1"/>
          <w:bCs w:val="1"/>
          <w:color w:val="auto"/>
        </w:rPr>
        <w:t>Note 11 — Commitments and Contingencies:</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225" w:lineRule="exact"/>
        <w:rPr>
          <w:sz w:val="20"/>
          <w:szCs w:val="20"/>
          <w:color w:val="auto"/>
        </w:rPr>
      </w:pPr>
    </w:p>
    <w:p>
      <w:pPr>
        <w:ind w:right="480" w:firstLine="348"/>
        <w:spacing w:after="0" w:line="332" w:lineRule="auto"/>
        <w:rPr>
          <w:sz w:val="20"/>
          <w:szCs w:val="20"/>
          <w:color w:val="auto"/>
        </w:rPr>
      </w:pPr>
      <w:r>
        <w:rPr>
          <w:rFonts w:ascii="Arial" w:cs="Arial" w:eastAsia="Arial" w:hAnsi="Arial"/>
          <w:sz w:val="16"/>
          <w:szCs w:val="16"/>
          <w:color w:val="auto"/>
        </w:rPr>
        <w:t>The Company leases some of its facilities under noncancelable operating leases and leases certain property and equipment under capital leases. Future minimum lease payments under the operating and capital leases as of January 31, 2005 are presented in the following table (in thousands):</w:t>
      </w:r>
    </w:p>
    <w:p>
      <w:pPr>
        <w:spacing w:after="0" w:line="122" w:lineRule="exact"/>
        <w:rPr>
          <w:sz w:val="20"/>
          <w:szCs w:val="20"/>
          <w:color w:val="auto"/>
        </w:rPr>
      </w:pPr>
    </w:p>
    <w:tbl>
      <w:tblPr>
        <w:tblLayout w:type="fixed"/>
        <w:tblInd w:w="7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jc w:val="center"/>
              <w:ind w:right="138"/>
              <w:spacing w:after="0"/>
              <w:rPr>
                <w:sz w:val="20"/>
                <w:szCs w:val="20"/>
                <w:color w:val="auto"/>
              </w:rPr>
            </w:pPr>
            <w:r>
              <w:rPr>
                <w:rFonts w:ascii="Arial" w:cs="Arial" w:eastAsia="Arial" w:hAnsi="Arial"/>
                <w:sz w:val="14"/>
                <w:szCs w:val="14"/>
                <w:b w:val="1"/>
                <w:bCs w:val="1"/>
                <w:color w:val="auto"/>
                <w:w w:val="88"/>
              </w:rPr>
              <w:t>Net</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40" w:type="dxa"/>
            <w:vAlign w:val="bottom"/>
          </w:tcPr>
          <w:p>
            <w:pPr>
              <w:jc w:val="right"/>
              <w:ind w:right="177"/>
              <w:spacing w:after="0" w:line="149" w:lineRule="exact"/>
              <w:rPr>
                <w:sz w:val="20"/>
                <w:szCs w:val="20"/>
                <w:color w:val="auto"/>
              </w:rPr>
            </w:pPr>
            <w:r>
              <w:rPr>
                <w:rFonts w:ascii="Arial" w:cs="Arial" w:eastAsia="Arial" w:hAnsi="Arial"/>
                <w:sz w:val="14"/>
                <w:szCs w:val="14"/>
                <w:b w:val="1"/>
                <w:bCs w:val="1"/>
                <w:color w:val="auto"/>
                <w:w w:val="99"/>
              </w:rPr>
              <w:t>Operating</w:t>
            </w:r>
          </w:p>
        </w:tc>
        <w:tc>
          <w:tcPr>
            <w:tcW w:w="1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2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91"/>
              </w:rPr>
              <w:t>Sublease</w:t>
            </w:r>
          </w:p>
        </w:tc>
        <w:tc>
          <w:tcPr>
            <w:tcW w:w="220" w:type="dxa"/>
            <w:vAlign w:val="bottom"/>
          </w:tcPr>
          <w:p>
            <w:pPr>
              <w:spacing w:after="0"/>
              <w:rPr>
                <w:sz w:val="12"/>
                <w:szCs w:val="12"/>
                <w:color w:val="auto"/>
              </w:rPr>
            </w:pPr>
          </w:p>
        </w:tc>
        <w:tc>
          <w:tcPr>
            <w:tcW w:w="1020" w:type="dxa"/>
            <w:vAlign w:val="bottom"/>
          </w:tcPr>
          <w:p>
            <w:pPr>
              <w:jc w:val="center"/>
              <w:ind w:right="138"/>
              <w:spacing w:after="0" w:line="149" w:lineRule="exact"/>
              <w:rPr>
                <w:sz w:val="20"/>
                <w:szCs w:val="20"/>
                <w:color w:val="auto"/>
              </w:rPr>
            </w:pPr>
            <w:r>
              <w:rPr>
                <w:rFonts w:ascii="Arial" w:cs="Arial" w:eastAsia="Arial" w:hAnsi="Arial"/>
                <w:sz w:val="14"/>
                <w:szCs w:val="14"/>
                <w:b w:val="1"/>
                <w:bCs w:val="1"/>
                <w:color w:val="auto"/>
                <w:w w:val="90"/>
              </w:rPr>
              <w:t>Operating</w:t>
            </w: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rPr>
              <w:t>Capital</w:t>
            </w:r>
          </w:p>
        </w:tc>
        <w:tc>
          <w:tcPr>
            <w:tcW w:w="0" w:type="dxa"/>
            <w:vAlign w:val="bottom"/>
          </w:tcPr>
          <w:p>
            <w:pPr>
              <w:spacing w:after="0"/>
              <w:rPr>
                <w:sz w:val="1"/>
                <w:szCs w:val="1"/>
                <w:color w:val="auto"/>
              </w:rPr>
            </w:pPr>
          </w:p>
        </w:tc>
      </w:tr>
      <w:tr>
        <w:trPr>
          <w:trHeight w:val="174"/>
        </w:trPr>
        <w:tc>
          <w:tcPr>
            <w:tcW w:w="452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40" w:type="dxa"/>
            <w:vAlign w:val="bottom"/>
          </w:tcPr>
          <w:p>
            <w:pPr>
              <w:jc w:val="right"/>
              <w:ind w:right="297"/>
              <w:spacing w:after="0"/>
              <w:rPr>
                <w:sz w:val="20"/>
                <w:szCs w:val="20"/>
                <w:color w:val="auto"/>
              </w:rPr>
            </w:pPr>
            <w:r>
              <w:rPr>
                <w:rFonts w:ascii="Arial" w:cs="Arial" w:eastAsia="Arial" w:hAnsi="Arial"/>
                <w:sz w:val="14"/>
                <w:szCs w:val="14"/>
                <w:b w:val="1"/>
                <w:bCs w:val="1"/>
                <w:color w:val="auto"/>
              </w:rPr>
              <w:t>Leases</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Income</w:t>
            </w:r>
          </w:p>
        </w:tc>
        <w:tc>
          <w:tcPr>
            <w:tcW w:w="220" w:type="dxa"/>
            <w:vAlign w:val="bottom"/>
          </w:tcPr>
          <w:p>
            <w:pPr>
              <w:spacing w:after="0"/>
              <w:rPr>
                <w:sz w:val="15"/>
                <w:szCs w:val="15"/>
                <w:color w:val="auto"/>
              </w:rPr>
            </w:pPr>
          </w:p>
        </w:tc>
        <w:tc>
          <w:tcPr>
            <w:tcW w:w="1020" w:type="dxa"/>
            <w:vAlign w:val="bottom"/>
          </w:tcPr>
          <w:p>
            <w:pPr>
              <w:jc w:val="center"/>
              <w:ind w:right="118"/>
              <w:spacing w:after="0"/>
              <w:rPr>
                <w:sz w:val="20"/>
                <w:szCs w:val="20"/>
                <w:color w:val="auto"/>
              </w:rPr>
            </w:pPr>
            <w:r>
              <w:rPr>
                <w:rFonts w:ascii="Arial" w:cs="Arial" w:eastAsia="Arial" w:hAnsi="Arial"/>
                <w:sz w:val="14"/>
                <w:szCs w:val="14"/>
                <w:b w:val="1"/>
                <w:bCs w:val="1"/>
                <w:color w:val="auto"/>
                <w:w w:val="79"/>
              </w:rPr>
              <w:t>Leases</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Leases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2006</w:t>
            </w:r>
          </w:p>
        </w:tc>
        <w:tc>
          <w:tcPr>
            <w:tcW w:w="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11,970</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(570)</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11,400</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2007</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5,500</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(518)</w:t>
            </w:r>
          </w:p>
        </w:tc>
        <w:tc>
          <w:tcPr>
            <w:tcW w:w="2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4,982</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7,307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2008</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4,362</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(579)</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3,783</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2009</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3,685</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(621)</w:t>
            </w:r>
          </w:p>
        </w:tc>
        <w:tc>
          <w:tcPr>
            <w:tcW w:w="2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3,064</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2,002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3,118</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(652)</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2,466</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Thereafter</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7,378</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(624)</w:t>
            </w: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6,754</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36,013</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(3,564)</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32,449</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26,130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(1,336)</w:t>
            </w:r>
          </w:p>
        </w:tc>
        <w:tc>
          <w:tcPr>
            <w:tcW w:w="0" w:type="dxa"/>
            <w:vAlign w:val="bottom"/>
          </w:tcPr>
          <w:p>
            <w:pPr>
              <w:spacing w:after="0"/>
              <w:rPr>
                <w:sz w:val="1"/>
                <w:szCs w:val="1"/>
                <w:color w:val="auto"/>
              </w:rPr>
            </w:pPr>
          </w:p>
        </w:tc>
      </w:tr>
      <w:tr>
        <w:trPr>
          <w:trHeight w:val="61"/>
        </w:trPr>
        <w:tc>
          <w:tcPr>
            <w:tcW w:w="452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84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0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520" w:type="dxa"/>
            <w:vAlign w:val="bottom"/>
            <w:gridSpan w:val="2"/>
            <w:vMerge w:val="continue"/>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45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Present value of future minimum lease payments</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24,794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Less: current portion</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(13,204)</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5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80" w:type="dxa"/>
            <w:vAlign w:val="bottom"/>
          </w:tcPr>
          <w:p>
            <w:pPr>
              <w:spacing w:after="0"/>
              <w:rPr>
                <w:sz w:val="5"/>
                <w:szCs w:val="5"/>
                <w:color w:val="auto"/>
              </w:rPr>
            </w:pPr>
          </w:p>
        </w:tc>
        <w:tc>
          <w:tcPr>
            <w:tcW w:w="9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94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3347720</wp:posOffset>
            </wp:positionH>
            <wp:positionV relativeFrom="paragraph">
              <wp:posOffset>-2329815</wp:posOffset>
            </wp:positionV>
            <wp:extent cx="12700" cy="8890"/>
            <wp:wrapNone/>
            <wp:docPr id="1048" name="Picture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pic:cNvPicPr>
                      <a:picLocks noChangeAspect="1" noChangeArrowheads="1"/>
                    </pic:cNvPicPr>
                  </pic:nvPicPr>
                  <pic:blipFill>
                    <a:blip r:embed="rId10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474980</wp:posOffset>
            </wp:positionH>
            <wp:positionV relativeFrom="paragraph">
              <wp:posOffset>-2329815</wp:posOffset>
            </wp:positionV>
            <wp:extent cx="12700" cy="8890"/>
            <wp:wrapNone/>
            <wp:docPr id="1049" name="Picture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pic:cNvPicPr>
                      <a:picLocks noChangeAspect="1" noChangeArrowheads="1"/>
                    </pic:cNvPicPr>
                  </pic:nvPicPr>
                  <pic:blipFill>
                    <a:blip r:embed="rId10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-2329815</wp:posOffset>
            </wp:positionV>
            <wp:extent cx="12700" cy="8890"/>
            <wp:wrapNone/>
            <wp:docPr id="1050" name="Picture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0"/>
                    <pic:cNvPicPr>
                      <a:picLocks noChangeAspect="1" noChangeArrowheads="1"/>
                    </pic:cNvPicPr>
                  </pic:nvPicPr>
                  <pic:blipFill>
                    <a:blip r:embed="rId10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3475990</wp:posOffset>
            </wp:positionH>
            <wp:positionV relativeFrom="paragraph">
              <wp:posOffset>-2329815</wp:posOffset>
            </wp:positionV>
            <wp:extent cx="12700" cy="8890"/>
            <wp:wrapNone/>
            <wp:docPr id="1051" name="Picture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1"/>
                    <pic:cNvPicPr>
                      <a:picLocks noChangeAspect="1" noChangeArrowheads="1"/>
                    </pic:cNvPicPr>
                  </pic:nvPicPr>
                  <pic:blipFill>
                    <a:blip r:embed="rId10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-2329815</wp:posOffset>
            </wp:positionV>
            <wp:extent cx="12700" cy="8890"/>
            <wp:wrapNone/>
            <wp:docPr id="1052" name="Picture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
                    <pic:cNvPicPr>
                      <a:picLocks noChangeAspect="1" noChangeArrowheads="1"/>
                    </pic:cNvPicPr>
                  </pic:nvPicPr>
                  <pic:blipFill>
                    <a:blip r:embed="rId10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-2329815</wp:posOffset>
            </wp:positionV>
            <wp:extent cx="12700" cy="8890"/>
            <wp:wrapNone/>
            <wp:docPr id="1053" name="Pictur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
                    <pic:cNvPicPr>
                      <a:picLocks noChangeAspect="1" noChangeArrowheads="1"/>
                    </pic:cNvPicPr>
                  </pic:nvPicPr>
                  <pic:blipFill>
                    <a:blip r:embed="rId10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-2329815</wp:posOffset>
            </wp:positionV>
            <wp:extent cx="12700" cy="8890"/>
            <wp:wrapNone/>
            <wp:docPr id="1054" name="Picture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pic:cNvPicPr>
                      <a:picLocks noChangeAspect="1" noChangeArrowheads="1"/>
                    </pic:cNvPicPr>
                  </pic:nvPicPr>
                  <pic:blipFill>
                    <a:blip r:embed="rId10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5071110</wp:posOffset>
            </wp:positionH>
            <wp:positionV relativeFrom="paragraph">
              <wp:posOffset>-2329815</wp:posOffset>
            </wp:positionV>
            <wp:extent cx="12700" cy="8890"/>
            <wp:wrapNone/>
            <wp:docPr id="1055" name="Picture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pic:cNvPicPr>
                      <a:picLocks noChangeAspect="1" noChangeArrowheads="1"/>
                    </pic:cNvPicPr>
                  </pic:nvPicPr>
                  <pic:blipFill>
                    <a:blip r:embed="rId10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-2329815</wp:posOffset>
            </wp:positionV>
            <wp:extent cx="12700" cy="8890"/>
            <wp:wrapNone/>
            <wp:docPr id="1056" name="Picture 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6"/>
                    <pic:cNvPicPr>
                      <a:picLocks noChangeAspect="1" noChangeArrowheads="1"/>
                    </pic:cNvPicPr>
                  </pic:nvPicPr>
                  <pic:blipFill>
                    <a:blip r:embed="rId10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-2329815</wp:posOffset>
            </wp:positionV>
            <wp:extent cx="12700" cy="8890"/>
            <wp:wrapNone/>
            <wp:docPr id="1057" name="Picture 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7"/>
                    <pic:cNvPicPr>
                      <a:picLocks noChangeAspect="1" noChangeArrowheads="1"/>
                    </pic:cNvPicPr>
                  </pic:nvPicPr>
                  <pic:blipFill>
                    <a:blip r:embed="rId10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4179570</wp:posOffset>
            </wp:positionH>
            <wp:positionV relativeFrom="paragraph">
              <wp:posOffset>-1351915</wp:posOffset>
            </wp:positionV>
            <wp:extent cx="12700" cy="8890"/>
            <wp:wrapNone/>
            <wp:docPr id="1058" name="Picture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8"/>
                    <pic:cNvPicPr>
                      <a:picLocks noChangeAspect="1" noChangeArrowheads="1"/>
                    </pic:cNvPicPr>
                  </pic:nvPicPr>
                  <pic:blipFill>
                    <a:blip r:embed="rId10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3475990</wp:posOffset>
            </wp:positionH>
            <wp:positionV relativeFrom="paragraph">
              <wp:posOffset>-1351915</wp:posOffset>
            </wp:positionV>
            <wp:extent cx="12700" cy="8890"/>
            <wp:wrapNone/>
            <wp:docPr id="1059" name="Picture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pic:cNvPicPr>
                      <a:picLocks noChangeAspect="1" noChangeArrowheads="1"/>
                    </pic:cNvPicPr>
                  </pic:nvPicPr>
                  <pic:blipFill>
                    <a:blip r:embed="rId10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-1351915</wp:posOffset>
            </wp:positionV>
            <wp:extent cx="12700" cy="8890"/>
            <wp:wrapNone/>
            <wp:docPr id="1060" name="Picture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pic:cNvPicPr>
                      <a:picLocks noChangeAspect="1" noChangeArrowheads="1"/>
                    </pic:cNvPicPr>
                  </pic:nvPicPr>
                  <pic:blipFill>
                    <a:blip r:embed="rId10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-1351915</wp:posOffset>
            </wp:positionV>
            <wp:extent cx="12700" cy="8890"/>
            <wp:wrapNone/>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pic:cNvPicPr>
                      <a:picLocks noChangeAspect="1" noChangeArrowheads="1"/>
                    </pic:cNvPicPr>
                  </pic:nvPicPr>
                  <pic:blipFill>
                    <a:blip r:embed="rId10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-1351915</wp:posOffset>
            </wp:positionV>
            <wp:extent cx="12700" cy="8890"/>
            <wp:wrapNone/>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pic:cNvPicPr>
                      <a:picLocks noChangeAspect="1" noChangeArrowheads="1"/>
                    </pic:cNvPicPr>
                  </pic:nvPicPr>
                  <pic:blipFill>
                    <a:blip r:embed="rId10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5071110</wp:posOffset>
            </wp:positionH>
            <wp:positionV relativeFrom="paragraph">
              <wp:posOffset>-1351915</wp:posOffset>
            </wp:positionV>
            <wp:extent cx="12700" cy="8890"/>
            <wp:wrapNone/>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
                    <pic:cNvPicPr>
                      <a:picLocks noChangeAspect="1" noChangeArrowheads="1"/>
                    </pic:cNvPicPr>
                  </pic:nvPicPr>
                  <pic:blipFill>
                    <a:blip r:embed="rId10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-1351915</wp:posOffset>
            </wp:positionV>
            <wp:extent cx="12700" cy="8890"/>
            <wp:wrapNone/>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pic:cNvPicPr>
                      <a:picLocks noChangeAspect="1" noChangeArrowheads="1"/>
                    </pic:cNvPicPr>
                  </pic:nvPicPr>
                  <pic:blipFill>
                    <a:blip r:embed="rId10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-1351915</wp:posOffset>
            </wp:positionV>
            <wp:extent cx="12700" cy="8890"/>
            <wp:wrapNone/>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pic:cNvPicPr>
                      <a:picLocks noChangeAspect="1" noChangeArrowheads="1"/>
                    </pic:cNvPicPr>
                  </pic:nvPicPr>
                  <pic:blipFill>
                    <a:blip r:embed="rId10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-751840</wp:posOffset>
            </wp:positionV>
            <wp:extent cx="12700" cy="8890"/>
            <wp:wrapNone/>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pic:cNvPicPr>
                      <a:picLocks noChangeAspect="1" noChangeArrowheads="1"/>
                    </pic:cNvPicPr>
                  </pic:nvPicPr>
                  <pic:blipFill>
                    <a:blip r:embed="rId10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-751840</wp:posOffset>
            </wp:positionV>
            <wp:extent cx="12700" cy="8890"/>
            <wp:wrapNone/>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pic:cNvPicPr>
                      <a:picLocks noChangeAspect="1" noChangeArrowheads="1"/>
                    </pic:cNvPicPr>
                  </pic:nvPicPr>
                  <pic:blipFill>
                    <a:blip r:embed="rId10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-323215</wp:posOffset>
            </wp:positionV>
            <wp:extent cx="12700" cy="8890"/>
            <wp:wrapNone/>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pic:cNvPicPr>
                      <a:picLocks noChangeAspect="1" noChangeArrowheads="1"/>
                    </pic:cNvPicPr>
                  </pic:nvPicPr>
                  <pic:blipFill>
                    <a:blip r:embed="rId10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-323215</wp:posOffset>
            </wp:positionV>
            <wp:extent cx="12700" cy="8890"/>
            <wp:wrapNone/>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107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20" w:firstLine="351"/>
        <w:spacing w:after="0" w:line="268" w:lineRule="auto"/>
        <w:rPr>
          <w:sz w:val="20"/>
          <w:szCs w:val="20"/>
          <w:color w:val="auto"/>
        </w:rPr>
      </w:pPr>
      <w:r>
        <w:rPr>
          <w:rFonts w:ascii="Arial" w:cs="Arial" w:eastAsia="Arial" w:hAnsi="Arial"/>
          <w:sz w:val="18"/>
          <w:szCs w:val="18"/>
          <w:color w:val="auto"/>
        </w:rPr>
        <w:t>Rent expense on the operating leases for the years ended January 31, 2005, 2004 and 2003 was approximately $8.8 million, $7.6 million and $6.2 million, respectively.</w:t>
      </w:r>
    </w:p>
    <w:p>
      <w:pPr>
        <w:spacing w:after="0" w:line="186" w:lineRule="exact"/>
        <w:rPr>
          <w:sz w:val="20"/>
          <w:szCs w:val="20"/>
          <w:color w:val="auto"/>
        </w:rPr>
      </w:pPr>
    </w:p>
    <w:p>
      <w:pPr>
        <w:ind w:right="140" w:firstLine="351"/>
        <w:spacing w:after="0" w:line="291" w:lineRule="auto"/>
        <w:rPr>
          <w:sz w:val="20"/>
          <w:szCs w:val="20"/>
          <w:color w:val="auto"/>
        </w:rPr>
      </w:pPr>
      <w:r>
        <w:rPr>
          <w:rFonts w:ascii="Arial" w:cs="Arial" w:eastAsia="Arial" w:hAnsi="Arial"/>
          <w:sz w:val="16"/>
          <w:szCs w:val="16"/>
          <w:color w:val="auto"/>
        </w:rPr>
        <w:t>In October 2001, the Company entered into a lease agreement for a building in Sunnyvale, California consisting of approximately 213,000 square feet. The lease began on January 1, 2002 and continues through March 16, 2006. During the first quarter of fiscal 2003, the Company consolidated its three existing facilities in California into this new building. The lease on one of the existing facilities expired in February 2002, but the Company has ongoing, non-cancelable leases for the two other facilities. As a result, the Company recorded a facilities consolidation charge and subsequently obtained subleases for the two facilities (see Note 6). The future minimum lease payments at January 31, 2005 for the two unoccupied facilities net of sublease income aggregated $5.1 million and are included in the above lease commitment table.</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January 31, 2005, foundries had incurred approximately $65.6 million of manufacturing expenses on the Company's outstanding purchase orders. As of January 31, 2005, the Company also had approximately $38.3 million of other outstanding non-cancelable purchase orders for capital purchase obligations.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320" w:firstLine="351"/>
        <w:spacing w:after="0" w:line="268" w:lineRule="auto"/>
        <w:rPr>
          <w:sz w:val="20"/>
          <w:szCs w:val="20"/>
          <w:color w:val="auto"/>
        </w:rPr>
      </w:pPr>
      <w:r>
        <w:rPr>
          <w:rFonts w:ascii="Arial" w:cs="Arial" w:eastAsia="Arial" w:hAnsi="Arial"/>
          <w:sz w:val="18"/>
          <w:szCs w:val="18"/>
          <w:color w:val="auto"/>
        </w:rPr>
        <w:t>On July 31, 2001, a putative class action suit was filed against two investment banks that participated in the underwriting of the Company's initial public offering, or IPO, on June 29, 2000. That lawsuit, which</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70" name="Picture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pic:cNvPicPr>
                      <a:picLocks noChangeAspect="1" noChangeArrowheads="1"/>
                    </pic:cNvPicPr>
                  </pic:nvPicPr>
                  <pic:blipFill>
                    <a:blip r:embed="rId10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84" w:right="259" w:bottom="1440" w:gutter="0" w:footer="0" w:header="0"/>
        </w:sectPr>
      </w:pPr>
    </w:p>
    <w:bookmarkStart w:id="103" w:name="page104"/>
    <w:bookmarkEnd w:id="103"/>
    <w:p>
      <w:pPr>
        <w:spacing w:after="0" w:line="282" w:lineRule="auto"/>
        <w:rPr>
          <w:sz w:val="20"/>
          <w:szCs w:val="20"/>
          <w:color w:val="auto"/>
        </w:rPr>
      </w:pPr>
      <w:r>
        <w:rPr>
          <w:rFonts w:ascii="Arial" w:cs="Arial" w:eastAsia="Arial" w:hAnsi="Arial"/>
          <w:sz w:val="16"/>
          <w:szCs w:val="16"/>
          <w:color w:val="auto"/>
        </w:rPr>
        <w:t>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w:t>
      </w:r>
    </w:p>
    <w:p>
      <w:pPr>
        <w:spacing w:after="0" w:line="4" w:lineRule="exact"/>
        <w:rPr>
          <w:sz w:val="20"/>
          <w:szCs w:val="20"/>
          <w:color w:val="auto"/>
        </w:rPr>
      </w:pPr>
    </w:p>
    <w:p>
      <w:pPr>
        <w:ind w:right="140"/>
        <w:spacing w:after="0" w:line="295" w:lineRule="auto"/>
        <w:rPr>
          <w:sz w:val="20"/>
          <w:szCs w:val="20"/>
          <w:color w:val="auto"/>
        </w:rPr>
      </w:pPr>
      <w:r>
        <w:rPr>
          <w:rFonts w:ascii="Arial" w:cs="Arial" w:eastAsia="Arial" w:hAnsi="Arial"/>
          <w:sz w:val="16"/>
          <w:szCs w:val="16"/>
          <w:color w:val="auto"/>
        </w:rPr>
        <w:t>(A). The court scheduled a further conference for April 13, 2005, for the purposes of (a) making a final determination as to the form, substance and program of class notice, and (b) scheduling a Rule 23 public hearing on the fairness of the proposed settlement. The Company believes that the claims asserted are without merit and intends to defend these claims vigorously. Based on currently available information, the Company does not believe that the ultimate disposition of this lawsuit will have a material adverse impact on its business, results of operations, financial condition or cash flows.</w:t>
      </w:r>
    </w:p>
    <w:p>
      <w:pPr>
        <w:spacing w:after="0" w:line="169" w:lineRule="exact"/>
        <w:rPr>
          <w:sz w:val="20"/>
          <w:szCs w:val="20"/>
          <w:color w:val="auto"/>
        </w:rPr>
      </w:pPr>
    </w:p>
    <w:p>
      <w:pPr>
        <w:ind w:right="20" w:firstLine="351"/>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71" name="Picture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10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04" w:name="page105"/>
    <w:bookmarkEnd w:id="104"/>
    <w:p>
      <w:pPr>
        <w:spacing w:after="0"/>
        <w:rPr>
          <w:sz w:val="20"/>
          <w:szCs w:val="20"/>
          <w:color w:val="auto"/>
        </w:rPr>
      </w:pPr>
      <w:r>
        <w:rPr>
          <w:rFonts w:ascii="Arial" w:cs="Arial" w:eastAsia="Arial" w:hAnsi="Arial"/>
          <w:sz w:val="18"/>
          <w:szCs w:val="18"/>
          <w:color w:val="auto"/>
        </w:rPr>
        <w:t>or cash flows. No estimate can be made of the possible loss or possible range of loss associated with the resolution of this contingency.</w:t>
      </w:r>
    </w:p>
    <w:p>
      <w:pPr>
        <w:spacing w:after="0" w:line="225"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On March 11, 2004, Trinity Technologies, Inc. ("Trinity") filed a lawsuit against the Company's subsidiary, Marvell Semiconductor, Inc. ("MSI"), in the Superior Court of California, alleging violations of the California Independent Wholesale Sales Representatives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By order entered January 25, 2005, the court granted our motion for summary adjudication and dismissed one claim for violation of a statute, in which plaintiff sought damages exceeding $12 million. Plaintiff failed to amend the claim within the period permitted by the court. Discovery is proceeding.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74" w:lineRule="exact"/>
        <w:rPr>
          <w:sz w:val="20"/>
          <w:szCs w:val="20"/>
          <w:color w:val="auto"/>
        </w:rPr>
      </w:pPr>
    </w:p>
    <w:p>
      <w:pPr>
        <w:ind w:right="60" w:firstLine="351"/>
        <w:spacing w:after="0" w:line="291" w:lineRule="auto"/>
        <w:rPr>
          <w:sz w:val="20"/>
          <w:szCs w:val="20"/>
          <w:color w:val="auto"/>
        </w:rPr>
      </w:pPr>
      <w:r>
        <w:rPr>
          <w:rFonts w:ascii="Arial" w:cs="Arial" w:eastAsia="Arial" w:hAnsi="Arial"/>
          <w:sz w:val="16"/>
          <w:szCs w:val="16"/>
          <w:color w:val="auto"/>
        </w:rPr>
        <w:t>On October 7, 2004, Realtek Semiconductor Corporation ("Realtek") filed a lawsuit against the Company and its subsidiary MSI in the U.S. District Court for the Northern District of California, alleging that the Company infringes certain patented technology proprietary to Realtek. In addition, Realtek filed a similar lawsuit in Taiwan against the same parties, the Company's Taiwan subsidiary, Marvell Taiwan Ltd., and also naming an officer of the Company. The complaints seek a permanent injunction against the Company as well as the recovery of monetary damages.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74" w:lineRule="exact"/>
        <w:rPr>
          <w:sz w:val="20"/>
          <w:szCs w:val="20"/>
          <w:color w:val="auto"/>
        </w:rPr>
      </w:pPr>
    </w:p>
    <w:p>
      <w:pPr>
        <w:ind w:right="20" w:firstLine="348"/>
        <w:spacing w:after="0" w:line="294" w:lineRule="auto"/>
        <w:rPr>
          <w:sz w:val="20"/>
          <w:szCs w:val="20"/>
          <w:color w:val="auto"/>
        </w:rPr>
      </w:pPr>
      <w:r>
        <w:rPr>
          <w:rFonts w:ascii="Arial" w:cs="Arial" w:eastAsia="Arial" w:hAnsi="Arial"/>
          <w:sz w:val="16"/>
          <w:szCs w:val="16"/>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25"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pic:cNvPicPr>
                      <a:picLocks noChangeAspect="1" noChangeArrowheads="1"/>
                    </pic:cNvPicPr>
                  </pic:nvPicPr>
                  <pic:blipFill>
                    <a:blip r:embed="rId10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05" w:name="page106"/>
    <w:bookmarkEnd w:id="105"/>
    <w:p>
      <w:pPr>
        <w:ind w:right="80"/>
        <w:spacing w:after="0" w:line="332" w:lineRule="auto"/>
        <w:rPr>
          <w:sz w:val="20"/>
          <w:szCs w:val="20"/>
          <w:color w:val="auto"/>
        </w:rPr>
      </w:pPr>
      <w:r>
        <w:rPr>
          <w:rFonts w:ascii="Arial" w:cs="Arial" w:eastAsia="Arial" w:hAnsi="Arial"/>
          <w:sz w:val="16"/>
          <w:szCs w:val="16"/>
          <w:color w:val="auto"/>
        </w:rPr>
        <w:t>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Segment and Geographic Information:</w:t>
      </w:r>
    </w:p>
    <w:p>
      <w:pPr>
        <w:spacing w:after="0" w:line="231"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 — the design, development and sale of integrated circuits.</w:t>
      </w:r>
    </w:p>
    <w:p>
      <w:pPr>
        <w:spacing w:after="0" w:line="167" w:lineRule="exact"/>
        <w:rPr>
          <w:sz w:val="20"/>
          <w:szCs w:val="20"/>
          <w:color w:val="auto"/>
        </w:rPr>
      </w:pPr>
    </w:p>
    <w:p>
      <w:pPr>
        <w:ind w:right="120" w:firstLine="348"/>
        <w:spacing w:after="0" w:line="294" w:lineRule="auto"/>
        <w:rPr>
          <w:sz w:val="20"/>
          <w:szCs w:val="20"/>
          <w:color w:val="auto"/>
        </w:rPr>
      </w:pPr>
      <w:r>
        <w:rPr>
          <w:rFonts w:ascii="Arial" w:cs="Arial" w:eastAsia="Arial" w:hAnsi="Arial"/>
          <w:sz w:val="16"/>
          <w:szCs w:val="16"/>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Also, the Chief Operating Decision Maker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Chief Executive Officer has been identified as the Chief Operating Decision Maker as defined by SFAS 131.</w:t>
      </w:r>
    </w:p>
    <w:p>
      <w:pPr>
        <w:spacing w:after="0" w:line="225" w:lineRule="exact"/>
        <w:rPr>
          <w:sz w:val="20"/>
          <w:szCs w:val="20"/>
          <w:color w:val="auto"/>
        </w:rPr>
      </w:pPr>
    </w:p>
    <w:p>
      <w:pPr>
        <w:ind w:right="620" w:firstLine="348"/>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0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40" w:type="dxa"/>
            <w:vAlign w:val="bottom"/>
          </w:tcPr>
          <w:p>
            <w:pPr>
              <w:spacing w:after="0"/>
              <w:rPr>
                <w:sz w:val="15"/>
                <w:szCs w:val="15"/>
                <w:color w:val="auto"/>
              </w:rPr>
            </w:pPr>
          </w:p>
        </w:tc>
        <w:tc>
          <w:tcPr>
            <w:tcW w:w="2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720" w:type="dxa"/>
            <w:vAlign w:val="bottom"/>
            <w:gridSpan w:val="8"/>
          </w:tcPr>
          <w:p>
            <w:pPr>
              <w:ind w:left="240"/>
              <w:spacing w:after="0"/>
              <w:rPr>
                <w:sz w:val="20"/>
                <w:szCs w:val="20"/>
                <w:color w:val="auto"/>
              </w:rPr>
            </w:pPr>
            <w:r>
              <w:rPr>
                <w:rFonts w:ascii="Arial" w:cs="Arial" w:eastAsia="Arial" w:hAnsi="Arial"/>
                <w:sz w:val="14"/>
                <w:szCs w:val="14"/>
                <w:b w:val="1"/>
                <w:bCs w:val="1"/>
                <w:color w:val="auto"/>
                <w:w w:val="88"/>
              </w:rPr>
              <w:t>Years Ended January 31,</w:t>
            </w: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340" w:type="dxa"/>
            <w:vAlign w:val="bottom"/>
            <w:gridSpan w:val="2"/>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3980" w:type="dxa"/>
            <w:vAlign w:val="bottom"/>
            <w:gridSpan w:val="3"/>
          </w:tcPr>
          <w:p>
            <w:pPr>
              <w:ind w:left="1040"/>
              <w:spacing w:after="0"/>
              <w:rPr>
                <w:sz w:val="20"/>
                <w:szCs w:val="20"/>
                <w:color w:val="auto"/>
              </w:rPr>
            </w:pPr>
            <w:r>
              <w:rPr>
                <w:rFonts w:ascii="Arial" w:cs="Arial" w:eastAsia="Arial" w:hAnsi="Arial"/>
                <w:sz w:val="14"/>
                <w:szCs w:val="14"/>
                <w:b w:val="1"/>
                <w:bCs w:val="1"/>
                <w:color w:val="auto"/>
              </w:rPr>
              <w:t>Net Revenue:</w:t>
            </w:r>
          </w:p>
        </w:tc>
        <w:tc>
          <w:tcPr>
            <w:tcW w:w="22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40" w:type="dxa"/>
            <w:vAlign w:val="bottom"/>
          </w:tcPr>
          <w:p>
            <w:pPr>
              <w:jc w:val="right"/>
              <w:ind w:right="154"/>
              <w:spacing w:after="0"/>
              <w:rPr>
                <w:sz w:val="20"/>
                <w:szCs w:val="20"/>
                <w:color w:val="auto"/>
              </w:rPr>
            </w:pPr>
            <w:r>
              <w:rPr>
                <w:rFonts w:ascii="Arial" w:cs="Arial" w:eastAsia="Arial" w:hAnsi="Arial"/>
                <w:sz w:val="14"/>
                <w:szCs w:val="14"/>
                <w:b w:val="1"/>
                <w:bCs w:val="1"/>
                <w:color w:val="auto"/>
              </w:rPr>
              <w:t>2005</w:t>
            </w:r>
          </w:p>
        </w:tc>
        <w:tc>
          <w:tcPr>
            <w:tcW w:w="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60" w:type="dxa"/>
            <w:vAlign w:val="bottom"/>
          </w:tcPr>
          <w:p>
            <w:pPr>
              <w:jc w:val="right"/>
              <w:ind w:right="236"/>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660" w:type="dxa"/>
            <w:vAlign w:val="bottom"/>
          </w:tcPr>
          <w:p>
            <w:pPr>
              <w:jc w:val="right"/>
              <w:ind w:right="95"/>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640" w:type="dxa"/>
            <w:vAlign w:val="bottom"/>
            <w:tcBorders>
              <w:bottom w:val="single" w:sz="8" w:color="808080"/>
            </w:tcBorders>
          </w:tcPr>
          <w:p>
            <w:pPr>
              <w:spacing w:after="0"/>
              <w:rPr>
                <w:sz w:val="9"/>
                <w:szCs w:val="9"/>
                <w:color w:val="auto"/>
              </w:rPr>
            </w:pPr>
          </w:p>
        </w:tc>
        <w:tc>
          <w:tcPr>
            <w:tcW w:w="2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vMerge w:val="restart"/>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China</w:t>
            </w:r>
          </w:p>
        </w:tc>
        <w:tc>
          <w:tcPr>
            <w:tcW w:w="26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169,490</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90,088</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26,478</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tcPr>
          <w:p>
            <w:pPr>
              <w:spacing w:after="0"/>
              <w:rPr>
                <w:sz w:val="20"/>
                <w:szCs w:val="20"/>
                <w:color w:val="auto"/>
              </w:rPr>
            </w:pPr>
            <w:r>
              <w:rPr>
                <w:rFonts w:ascii="Arial" w:cs="Arial" w:eastAsia="Arial" w:hAnsi="Arial"/>
                <w:sz w:val="18"/>
                <w:szCs w:val="18"/>
                <w:color w:val="auto"/>
              </w:rPr>
              <w:t>Japan</w:t>
            </w:r>
          </w:p>
        </w:tc>
        <w:tc>
          <w:tcPr>
            <w:tcW w:w="2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179,180</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111,512</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49,025</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Korea</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153,575</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101,635</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33,337</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2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312,009</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193,296</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80,008</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Philippines</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59,650</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59,930</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79,029</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tcPr>
          <w:p>
            <w:pPr>
              <w:spacing w:after="0"/>
              <w:rPr>
                <w:sz w:val="20"/>
                <w:szCs w:val="20"/>
                <w:color w:val="auto"/>
              </w:rPr>
            </w:pPr>
            <w:r>
              <w:rPr>
                <w:rFonts w:ascii="Arial" w:cs="Arial" w:eastAsia="Arial" w:hAnsi="Arial"/>
                <w:sz w:val="18"/>
                <w:szCs w:val="18"/>
                <w:color w:val="auto"/>
              </w:rPr>
              <w:t>Singapore</w:t>
            </w:r>
          </w:p>
        </w:tc>
        <w:tc>
          <w:tcPr>
            <w:tcW w:w="2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86,787</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70,900</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104,347</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Taiwan</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142,535</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90,237</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59,034</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tcPr>
          <w:p>
            <w:pPr>
              <w:spacing w:after="0"/>
              <w:rPr>
                <w:sz w:val="20"/>
                <w:szCs w:val="20"/>
                <w:color w:val="auto"/>
              </w:rPr>
            </w:pPr>
            <w:r>
              <w:rPr>
                <w:rFonts w:ascii="Arial" w:cs="Arial" w:eastAsia="Arial" w:hAnsi="Arial"/>
                <w:sz w:val="18"/>
                <w:szCs w:val="18"/>
                <w:color w:val="auto"/>
              </w:rPr>
              <w:t>United States</w:t>
            </w:r>
          </w:p>
        </w:tc>
        <w:tc>
          <w:tcPr>
            <w:tcW w:w="2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70,736</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61,285</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45,859</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Others</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50,618</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40,879</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28,168</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0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640" w:type="dxa"/>
            <w:vAlign w:val="bottom"/>
          </w:tcPr>
          <w:p>
            <w:pPr>
              <w:spacing w:after="0"/>
              <w:rPr>
                <w:sz w:val="10"/>
                <w:szCs w:val="10"/>
                <w:color w:val="auto"/>
              </w:rPr>
            </w:pPr>
          </w:p>
        </w:tc>
        <w:tc>
          <w:tcPr>
            <w:tcW w:w="2380" w:type="dxa"/>
            <w:vAlign w:val="bottom"/>
            <w:gridSpan w:val="2"/>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10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268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1,224,580</w:t>
            </w:r>
          </w:p>
        </w:tc>
        <w:tc>
          <w:tcPr>
            <w:tcW w:w="100" w:type="dxa"/>
            <w:vAlign w:val="bottom"/>
          </w:tcPr>
          <w:p>
            <w:pPr>
              <w:spacing w:after="0"/>
              <w:rPr>
                <w:sz w:val="24"/>
                <w:szCs w:val="24"/>
                <w:color w:val="auto"/>
              </w:rPr>
            </w:pP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819,762</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505,285</w:t>
            </w: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0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0" w:type="dxa"/>
            <w:vAlign w:val="bottom"/>
            <w:gridSpan w:val="2"/>
          </w:tcPr>
          <w:p>
            <w:pPr>
              <w:spacing w:after="0"/>
              <w:rPr>
                <w:sz w:val="9"/>
                <w:szCs w:val="9"/>
                <w:color w:val="auto"/>
              </w:rPr>
            </w:pPr>
          </w:p>
        </w:tc>
        <w:tc>
          <w:tcPr>
            <w:tcW w:w="16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04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40" w:type="dxa"/>
            <w:vAlign w:val="bottom"/>
          </w:tcPr>
          <w:p>
            <w:pPr>
              <w:spacing w:after="0"/>
              <w:rPr>
                <w:sz w:val="5"/>
                <w:szCs w:val="5"/>
                <w:color w:val="auto"/>
              </w:rPr>
            </w:pPr>
          </w:p>
        </w:tc>
        <w:tc>
          <w:tcPr>
            <w:tcW w:w="2200" w:type="dxa"/>
            <w:vAlign w:val="bottom"/>
          </w:tcPr>
          <w:p>
            <w:pPr>
              <w:spacing w:after="0"/>
              <w:rPr>
                <w:sz w:val="5"/>
                <w:szCs w:val="5"/>
                <w:color w:val="auto"/>
              </w:rPr>
            </w:pPr>
          </w:p>
        </w:tc>
        <w:tc>
          <w:tcPr>
            <w:tcW w:w="18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30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860" w:type="dxa"/>
            <w:vAlign w:val="bottom"/>
            <w:shd w:val="clear" w:color="auto" w:fill="808080"/>
          </w:tcPr>
          <w:p>
            <w:pPr>
              <w:spacing w:after="0"/>
              <w:rPr>
                <w:sz w:val="5"/>
                <w:szCs w:val="5"/>
                <w:color w:val="auto"/>
              </w:rPr>
            </w:pPr>
          </w:p>
        </w:tc>
        <w:tc>
          <w:tcPr>
            <w:tcW w:w="140" w:type="dxa"/>
            <w:vAlign w:val="bottom"/>
            <w:gridSpan w:val="2"/>
            <w:shd w:val="clear" w:color="auto" w:fill="808080"/>
          </w:tcPr>
          <w:p>
            <w:pPr>
              <w:spacing w:after="0"/>
              <w:rPr>
                <w:sz w:val="5"/>
                <w:szCs w:val="5"/>
                <w:color w:val="auto"/>
              </w:rPr>
            </w:pPr>
          </w:p>
        </w:tc>
        <w:tc>
          <w:tcPr>
            <w:tcW w:w="160" w:type="dxa"/>
            <w:vAlign w:val="bottom"/>
            <w:gridSpan w:val="2"/>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660" w:type="dxa"/>
            <w:vAlign w:val="bottom"/>
            <w:shd w:val="clear" w:color="auto" w:fill="808080"/>
          </w:tcPr>
          <w:p>
            <w:pPr>
              <w:spacing w:after="0"/>
              <w:rPr>
                <w:sz w:val="5"/>
                <w:szCs w:val="5"/>
                <w:color w:val="auto"/>
              </w:rPr>
            </w:pPr>
          </w:p>
        </w:tc>
        <w:tc>
          <w:tcPr>
            <w:tcW w:w="300" w:type="dxa"/>
            <w:vAlign w:val="bottom"/>
            <w:tcBorders>
              <w:left w:val="single" w:sz="8" w:color="808080"/>
            </w:tcBorders>
            <w:shd w:val="clear" w:color="auto" w:fill="808080"/>
          </w:tcPr>
          <w:p>
            <w:pPr>
              <w:spacing w:after="0"/>
              <w:rPr>
                <w:sz w:val="5"/>
                <w:szCs w:val="5"/>
                <w:color w:val="auto"/>
              </w:rPr>
            </w:pPr>
          </w:p>
        </w:tc>
        <w:tc>
          <w:tcPr>
            <w:tcW w:w="10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6"/>
        </w:trPr>
        <w:tc>
          <w:tcPr>
            <w:tcW w:w="10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2640" w:type="dxa"/>
            <w:vAlign w:val="bottom"/>
          </w:tcPr>
          <w:p>
            <w:pPr>
              <w:spacing w:after="0"/>
              <w:rPr>
                <w:sz w:val="23"/>
                <w:szCs w:val="23"/>
                <w:color w:val="auto"/>
              </w:rPr>
            </w:pPr>
          </w:p>
        </w:tc>
        <w:tc>
          <w:tcPr>
            <w:tcW w:w="22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400" w:type="dxa"/>
            <w:vAlign w:val="bottom"/>
            <w:gridSpan w:val="6"/>
          </w:tcPr>
          <w:p>
            <w:pPr>
              <w:jc w:val="right"/>
              <w:ind w:right="60"/>
              <w:spacing w:after="0"/>
              <w:rPr>
                <w:sz w:val="20"/>
                <w:szCs w:val="20"/>
                <w:color w:val="auto"/>
              </w:rPr>
            </w:pPr>
            <w:r>
              <w:rPr>
                <w:rFonts w:ascii="Arial" w:cs="Arial" w:eastAsia="Arial" w:hAnsi="Arial"/>
                <w:sz w:val="14"/>
                <w:szCs w:val="14"/>
                <w:b w:val="1"/>
                <w:bCs w:val="1"/>
                <w:color w:val="auto"/>
              </w:rPr>
              <w:t>As of January 31,</w:t>
            </w:r>
          </w:p>
        </w:tc>
        <w:tc>
          <w:tcPr>
            <w:tcW w:w="66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2940" w:type="dxa"/>
            <w:vAlign w:val="bottom"/>
            <w:gridSpan w:val="2"/>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1040" w:type="dxa"/>
            <w:vAlign w:val="bottom"/>
          </w:tcPr>
          <w:p>
            <w:pPr>
              <w:spacing w:after="0"/>
              <w:rPr>
                <w:sz w:val="23"/>
                <w:szCs w:val="23"/>
                <w:color w:val="auto"/>
              </w:rPr>
            </w:pPr>
          </w:p>
        </w:tc>
        <w:tc>
          <w:tcPr>
            <w:tcW w:w="2940" w:type="dxa"/>
            <w:vAlign w:val="bottom"/>
            <w:gridSpan w:val="2"/>
          </w:tcPr>
          <w:p>
            <w:pPr>
              <w:ind w:left="280"/>
              <w:spacing w:after="0"/>
              <w:rPr>
                <w:sz w:val="20"/>
                <w:szCs w:val="20"/>
                <w:color w:val="auto"/>
              </w:rPr>
            </w:pPr>
            <w:r>
              <w:rPr>
                <w:rFonts w:ascii="Arial" w:cs="Arial" w:eastAsia="Arial" w:hAnsi="Arial"/>
                <w:sz w:val="14"/>
                <w:szCs w:val="14"/>
                <w:b w:val="1"/>
                <w:bCs w:val="1"/>
                <w:color w:val="auto"/>
              </w:rPr>
              <w:t>Long-lived Assets:</w:t>
            </w:r>
          </w:p>
        </w:tc>
        <w:tc>
          <w:tcPr>
            <w:tcW w:w="22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60" w:type="dxa"/>
            <w:vAlign w:val="bottom"/>
          </w:tcPr>
          <w:p>
            <w:pPr>
              <w:jc w:val="right"/>
              <w:ind w:right="416"/>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660" w:type="dxa"/>
            <w:vAlign w:val="bottom"/>
          </w:tcPr>
          <w:p>
            <w:pPr>
              <w:jc w:val="right"/>
              <w:ind w:right="255"/>
              <w:spacing w:after="0"/>
              <w:rPr>
                <w:sz w:val="20"/>
                <w:szCs w:val="20"/>
                <w:color w:val="auto"/>
              </w:rPr>
            </w:pPr>
            <w:r>
              <w:rPr>
                <w:rFonts w:ascii="Arial" w:cs="Arial" w:eastAsia="Arial" w:hAnsi="Arial"/>
                <w:sz w:val="14"/>
                <w:szCs w:val="14"/>
                <w:b w:val="1"/>
                <w:bCs w:val="1"/>
                <w:color w:val="auto"/>
                <w:w w:val="96"/>
              </w:rPr>
              <w:t>2004</w:t>
            </w:r>
          </w:p>
        </w:tc>
        <w:tc>
          <w:tcPr>
            <w:tcW w:w="30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Borders>
              <w:bottom w:val="single" w:sz="8" w:color="808080"/>
            </w:tcBorders>
          </w:tcPr>
          <w:p>
            <w:pPr>
              <w:spacing w:after="0"/>
              <w:rPr>
                <w:sz w:val="9"/>
                <w:szCs w:val="9"/>
                <w:color w:val="auto"/>
              </w:rPr>
            </w:pPr>
          </w:p>
        </w:tc>
        <w:tc>
          <w:tcPr>
            <w:tcW w:w="2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300" w:type="dxa"/>
            <w:vAlign w:val="bottom"/>
            <w:vMerge w:val="restart"/>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00" w:type="dxa"/>
            <w:vAlign w:val="bottom"/>
            <w:vMerge w:val="continue"/>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Bermuda</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ind w:left="10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36,083</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17,654</w:t>
            </w: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Israel</w:t>
            </w:r>
          </w:p>
        </w:tc>
        <w:tc>
          <w:tcPr>
            <w:tcW w:w="2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16,865</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21,547</w:t>
            </w: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3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115,437</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114,063</w:t>
            </w: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Others</w:t>
            </w:r>
          </w:p>
        </w:tc>
        <w:tc>
          <w:tcPr>
            <w:tcW w:w="2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10,078</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2,623</w:t>
            </w:r>
          </w:p>
        </w:tc>
        <w:tc>
          <w:tcPr>
            <w:tcW w:w="3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0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40" w:type="dxa"/>
            <w:vAlign w:val="bottom"/>
            <w:shd w:val="clear" w:color="auto" w:fill="CCEEFF"/>
          </w:tcPr>
          <w:p>
            <w:pPr>
              <w:spacing w:after="0"/>
              <w:rPr>
                <w:sz w:val="18"/>
                <w:szCs w:val="18"/>
                <w:color w:val="auto"/>
              </w:rPr>
            </w:pPr>
          </w:p>
        </w:tc>
        <w:tc>
          <w:tcPr>
            <w:tcW w:w="2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ind w:left="10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178,463</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155,887</w:t>
            </w: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0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40" w:type="dxa"/>
            <w:vAlign w:val="bottom"/>
          </w:tcPr>
          <w:p>
            <w:pPr>
              <w:spacing w:after="0"/>
              <w:rPr>
                <w:sz w:val="9"/>
                <w:szCs w:val="9"/>
                <w:color w:val="auto"/>
              </w:rPr>
            </w:pPr>
          </w:p>
        </w:tc>
        <w:tc>
          <w:tcPr>
            <w:tcW w:w="2200" w:type="dxa"/>
            <w:vAlign w:val="bottom"/>
            <w:vMerge w:val="restart"/>
          </w:tcPr>
          <w:p>
            <w:pPr>
              <w:jc w:val="right"/>
              <w:ind w:right="252"/>
              <w:spacing w:after="0"/>
              <w:rPr>
                <w:sz w:val="20"/>
                <w:szCs w:val="20"/>
                <w:color w:val="auto"/>
              </w:rPr>
            </w:pPr>
            <w:r>
              <w:rPr>
                <w:rFonts w:ascii="Arial" w:cs="Arial" w:eastAsia="Arial" w:hAnsi="Arial"/>
                <w:sz w:val="18"/>
                <w:szCs w:val="18"/>
                <w:color w:val="auto"/>
              </w:rPr>
              <w:t>105</w:t>
            </w: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04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40" w:type="dxa"/>
            <w:vAlign w:val="bottom"/>
          </w:tcPr>
          <w:p>
            <w:pPr>
              <w:spacing w:after="0"/>
              <w:rPr>
                <w:sz w:val="5"/>
                <w:szCs w:val="5"/>
                <w:color w:val="auto"/>
              </w:rPr>
            </w:pPr>
          </w:p>
        </w:tc>
        <w:tc>
          <w:tcPr>
            <w:tcW w:w="220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8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66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10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0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220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04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640" w:type="dxa"/>
            <w:vAlign w:val="bottom"/>
            <w:tcBorders>
              <w:bottom w:val="single" w:sz="8" w:color="808080"/>
            </w:tcBorders>
          </w:tcPr>
          <w:p>
            <w:pPr>
              <w:spacing w:after="0"/>
              <w:rPr>
                <w:sz w:val="19"/>
                <w:szCs w:val="19"/>
                <w:color w:val="auto"/>
              </w:rPr>
            </w:pPr>
          </w:p>
        </w:tc>
        <w:tc>
          <w:tcPr>
            <w:tcW w:w="22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86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66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0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6589395</wp:posOffset>
            </wp:positionH>
            <wp:positionV relativeFrom="paragraph">
              <wp:posOffset>-3967480</wp:posOffset>
            </wp:positionV>
            <wp:extent cx="12700" cy="8890"/>
            <wp:wrapNone/>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10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-3967480</wp:posOffset>
            </wp:positionV>
            <wp:extent cx="12700" cy="8890"/>
            <wp:wrapNone/>
            <wp:docPr id="1074" name="Picture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pic:cNvPicPr>
                      <a:picLocks noChangeAspect="1" noChangeArrowheads="1"/>
                    </pic:cNvPicPr>
                  </pic:nvPicPr>
                  <pic:blipFill>
                    <a:blip r:embed="rId10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-3719195</wp:posOffset>
            </wp:positionV>
            <wp:extent cx="12700" cy="8890"/>
            <wp:wrapNone/>
            <wp:docPr id="1075" name="Picture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10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663575</wp:posOffset>
            </wp:positionH>
            <wp:positionV relativeFrom="paragraph">
              <wp:posOffset>-3719195</wp:posOffset>
            </wp:positionV>
            <wp:extent cx="12700" cy="8890"/>
            <wp:wrapNone/>
            <wp:docPr id="1076" name="Picture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pic:cNvPicPr>
                      <a:picLocks noChangeAspect="1" noChangeArrowheads="1"/>
                    </pic:cNvPicPr>
                  </pic:nvPicPr>
                  <pic:blipFill>
                    <a:blip r:embed="rId10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-3719195</wp:posOffset>
            </wp:positionV>
            <wp:extent cx="12700" cy="8890"/>
            <wp:wrapNone/>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pic:cNvPicPr>
                      <a:picLocks noChangeAspect="1" noChangeArrowheads="1"/>
                    </pic:cNvPicPr>
                  </pic:nvPicPr>
                  <pic:blipFill>
                    <a:blip r:embed="rId10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-3719195</wp:posOffset>
            </wp:positionV>
            <wp:extent cx="12700" cy="8890"/>
            <wp:wrapNone/>
            <wp:docPr id="1078" name="Picture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pic:cNvPicPr>
                      <a:picLocks noChangeAspect="1" noChangeArrowheads="1"/>
                    </pic:cNvPicPr>
                  </pic:nvPicPr>
                  <pic:blipFill>
                    <a:blip r:embed="rId10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5723255</wp:posOffset>
            </wp:positionH>
            <wp:positionV relativeFrom="paragraph">
              <wp:posOffset>-3719195</wp:posOffset>
            </wp:positionV>
            <wp:extent cx="12700" cy="8890"/>
            <wp:wrapNone/>
            <wp:docPr id="1079" name="Picture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pic:cNvPicPr>
                      <a:picLocks noChangeAspect="1" noChangeArrowheads="1"/>
                    </pic:cNvPicPr>
                  </pic:nvPicPr>
                  <pic:blipFill>
                    <a:blip r:embed="rId10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-3719195</wp:posOffset>
            </wp:positionV>
            <wp:extent cx="12700" cy="8890"/>
            <wp:wrapNone/>
            <wp:docPr id="1080" name="Picture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pic:cNvPicPr>
                      <a:picLocks noChangeAspect="1" noChangeArrowheads="1"/>
                    </pic:cNvPicPr>
                  </pic:nvPicPr>
                  <pic:blipFill>
                    <a:blip r:embed="rId10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-3719195</wp:posOffset>
            </wp:positionV>
            <wp:extent cx="12700" cy="8890"/>
            <wp:wrapNone/>
            <wp:docPr id="1081" name="Picture 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pic:cNvPicPr>
                      <a:picLocks noChangeAspect="1" noChangeArrowheads="1"/>
                    </pic:cNvPicPr>
                  </pic:nvPicPr>
                  <pic:blipFill>
                    <a:blip r:embed="rId10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-3719195</wp:posOffset>
            </wp:positionV>
            <wp:extent cx="12700" cy="8890"/>
            <wp:wrapNone/>
            <wp:docPr id="1082" name="Picture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10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-2329815</wp:posOffset>
            </wp:positionV>
            <wp:extent cx="12700" cy="8890"/>
            <wp:wrapNone/>
            <wp:docPr id="1083" name="Picture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10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-2329815</wp:posOffset>
            </wp:positionV>
            <wp:extent cx="12700" cy="8890"/>
            <wp:wrapNone/>
            <wp:docPr id="1084" name="Picture 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pic:cNvPicPr>
                      <a:picLocks noChangeAspect="1" noChangeArrowheads="1"/>
                    </pic:cNvPicPr>
                  </pic:nvPicPr>
                  <pic:blipFill>
                    <a:blip r:embed="rId10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5723255</wp:posOffset>
            </wp:positionH>
            <wp:positionV relativeFrom="paragraph">
              <wp:posOffset>-2329815</wp:posOffset>
            </wp:positionV>
            <wp:extent cx="12700" cy="8890"/>
            <wp:wrapNone/>
            <wp:docPr id="1085" name="Picture 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5"/>
                    <pic:cNvPicPr>
                      <a:picLocks noChangeAspect="1" noChangeArrowheads="1"/>
                    </pic:cNvPicPr>
                  </pic:nvPicPr>
                  <pic:blipFill>
                    <a:blip r:embed="rId10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-2329815</wp:posOffset>
            </wp:positionV>
            <wp:extent cx="12700" cy="8890"/>
            <wp:wrapNone/>
            <wp:docPr id="1086" name="Picture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6"/>
                    <pic:cNvPicPr>
                      <a:picLocks noChangeAspect="1" noChangeArrowheads="1"/>
                    </pic:cNvPicPr>
                  </pic:nvPicPr>
                  <pic:blipFill>
                    <a:blip r:embed="rId10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-2329815</wp:posOffset>
            </wp:positionV>
            <wp:extent cx="12700" cy="8890"/>
            <wp:wrapNone/>
            <wp:docPr id="1087" name="Picture 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7"/>
                    <pic:cNvPicPr>
                      <a:picLocks noChangeAspect="1" noChangeArrowheads="1"/>
                    </pic:cNvPicPr>
                  </pic:nvPicPr>
                  <pic:blipFill>
                    <a:blip r:embed="rId10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-2329815</wp:posOffset>
            </wp:positionV>
            <wp:extent cx="12700" cy="8890"/>
            <wp:wrapNone/>
            <wp:docPr id="1088" name="Picture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8"/>
                    <pic:cNvPicPr>
                      <a:picLocks noChangeAspect="1" noChangeArrowheads="1"/>
                    </pic:cNvPicPr>
                  </pic:nvPicPr>
                  <pic:blipFill>
                    <a:blip r:embed="rId10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-1772285</wp:posOffset>
            </wp:positionV>
            <wp:extent cx="12700" cy="8890"/>
            <wp:wrapNone/>
            <wp:docPr id="1089" name="Picture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9"/>
                    <pic:cNvPicPr>
                      <a:picLocks noChangeAspect="1" noChangeArrowheads="1"/>
                    </pic:cNvPicPr>
                  </pic:nvPicPr>
                  <pic:blipFill>
                    <a:blip r:embed="rId10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-1772285</wp:posOffset>
            </wp:positionV>
            <wp:extent cx="12700" cy="8890"/>
            <wp:wrapNone/>
            <wp:docPr id="1090" name="Picture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0"/>
                    <pic:cNvPicPr>
                      <a:picLocks noChangeAspect="1" noChangeArrowheads="1"/>
                    </pic:cNvPicPr>
                  </pic:nvPicPr>
                  <pic:blipFill>
                    <a:blip r:embed="rId10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4685665</wp:posOffset>
            </wp:positionH>
            <wp:positionV relativeFrom="paragraph">
              <wp:posOffset>-1523365</wp:posOffset>
            </wp:positionV>
            <wp:extent cx="12700" cy="8890"/>
            <wp:wrapNone/>
            <wp:docPr id="1091" name="Picture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pic:cNvPicPr>
                      <a:picLocks noChangeAspect="1" noChangeArrowheads="1"/>
                    </pic:cNvPicPr>
                  </pic:nvPicPr>
                  <pic:blipFill>
                    <a:blip r:embed="rId10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843280</wp:posOffset>
            </wp:positionH>
            <wp:positionV relativeFrom="paragraph">
              <wp:posOffset>-1523365</wp:posOffset>
            </wp:positionV>
            <wp:extent cx="12700" cy="8890"/>
            <wp:wrapNone/>
            <wp:docPr id="1092" name="Picture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pic:cNvPicPr>
                      <a:picLocks noChangeAspect="1" noChangeArrowheads="1"/>
                    </pic:cNvPicPr>
                  </pic:nvPicPr>
                  <pic:blipFill>
                    <a:blip r:embed="rId10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-1523365</wp:posOffset>
            </wp:positionV>
            <wp:extent cx="12700" cy="8890"/>
            <wp:wrapNone/>
            <wp:docPr id="1093" name="Picture 1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pic:cNvPicPr>
                      <a:picLocks noChangeAspect="1" noChangeArrowheads="1"/>
                    </pic:cNvPicPr>
                  </pic:nvPicPr>
                  <pic:blipFill>
                    <a:blip r:embed="rId1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-1523365</wp:posOffset>
            </wp:positionV>
            <wp:extent cx="12700" cy="8890"/>
            <wp:wrapNone/>
            <wp:docPr id="1094" name="Picture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pic:cNvPicPr>
                      <a:picLocks noChangeAspect="1" noChangeArrowheads="1"/>
                    </pic:cNvPicPr>
                  </pic:nvPicPr>
                  <pic:blipFill>
                    <a:blip r:embed="rId1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-1523365</wp:posOffset>
            </wp:positionV>
            <wp:extent cx="12700" cy="8890"/>
            <wp:wrapNone/>
            <wp:docPr id="1095" name="Picture 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pic:cNvPicPr>
                      <a:picLocks noChangeAspect="1" noChangeArrowheads="1"/>
                    </pic:cNvPicPr>
                  </pic:nvPicPr>
                  <pic:blipFill>
                    <a:blip r:embed="rId1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-1523365</wp:posOffset>
            </wp:positionV>
            <wp:extent cx="12700" cy="8890"/>
            <wp:wrapNone/>
            <wp:docPr id="1096" name="Picture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6"/>
                    <pic:cNvPicPr>
                      <a:picLocks noChangeAspect="1" noChangeArrowheads="1"/>
                    </pic:cNvPicPr>
                  </pic:nvPicPr>
                  <pic:blipFill>
                    <a:blip r:embed="rId1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-820420</wp:posOffset>
            </wp:positionV>
            <wp:extent cx="12700" cy="8890"/>
            <wp:wrapNone/>
            <wp:docPr id="1097" name="Picture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
                    <pic:cNvPicPr>
                      <a:picLocks noChangeAspect="1" noChangeArrowheads="1"/>
                    </pic:cNvPicPr>
                  </pic:nvPicPr>
                  <pic:blipFill>
                    <a:blip r:embed="rId1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-820420</wp:posOffset>
            </wp:positionV>
            <wp:extent cx="12700" cy="8890"/>
            <wp:wrapNone/>
            <wp:docPr id="1098" name="Picture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pic:cNvPicPr>
                      <a:picLocks noChangeAspect="1" noChangeArrowheads="1"/>
                    </pic:cNvPicPr>
                  </pic:nvPicPr>
                  <pic:blipFill>
                    <a:blip r:embed="rId1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-820420</wp:posOffset>
            </wp:positionV>
            <wp:extent cx="12700" cy="8890"/>
            <wp:wrapNone/>
            <wp:docPr id="1099" name="Picture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pic:cNvPicPr>
                      <a:picLocks noChangeAspect="1" noChangeArrowheads="1"/>
                    </pic:cNvPicPr>
                  </pic:nvPicPr>
                  <pic:blipFill>
                    <a:blip r:embed="rId1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-820420</wp:posOffset>
            </wp:positionV>
            <wp:extent cx="12700" cy="8890"/>
            <wp:wrapNone/>
            <wp:docPr id="1100" name="Picture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pic:cNvPicPr>
                      <a:picLocks noChangeAspect="1" noChangeArrowheads="1"/>
                    </pic:cNvPicPr>
                  </pic:nvPicPr>
                  <pic:blipFill>
                    <a:blip r:embed="rId1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01" name="Picture 1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pic:cNvPicPr>
                      <a:picLocks noChangeAspect="1" noChangeArrowheads="1"/>
                    </pic:cNvPicPr>
                  </pic:nvPicPr>
                  <pic:blipFill>
                    <a:blip r:embed="rId1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02" name="Picture 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pic:cNvPicPr>
                      <a:picLocks noChangeAspect="1" noChangeArrowheads="1"/>
                    </pic:cNvPicPr>
                  </pic:nvPicPr>
                  <pic:blipFill>
                    <a:blip r:embed="rId110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06" w:name="page107"/>
    <w:bookmarkEnd w:id="106"/>
    <w:p>
      <w:pPr>
        <w:ind w:left="36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21"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480" w:type="dxa"/>
            <w:vAlign w:val="bottom"/>
            <w:gridSpan w:val="5"/>
          </w:tcPr>
          <w:p>
            <w:pPr>
              <w:ind w:left="980"/>
              <w:spacing w:after="0"/>
              <w:rPr>
                <w:sz w:val="20"/>
                <w:szCs w:val="20"/>
                <w:color w:val="auto"/>
              </w:rPr>
            </w:pPr>
            <w:r>
              <w:rPr>
                <w:rFonts w:ascii="Arial" w:cs="Arial" w:eastAsia="Arial" w:hAnsi="Arial"/>
                <w:sz w:val="14"/>
                <w:szCs w:val="14"/>
                <w:b w:val="1"/>
                <w:bCs w:val="1"/>
                <w:color w:val="auto"/>
                <w:w w:val="89"/>
              </w:rPr>
              <w:t>Years Ended January 31,</w:t>
            </w:r>
          </w:p>
        </w:tc>
        <w:tc>
          <w:tcPr>
            <w:tcW w:w="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514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5140" w:type="dxa"/>
            <w:vAlign w:val="bottom"/>
            <w:gridSpan w:val="2"/>
          </w:tcPr>
          <w:p>
            <w:pPr>
              <w:spacing w:after="0"/>
              <w:rPr>
                <w:sz w:val="20"/>
                <w:szCs w:val="20"/>
                <w:color w:val="auto"/>
              </w:rPr>
            </w:pPr>
            <w:r>
              <w:rPr>
                <w:rFonts w:ascii="Arial" w:cs="Arial" w:eastAsia="Arial" w:hAnsi="Arial"/>
                <w:sz w:val="14"/>
                <w:szCs w:val="14"/>
                <w:b w:val="1"/>
                <w:bCs w:val="1"/>
                <w:color w:val="auto"/>
              </w:rPr>
              <w:t>Net Revenue:</w:t>
            </w:r>
          </w:p>
        </w:tc>
        <w:tc>
          <w:tcPr>
            <w:tcW w:w="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40" w:type="dxa"/>
            <w:vAlign w:val="bottom"/>
          </w:tcPr>
          <w:p>
            <w:pPr>
              <w:jc w:val="right"/>
              <w:ind w:right="460"/>
              <w:spacing w:after="0"/>
              <w:rPr>
                <w:sz w:val="20"/>
                <w:szCs w:val="20"/>
                <w:color w:val="auto"/>
              </w:rPr>
            </w:pPr>
            <w:r>
              <w:rPr>
                <w:rFonts w:ascii="Arial" w:cs="Arial" w:eastAsia="Arial" w:hAnsi="Arial"/>
                <w:sz w:val="14"/>
                <w:szCs w:val="14"/>
                <w:b w:val="1"/>
                <w:bCs w:val="1"/>
                <w:color w:val="auto"/>
              </w:rPr>
              <w:t>2005</w:t>
            </w:r>
          </w:p>
        </w:tc>
        <w:tc>
          <w:tcPr>
            <w:tcW w:w="1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920" w:type="dxa"/>
            <w:vAlign w:val="bottom"/>
          </w:tcPr>
          <w:p>
            <w:pPr>
              <w:jc w:val="right"/>
              <w:ind w:right="377"/>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920" w:type="dxa"/>
            <w:vAlign w:val="bottom"/>
          </w:tcPr>
          <w:p>
            <w:pPr>
              <w:jc w:val="right"/>
              <w:ind w:right="397"/>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763,004</w:t>
            </w:r>
          </w:p>
        </w:tc>
        <w:tc>
          <w:tcPr>
            <w:tcW w:w="4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447,676</w:t>
            </w:r>
          </w:p>
        </w:tc>
        <w:tc>
          <w:tcPr>
            <w:tcW w:w="1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280,043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120" w:type="dxa"/>
            <w:vAlign w:val="bottom"/>
          </w:tcPr>
          <w:p>
            <w:pPr>
              <w:spacing w:after="0"/>
              <w:rPr>
                <w:sz w:val="20"/>
                <w:szCs w:val="20"/>
                <w:color w:val="auto"/>
              </w:rPr>
            </w:pPr>
            <w:r>
              <w:rPr>
                <w:rFonts w:ascii="Arial" w:cs="Arial" w:eastAsia="Arial" w:hAnsi="Arial"/>
                <w:sz w:val="18"/>
                <w:szCs w:val="18"/>
                <w:color w:val="auto"/>
              </w:rPr>
              <w:t>Communications products</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461,576</w:t>
            </w:r>
          </w:p>
        </w:tc>
        <w:tc>
          <w:tcPr>
            <w:tcW w:w="1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372,086</w:t>
            </w: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225,242</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2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1,224,580</w:t>
            </w:r>
          </w:p>
        </w:tc>
        <w:tc>
          <w:tcPr>
            <w:tcW w:w="4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819,762</w:t>
            </w:r>
          </w:p>
        </w:tc>
        <w:tc>
          <w:tcPr>
            <w:tcW w:w="1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505,285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60" w:type="dxa"/>
            <w:vAlign w:val="bottom"/>
          </w:tcPr>
          <w:p>
            <w:pPr>
              <w:spacing w:after="0"/>
              <w:rPr>
                <w:sz w:val="9"/>
                <w:szCs w:val="9"/>
                <w:color w:val="auto"/>
              </w:rPr>
            </w:pPr>
          </w:p>
        </w:tc>
        <w:tc>
          <w:tcPr>
            <w:tcW w:w="9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10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92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6589395</wp:posOffset>
            </wp:positionH>
            <wp:positionV relativeFrom="paragraph">
              <wp:posOffset>-1000760</wp:posOffset>
            </wp:positionV>
            <wp:extent cx="12700" cy="8890"/>
            <wp:wrapNone/>
            <wp:docPr id="1103" name="Picture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1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-1000760</wp:posOffset>
            </wp:positionV>
            <wp:extent cx="12700" cy="8890"/>
            <wp:wrapNone/>
            <wp:docPr id="1104" name="Picture 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4"/>
                    <pic:cNvPicPr>
                      <a:picLocks noChangeAspect="1" noChangeArrowheads="1"/>
                    </pic:cNvPicPr>
                  </pic:nvPicPr>
                  <pic:blipFill>
                    <a:blip r:embed="rId1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-751840</wp:posOffset>
            </wp:positionV>
            <wp:extent cx="12700" cy="8890"/>
            <wp:wrapNone/>
            <wp:docPr id="1105"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1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663575</wp:posOffset>
            </wp:positionH>
            <wp:positionV relativeFrom="paragraph">
              <wp:posOffset>-751840</wp:posOffset>
            </wp:positionV>
            <wp:extent cx="12700" cy="8890"/>
            <wp:wrapNone/>
            <wp:docPr id="1106" name="Picture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1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-751840</wp:posOffset>
            </wp:positionV>
            <wp:extent cx="12700" cy="8890"/>
            <wp:wrapNone/>
            <wp:docPr id="1107" name="Picture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pic:cNvPicPr>
                      <a:picLocks noChangeAspect="1" noChangeArrowheads="1"/>
                    </pic:cNvPicPr>
                  </pic:nvPicPr>
                  <pic:blipFill>
                    <a:blip r:embed="rId1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-751840</wp:posOffset>
            </wp:positionV>
            <wp:extent cx="12700" cy="8890"/>
            <wp:wrapNone/>
            <wp:docPr id="1108" name="Picture 1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pic:cNvPicPr>
                      <a:picLocks noChangeAspect="1" noChangeArrowheads="1"/>
                    </pic:cNvPicPr>
                  </pic:nvPicPr>
                  <pic:blipFill>
                    <a:blip r:embed="rId1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5723255</wp:posOffset>
            </wp:positionH>
            <wp:positionV relativeFrom="paragraph">
              <wp:posOffset>-751840</wp:posOffset>
            </wp:positionV>
            <wp:extent cx="12700" cy="8890"/>
            <wp:wrapNone/>
            <wp:docPr id="1109" name="Picture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1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-751840</wp:posOffset>
            </wp:positionV>
            <wp:extent cx="12700" cy="8890"/>
            <wp:wrapNone/>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pic:cNvPicPr>
                      <a:picLocks noChangeAspect="1" noChangeArrowheads="1"/>
                    </pic:cNvPicPr>
                  </pic:nvPicPr>
                  <pic:blipFill>
                    <a:blip r:embed="rId1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-751840</wp:posOffset>
            </wp:positionV>
            <wp:extent cx="12700" cy="8890"/>
            <wp:wrapNone/>
            <wp:docPr id="1111" name="Picture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pic:cNvPicPr>
                      <a:picLocks noChangeAspect="1" noChangeArrowheads="1"/>
                    </pic:cNvPicPr>
                  </pic:nvPicPr>
                  <pic:blipFill>
                    <a:blip r:embed="rId1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-751840</wp:posOffset>
            </wp:positionV>
            <wp:extent cx="12700" cy="889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-323215</wp:posOffset>
            </wp:positionV>
            <wp:extent cx="12700" cy="8890"/>
            <wp:wrapNone/>
            <wp:docPr id="1113" name="Picture 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pic:cNvPicPr>
                      <a:picLocks noChangeAspect="1" noChangeArrowheads="1"/>
                    </pic:cNvPicPr>
                  </pic:nvPicPr>
                  <pic:blipFill>
                    <a:blip r:embed="rId1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4033520</wp:posOffset>
            </wp:positionH>
            <wp:positionV relativeFrom="paragraph">
              <wp:posOffset>-323215</wp:posOffset>
            </wp:positionV>
            <wp:extent cx="12700" cy="8890"/>
            <wp:wrapNone/>
            <wp:docPr id="1114" name="Picture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pic:cNvPicPr>
                      <a:picLocks noChangeAspect="1" noChangeArrowheads="1"/>
                    </pic:cNvPicPr>
                  </pic:nvPicPr>
                  <pic:blipFill>
                    <a:blip r:embed="rId1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5723255</wp:posOffset>
            </wp:positionH>
            <wp:positionV relativeFrom="paragraph">
              <wp:posOffset>-323215</wp:posOffset>
            </wp:positionV>
            <wp:extent cx="12700" cy="8890"/>
            <wp:wrapNone/>
            <wp:docPr id="1115" name="Picture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1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-323215</wp:posOffset>
            </wp:positionV>
            <wp:extent cx="12700" cy="8890"/>
            <wp:wrapNone/>
            <wp:docPr id="1116" name="Picture 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pic:cNvPicPr>
                      <a:picLocks noChangeAspect="1" noChangeArrowheads="1"/>
                    </pic:cNvPicPr>
                  </pic:nvPicPr>
                  <pic:blipFill>
                    <a:blip r:embed="rId1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-323215</wp:posOffset>
            </wp:positionV>
            <wp:extent cx="12700" cy="8890"/>
            <wp:wrapNone/>
            <wp:docPr id="1117" name="Pictur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1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-323215</wp:posOffset>
            </wp:positionV>
            <wp:extent cx="12700" cy="8890"/>
            <wp:wrapNone/>
            <wp:docPr id="1118" name="Picture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pic:cNvPicPr>
                      <a:picLocks noChangeAspect="1" noChangeArrowheads="1"/>
                    </pic:cNvPicPr>
                  </pic:nvPicPr>
                  <pic:blipFill>
                    <a:blip r:embed="rId11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Related Party Transactions:</w:t>
      </w:r>
    </w:p>
    <w:p>
      <w:pPr>
        <w:spacing w:after="0" w:line="231" w:lineRule="exact"/>
        <w:rPr>
          <w:sz w:val="20"/>
          <w:szCs w:val="20"/>
          <w:color w:val="auto"/>
        </w:rPr>
      </w:pPr>
    </w:p>
    <w:p>
      <w:pPr>
        <w:ind w:right="80" w:firstLine="351"/>
        <w:spacing w:after="0" w:line="255" w:lineRule="auto"/>
        <w:rPr>
          <w:sz w:val="20"/>
          <w:szCs w:val="20"/>
          <w:color w:val="auto"/>
        </w:rPr>
      </w:pPr>
      <w:r>
        <w:rPr>
          <w:rFonts w:ascii="Arial" w:cs="Arial" w:eastAsia="Arial" w:hAnsi="Arial"/>
          <w:sz w:val="18"/>
          <w:szCs w:val="18"/>
          <w:color w:val="auto"/>
        </w:rPr>
        <w:t>During fiscal 2005 and 2004, the Company incurred approximately $0.6 million and $0.4 million, respectively of expenses from an unrelated third-party entity, ACM Aviation, Inc. ("ACM") for charter aircraft services provided to MSI. The aircraft provided by ACM to the Company for such services is owned by Estopia Air LLC ("Estopia Air"). The Company's President and Chief Executive Officer, Dr. Sehat Sutardja, Ph.D, and Executive Vice President, Weili Dai, through their control and ownership in Estopia Air, own the aircraft provided by ACM. The $0.6 million and $0.4 million of expenses were the result of the Company's use of the aircraft for business travel purposes.</w:t>
      </w:r>
    </w:p>
    <w:p>
      <w:pPr>
        <w:spacing w:after="0" w:line="197" w:lineRule="exact"/>
        <w:rPr>
          <w:sz w:val="20"/>
          <w:szCs w:val="20"/>
          <w:color w:val="auto"/>
        </w:rPr>
      </w:pPr>
    </w:p>
    <w:p>
      <w:pPr>
        <w:ind w:right="40" w:firstLine="351"/>
        <w:spacing w:after="0" w:line="294" w:lineRule="auto"/>
        <w:rPr>
          <w:sz w:val="20"/>
          <w:szCs w:val="20"/>
          <w:color w:val="auto"/>
        </w:rPr>
      </w:pPr>
      <w:r>
        <w:rPr>
          <w:rFonts w:ascii="Arial" w:cs="Arial" w:eastAsia="Arial" w:hAnsi="Arial"/>
          <w:sz w:val="16"/>
          <w:szCs w:val="16"/>
          <w:color w:val="auto"/>
        </w:rPr>
        <w:t>On February 19, 2005, the Company, through its subsidiaries MSI and Marvell Asia Pte. Ltd. ("MAPL"), entered into a development agreement with MagnetoX ("MagnetoX"). Although no revenue has been recognized yet, the Company expects to recognize $1.0 million of revenue from the development agreement. Herbert Chang, one of the Company's directors, is a shareholder of MagnetoX. Estopia Air is also a shareholder of MagnetoX. Dr. Sehat Sutardja, Ph.D., the Company's Chairman, President and Chief Executive Officer and Weili Dai, the Company's Director, Secretary and Executive Vice President, through their ownership and control of Estopia Air, are indirect shareholders of MagnetoX.</w:t>
      </w:r>
    </w:p>
    <w:p>
      <w:pPr>
        <w:spacing w:after="0" w:line="170" w:lineRule="exact"/>
        <w:rPr>
          <w:sz w:val="20"/>
          <w:szCs w:val="20"/>
          <w:color w:val="auto"/>
        </w:rPr>
      </w:pPr>
    </w:p>
    <w:p>
      <w:pPr>
        <w:ind w:right="20" w:firstLine="351"/>
        <w:spacing w:after="0" w:line="303" w:lineRule="auto"/>
        <w:rPr>
          <w:sz w:val="20"/>
          <w:szCs w:val="20"/>
          <w:color w:val="auto"/>
        </w:rPr>
      </w:pPr>
      <w:r>
        <w:rPr>
          <w:rFonts w:ascii="Arial" w:cs="Arial" w:eastAsia="Arial" w:hAnsi="Arial"/>
          <w:sz w:val="15"/>
          <w:szCs w:val="15"/>
          <w:color w:val="auto"/>
        </w:rPr>
        <w:t>In October 2001, the Company entered into a lease agreement with a privately-held design technology firm for certain computer-aided design software. One of the officers of the design technology firm is the brother of an officer and director of the Company and is also a shareholder of the Company. The design technology firm was acquired by Cadence Design Systems in December 2001 and the lease agreement was subsequently amended in June 2002. Total principal,</w:t>
      </w:r>
    </w:p>
    <w:p>
      <w:pPr>
        <w:spacing w:after="0" w:line="1" w:lineRule="exact"/>
        <w:rPr>
          <w:sz w:val="20"/>
          <w:szCs w:val="20"/>
          <w:color w:val="auto"/>
        </w:rPr>
      </w:pPr>
    </w:p>
    <w:p>
      <w:pPr>
        <w:ind w:right="280"/>
        <w:spacing w:after="0" w:line="209" w:lineRule="auto"/>
        <w:rPr>
          <w:sz w:val="20"/>
          <w:szCs w:val="20"/>
          <w:color w:val="auto"/>
        </w:rPr>
      </w:pPr>
      <w:r>
        <w:rPr>
          <w:rFonts w:ascii="Arial" w:cs="Arial" w:eastAsia="Arial" w:hAnsi="Arial"/>
          <w:sz w:val="18"/>
          <w:szCs w:val="18"/>
          <w:color w:val="auto"/>
        </w:rPr>
        <w:t>interest and maintenance payments over the 3</w:t>
      </w:r>
      <w:r>
        <w:rPr>
          <w:rFonts w:ascii="Arial" w:cs="Arial" w:eastAsia="Arial" w:hAnsi="Arial"/>
          <w:sz w:val="29"/>
          <w:szCs w:val="29"/>
          <w:color w:val="auto"/>
          <w:vertAlign w:val="superscript"/>
        </w:rPr>
        <w:t>1</w:t>
      </w:r>
      <w:r>
        <w:rPr>
          <w:rFonts w:ascii="Arial" w:cs="Arial" w:eastAsia="Arial" w:hAnsi="Arial"/>
          <w:sz w:val="18"/>
          <w:szCs w:val="18"/>
          <w:color w:val="auto"/>
        </w:rPr>
        <w:t>/</w:t>
      </w:r>
      <w:r>
        <w:rPr>
          <w:rFonts w:ascii="Arial" w:cs="Arial" w:eastAsia="Arial" w:hAnsi="Arial"/>
          <w:sz w:val="14"/>
          <w:szCs w:val="14"/>
          <w:color w:val="auto"/>
        </w:rPr>
        <w:t>2</w:t>
      </w:r>
      <w:r>
        <w:rPr>
          <w:rFonts w:ascii="Arial" w:cs="Arial" w:eastAsia="Arial" w:hAnsi="Arial"/>
          <w:sz w:val="18"/>
          <w:szCs w:val="18"/>
          <w:color w:val="auto"/>
        </w:rPr>
        <w:t>-year term of the lease will be $20.7 million. The remaining lease payments of $3.1 million as of January 31, 2005 are included in the capital lease commitment table in Note 11 to the Consolidated Financial Statements.</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Subsequent Event:</w:t>
      </w:r>
    </w:p>
    <w:p>
      <w:pPr>
        <w:spacing w:after="0" w:line="231" w:lineRule="exact"/>
        <w:rPr>
          <w:sz w:val="20"/>
          <w:szCs w:val="20"/>
          <w:color w:val="auto"/>
        </w:rPr>
      </w:pPr>
    </w:p>
    <w:p>
      <w:pPr>
        <w:jc w:val="both"/>
        <w:ind w:firstLine="351"/>
        <w:spacing w:after="0" w:line="259"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July 1, 2005. In return, the Company agreed to pay the foundry $174.2 million over a period of 18 months beginning on April 15, 2005.</w:t>
      </w:r>
    </w:p>
    <w:p>
      <w:pPr>
        <w:spacing w:after="0" w:line="19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19" name="Picture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11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131" w:right="319" w:bottom="1440" w:gutter="0" w:footer="0" w:header="0"/>
        </w:sectPr>
      </w:pPr>
    </w:p>
    <w:bookmarkStart w:id="107" w:name="page108"/>
    <w:bookmarkEnd w:id="107"/>
    <w:p>
      <w:pPr>
        <w:spacing w:after="0"/>
        <w:rPr>
          <w:sz w:val="20"/>
          <w:szCs w:val="20"/>
          <w:color w:val="auto"/>
        </w:rPr>
      </w:pPr>
      <w:r>
        <w:rPr>
          <w:rFonts w:ascii="Arial" w:cs="Arial" w:eastAsia="Arial" w:hAnsi="Arial"/>
          <w:sz w:val="18"/>
          <w:szCs w:val="18"/>
          <w:b w:val="1"/>
          <w:bCs w:val="1"/>
          <w:color w:val="auto"/>
        </w:rPr>
        <w:t>Supplementary Data (Unaudited)</w:t>
      </w:r>
    </w:p>
    <w:p>
      <w:pPr>
        <w:spacing w:after="0" w:line="231" w:lineRule="exact"/>
        <w:rPr>
          <w:sz w:val="20"/>
          <w:szCs w:val="20"/>
          <w:color w:val="auto"/>
        </w:rPr>
      </w:pPr>
    </w:p>
    <w:p>
      <w:pPr>
        <w:ind w:right="60" w:firstLine="348"/>
        <w:spacing w:after="0" w:line="291" w:lineRule="auto"/>
        <w:rPr>
          <w:sz w:val="20"/>
          <w:szCs w:val="20"/>
          <w:color w:val="auto"/>
        </w:rPr>
      </w:pPr>
      <w:r>
        <w:rPr>
          <w:rFonts w:ascii="Arial" w:cs="Arial" w:eastAsia="Arial" w:hAnsi="Arial"/>
          <w:sz w:val="16"/>
          <w:szCs w:val="16"/>
          <w:color w:val="auto"/>
        </w:rPr>
        <w:t>The following table presents our unaudited consolidated statements of operations data for each of the eight quarters in the period ended January 31, 2005. In our opinion, this information has been presented on the same basis as the audited consolidated financial statements included in a separate section of this report, and all necessary adjustments, consisting only of normal recurring adjustments, have been included in the amounts below to present fairly the unaudited quarterly results when read in conjunction with the audited consolidated financial statements and related notes. The operating results for any quarter should not be relied upon as necessarily indicative of results for any future period. We expect our quarterly operating results to fluctuate in future periods due to a variety of reasons, including those discussed in "Additional Factors That May Affect Future Results."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88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580" w:type="dxa"/>
            <w:vAlign w:val="bottom"/>
            <w:gridSpan w:val="3"/>
          </w:tcPr>
          <w:p>
            <w:pPr>
              <w:jc w:val="center"/>
              <w:ind w:left="741"/>
              <w:spacing w:after="0"/>
              <w:rPr>
                <w:sz w:val="20"/>
                <w:szCs w:val="20"/>
                <w:color w:val="auto"/>
              </w:rPr>
            </w:pPr>
            <w:r>
              <w:rPr>
                <w:rFonts w:ascii="Arial" w:cs="Arial" w:eastAsia="Arial" w:hAnsi="Arial"/>
                <w:sz w:val="14"/>
                <w:szCs w:val="14"/>
                <w:b w:val="1"/>
                <w:bCs w:val="1"/>
                <w:color w:val="auto"/>
                <w:w w:val="85"/>
              </w:rPr>
              <w:t>Fiscal 2005</w:t>
            </w: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29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880" w:type="dxa"/>
            <w:vAlign w:val="bottom"/>
          </w:tcPr>
          <w:p>
            <w:pPr>
              <w:spacing w:after="0"/>
              <w:rPr>
                <w:sz w:val="20"/>
                <w:szCs w:val="20"/>
                <w:color w:val="auto"/>
              </w:rPr>
            </w:pPr>
          </w:p>
        </w:tc>
        <w:tc>
          <w:tcPr>
            <w:tcW w:w="29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2"/>
              </w:rPr>
              <w:t>First</w:t>
            </w:r>
          </w:p>
        </w:tc>
        <w:tc>
          <w:tcPr>
            <w:tcW w:w="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00" w:type="dxa"/>
            <w:vAlign w:val="bottom"/>
          </w:tcPr>
          <w:p>
            <w:pPr>
              <w:jc w:val="center"/>
              <w:ind w:right="21"/>
              <w:spacing w:after="0"/>
              <w:rPr>
                <w:sz w:val="20"/>
                <w:szCs w:val="20"/>
                <w:color w:val="auto"/>
              </w:rPr>
            </w:pPr>
            <w:r>
              <w:rPr>
                <w:rFonts w:ascii="Arial" w:cs="Arial" w:eastAsia="Arial" w:hAnsi="Arial"/>
                <w:sz w:val="14"/>
                <w:szCs w:val="14"/>
                <w:b w:val="1"/>
                <w:bCs w:val="1"/>
                <w:color w:val="auto"/>
                <w:w w:val="79"/>
              </w:rPr>
              <w:t>Second</w:t>
            </w: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80" w:type="dxa"/>
            <w:vAlign w:val="bottom"/>
          </w:tcPr>
          <w:p>
            <w:pPr>
              <w:jc w:val="center"/>
              <w:ind w:right="218"/>
              <w:spacing w:after="0"/>
              <w:rPr>
                <w:sz w:val="20"/>
                <w:szCs w:val="20"/>
                <w:color w:val="auto"/>
              </w:rPr>
            </w:pPr>
            <w:r>
              <w:rPr>
                <w:rFonts w:ascii="Arial" w:cs="Arial" w:eastAsia="Arial" w:hAnsi="Arial"/>
                <w:sz w:val="14"/>
                <w:szCs w:val="14"/>
                <w:b w:val="1"/>
                <w:bCs w:val="1"/>
                <w:color w:val="auto"/>
                <w:w w:val="97"/>
              </w:rPr>
              <w:t>Third</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0"/>
              </w:rPr>
              <w:t>Fourth</w:t>
            </w: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88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00" w:type="dxa"/>
            <w:vAlign w:val="bottom"/>
          </w:tcPr>
          <w:p>
            <w:pPr>
              <w:jc w:val="center"/>
              <w:ind w:right="21"/>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80" w:type="dxa"/>
            <w:vAlign w:val="bottom"/>
          </w:tcPr>
          <w:p>
            <w:pPr>
              <w:jc w:val="center"/>
              <w:ind w:right="238"/>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4"/>
              </w:rPr>
              <w:t>Quarter</w:t>
            </w: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29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Borders>
              <w:bottom w:val="single" w:sz="8" w:color="808080"/>
            </w:tcBorders>
            <w:gridSpan w:val="2"/>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880" w:type="dxa"/>
            <w:vAlign w:val="bottom"/>
          </w:tcPr>
          <w:p>
            <w:pPr>
              <w:spacing w:after="0"/>
              <w:rPr>
                <w:sz w:val="23"/>
                <w:szCs w:val="23"/>
                <w:color w:val="auto"/>
              </w:rPr>
            </w:pPr>
          </w:p>
        </w:tc>
        <w:tc>
          <w:tcPr>
            <w:tcW w:w="2960" w:type="dxa"/>
            <w:vAlign w:val="bottom"/>
          </w:tcPr>
          <w:p>
            <w:pPr>
              <w:spacing w:after="0"/>
              <w:rPr>
                <w:sz w:val="23"/>
                <w:szCs w:val="23"/>
                <w:color w:val="auto"/>
              </w:rPr>
            </w:pPr>
          </w:p>
        </w:tc>
        <w:tc>
          <w:tcPr>
            <w:tcW w:w="14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460" w:type="dxa"/>
            <w:vAlign w:val="bottom"/>
            <w:gridSpan w:val="4"/>
          </w:tcPr>
          <w:p>
            <w:pPr>
              <w:jc w:val="center"/>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880" w:type="dxa"/>
            <w:vAlign w:val="bottom"/>
            <w:vMerge w:val="restart"/>
          </w:tcPr>
          <w:p>
            <w:pPr>
              <w:spacing w:after="0"/>
              <w:rPr>
                <w:sz w:val="20"/>
                <w:szCs w:val="20"/>
                <w:color w:val="auto"/>
              </w:rPr>
            </w:pPr>
          </w:p>
        </w:tc>
        <w:tc>
          <w:tcPr>
            <w:tcW w:w="29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80" w:type="dxa"/>
            <w:vAlign w:val="bottom"/>
            <w:vMerge w:val="continue"/>
          </w:tcPr>
          <w:p>
            <w:pPr>
              <w:spacing w:after="0"/>
              <w:rPr>
                <w:sz w:val="18"/>
                <w:szCs w:val="18"/>
                <w:color w:val="auto"/>
              </w:rPr>
            </w:pPr>
          </w:p>
        </w:tc>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269,577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297,154</w:t>
            </w: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317,583</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340,266</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tcPr>
          <w:p>
            <w:pPr>
              <w:spacing w:after="0"/>
              <w:rPr>
                <w:sz w:val="20"/>
                <w:szCs w:val="20"/>
                <w:color w:val="auto"/>
              </w:rPr>
            </w:pPr>
            <w:r>
              <w:rPr>
                <w:rFonts w:ascii="Arial" w:cs="Arial" w:eastAsia="Arial" w:hAnsi="Arial"/>
                <w:sz w:val="18"/>
                <w:szCs w:val="18"/>
                <w:color w:val="auto"/>
              </w:rPr>
              <w:t>Gross profit</w:t>
            </w:r>
          </w:p>
        </w:tc>
        <w:tc>
          <w:tcPr>
            <w:tcW w:w="1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141,741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156,249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167,323</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177,510</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4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14,497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28,624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43,595</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54,945</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tcPr>
          <w:p>
            <w:pPr>
              <w:spacing w:after="0"/>
              <w:rPr>
                <w:sz w:val="20"/>
                <w:szCs w:val="20"/>
                <w:color w:val="auto"/>
              </w:rPr>
            </w:pPr>
            <w:r>
              <w:rPr>
                <w:rFonts w:ascii="Arial" w:cs="Arial" w:eastAsia="Arial" w:hAnsi="Arial"/>
                <w:sz w:val="18"/>
                <w:szCs w:val="18"/>
                <w:color w:val="auto"/>
              </w:rPr>
              <w:t>Net income per share:</w:t>
            </w:r>
          </w:p>
        </w:tc>
        <w:tc>
          <w:tcPr>
            <w:tcW w:w="1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880" w:type="dxa"/>
            <w:vAlign w:val="bottom"/>
          </w:tcPr>
          <w:p>
            <w:pPr>
              <w:spacing w:after="0"/>
              <w:rPr>
                <w:sz w:val="17"/>
                <w:szCs w:val="17"/>
                <w:color w:val="auto"/>
              </w:rPr>
            </w:pPr>
          </w:p>
        </w:tc>
        <w:tc>
          <w:tcPr>
            <w:tcW w:w="2960" w:type="dxa"/>
            <w:vAlign w:val="bottom"/>
          </w:tcPr>
          <w:p>
            <w:pPr>
              <w:ind w:left="180"/>
              <w:spacing w:after="0" w:line="203" w:lineRule="exact"/>
              <w:rPr>
                <w:sz w:val="20"/>
                <w:szCs w:val="20"/>
                <w:color w:val="auto"/>
              </w:rPr>
            </w:pPr>
            <w:r>
              <w:rPr>
                <w:rFonts w:ascii="Arial" w:cs="Arial" w:eastAsia="Arial" w:hAnsi="Arial"/>
                <w:sz w:val="18"/>
                <w:szCs w:val="18"/>
                <w:color w:val="auto"/>
              </w:rPr>
              <w:t>Diluted</w:t>
            </w:r>
          </w:p>
        </w:tc>
        <w:tc>
          <w:tcPr>
            <w:tcW w:w="1640" w:type="dxa"/>
            <w:vAlign w:val="bottom"/>
            <w:gridSpan w:val="2"/>
          </w:tcPr>
          <w:p>
            <w:pPr>
              <w:jc w:val="right"/>
              <w:ind w:right="120"/>
              <w:spacing w:after="0" w:line="203" w:lineRule="exact"/>
              <w:rPr>
                <w:sz w:val="20"/>
                <w:szCs w:val="20"/>
                <w:color w:val="auto"/>
              </w:rPr>
            </w:pPr>
            <w:r>
              <w:rPr>
                <w:rFonts w:ascii="Arial" w:cs="Arial" w:eastAsia="Arial" w:hAnsi="Arial"/>
                <w:sz w:val="18"/>
                <w:szCs w:val="18"/>
                <w:color w:val="auto"/>
              </w:rPr>
              <w:t>$</w:t>
            </w:r>
          </w:p>
        </w:tc>
        <w:tc>
          <w:tcPr>
            <w:tcW w:w="980" w:type="dxa"/>
            <w:vAlign w:val="bottom"/>
          </w:tcPr>
          <w:p>
            <w:pPr>
              <w:jc w:val="right"/>
              <w:spacing w:after="0" w:line="203" w:lineRule="exact"/>
              <w:rPr>
                <w:sz w:val="20"/>
                <w:szCs w:val="20"/>
                <w:color w:val="auto"/>
              </w:rPr>
            </w:pPr>
            <w:r>
              <w:rPr>
                <w:rFonts w:ascii="Arial" w:cs="Arial" w:eastAsia="Arial" w:hAnsi="Arial"/>
                <w:sz w:val="18"/>
                <w:szCs w:val="18"/>
                <w:color w:val="auto"/>
              </w:rPr>
              <w:t>0.05</w:t>
            </w:r>
          </w:p>
        </w:tc>
        <w:tc>
          <w:tcPr>
            <w:tcW w:w="260" w:type="dxa"/>
            <w:vAlign w:val="bottom"/>
            <w:gridSpan w:val="2"/>
          </w:tcPr>
          <w:p>
            <w:pPr>
              <w:jc w:val="right"/>
              <w:spacing w:after="0" w:line="203" w:lineRule="exact"/>
              <w:rPr>
                <w:sz w:val="20"/>
                <w:szCs w:val="20"/>
                <w:color w:val="auto"/>
              </w:rPr>
            </w:pPr>
            <w:r>
              <w:rPr>
                <w:rFonts w:ascii="Arial" w:cs="Arial" w:eastAsia="Arial" w:hAnsi="Arial"/>
                <w:sz w:val="18"/>
                <w:szCs w:val="18"/>
                <w:color w:val="auto"/>
              </w:rPr>
              <w:t>$</w:t>
            </w:r>
          </w:p>
        </w:tc>
        <w:tc>
          <w:tcPr>
            <w:tcW w:w="1100" w:type="dxa"/>
            <w:vAlign w:val="bottom"/>
          </w:tcPr>
          <w:p>
            <w:pPr>
              <w:jc w:val="right"/>
              <w:spacing w:after="0" w:line="203" w:lineRule="exact"/>
              <w:rPr>
                <w:sz w:val="20"/>
                <w:szCs w:val="20"/>
                <w:color w:val="auto"/>
              </w:rPr>
            </w:pPr>
            <w:r>
              <w:rPr>
                <w:rFonts w:ascii="Arial" w:cs="Arial" w:eastAsia="Arial" w:hAnsi="Arial"/>
                <w:sz w:val="18"/>
                <w:szCs w:val="18"/>
                <w:color w:val="auto"/>
              </w:rPr>
              <w:t>0.10</w:t>
            </w:r>
          </w:p>
        </w:tc>
        <w:tc>
          <w:tcPr>
            <w:tcW w:w="480" w:type="dxa"/>
            <w:vAlign w:val="bottom"/>
            <w:gridSpan w:val="2"/>
          </w:tcPr>
          <w:p>
            <w:pPr>
              <w:jc w:val="right"/>
              <w:ind w:right="220"/>
              <w:spacing w:after="0" w:line="203" w:lineRule="exact"/>
              <w:rPr>
                <w:sz w:val="20"/>
                <w:szCs w:val="20"/>
                <w:color w:val="auto"/>
              </w:rPr>
            </w:pPr>
            <w:r>
              <w:rPr>
                <w:rFonts w:ascii="Arial" w:cs="Arial" w:eastAsia="Arial" w:hAnsi="Arial"/>
                <w:sz w:val="18"/>
                <w:szCs w:val="18"/>
                <w:color w:val="auto"/>
              </w:rPr>
              <w:t>$</w:t>
            </w:r>
          </w:p>
        </w:tc>
        <w:tc>
          <w:tcPr>
            <w:tcW w:w="880" w:type="dxa"/>
            <w:vAlign w:val="bottom"/>
          </w:tcPr>
          <w:p>
            <w:pPr>
              <w:jc w:val="right"/>
              <w:spacing w:after="0" w:line="203" w:lineRule="exact"/>
              <w:rPr>
                <w:sz w:val="20"/>
                <w:szCs w:val="20"/>
                <w:color w:val="auto"/>
              </w:rPr>
            </w:pPr>
            <w:r>
              <w:rPr>
                <w:rFonts w:ascii="Arial" w:cs="Arial" w:eastAsia="Arial" w:hAnsi="Arial"/>
                <w:sz w:val="18"/>
                <w:szCs w:val="18"/>
                <w:color w:val="auto"/>
              </w:rPr>
              <w:t>0.15</w:t>
            </w:r>
          </w:p>
        </w:tc>
        <w:tc>
          <w:tcPr>
            <w:tcW w:w="400" w:type="dxa"/>
            <w:vAlign w:val="bottom"/>
            <w:gridSpan w:val="2"/>
          </w:tcPr>
          <w:p>
            <w:pPr>
              <w:jc w:val="right"/>
              <w:ind w:right="140"/>
              <w:spacing w:after="0" w:line="203" w:lineRule="exact"/>
              <w:rPr>
                <w:sz w:val="20"/>
                <w:szCs w:val="20"/>
                <w:color w:val="auto"/>
              </w:rPr>
            </w:pPr>
            <w:r>
              <w:rPr>
                <w:rFonts w:ascii="Arial" w:cs="Arial" w:eastAsia="Arial" w:hAnsi="Arial"/>
                <w:sz w:val="18"/>
                <w:szCs w:val="18"/>
                <w:color w:val="auto"/>
              </w:rPr>
              <w:t>$</w:t>
            </w:r>
          </w:p>
        </w:tc>
        <w:tc>
          <w:tcPr>
            <w:tcW w:w="980" w:type="dxa"/>
            <w:vAlign w:val="bottom"/>
          </w:tcPr>
          <w:p>
            <w:pPr>
              <w:jc w:val="right"/>
              <w:spacing w:after="0" w:line="203" w:lineRule="exact"/>
              <w:rPr>
                <w:sz w:val="20"/>
                <w:szCs w:val="20"/>
                <w:color w:val="auto"/>
              </w:rPr>
            </w:pPr>
            <w:r>
              <w:rPr>
                <w:rFonts w:ascii="Arial" w:cs="Arial" w:eastAsia="Arial" w:hAnsi="Arial"/>
                <w:sz w:val="18"/>
                <w:szCs w:val="18"/>
                <w:color w:val="auto"/>
              </w:rPr>
              <w:t>0.18</w:t>
            </w:r>
          </w:p>
        </w:tc>
        <w:tc>
          <w:tcPr>
            <w:tcW w:w="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4"/>
        </w:trPr>
        <w:tc>
          <w:tcPr>
            <w:tcW w:w="88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580" w:type="dxa"/>
            <w:vAlign w:val="bottom"/>
            <w:gridSpan w:val="3"/>
          </w:tcPr>
          <w:p>
            <w:pPr>
              <w:jc w:val="center"/>
              <w:ind w:left="741"/>
              <w:spacing w:after="0"/>
              <w:rPr>
                <w:sz w:val="20"/>
                <w:szCs w:val="20"/>
                <w:color w:val="auto"/>
              </w:rPr>
            </w:pPr>
            <w:r>
              <w:rPr>
                <w:rFonts w:ascii="Arial" w:cs="Arial" w:eastAsia="Arial" w:hAnsi="Arial"/>
                <w:sz w:val="14"/>
                <w:szCs w:val="14"/>
                <w:b w:val="1"/>
                <w:bCs w:val="1"/>
                <w:color w:val="auto"/>
                <w:w w:val="85"/>
              </w:rPr>
              <w:t>Fiscal 2004</w:t>
            </w: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29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880" w:type="dxa"/>
            <w:vAlign w:val="bottom"/>
          </w:tcPr>
          <w:p>
            <w:pPr>
              <w:spacing w:after="0"/>
              <w:rPr>
                <w:sz w:val="20"/>
                <w:szCs w:val="20"/>
                <w:color w:val="auto"/>
              </w:rPr>
            </w:pPr>
          </w:p>
        </w:tc>
        <w:tc>
          <w:tcPr>
            <w:tcW w:w="29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2"/>
              </w:rPr>
              <w:t>First</w:t>
            </w:r>
          </w:p>
        </w:tc>
        <w:tc>
          <w:tcPr>
            <w:tcW w:w="1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00" w:type="dxa"/>
            <w:vAlign w:val="bottom"/>
          </w:tcPr>
          <w:p>
            <w:pPr>
              <w:jc w:val="center"/>
              <w:ind w:right="21"/>
              <w:spacing w:after="0"/>
              <w:rPr>
                <w:sz w:val="20"/>
                <w:szCs w:val="20"/>
                <w:color w:val="auto"/>
              </w:rPr>
            </w:pPr>
            <w:r>
              <w:rPr>
                <w:rFonts w:ascii="Arial" w:cs="Arial" w:eastAsia="Arial" w:hAnsi="Arial"/>
                <w:sz w:val="14"/>
                <w:szCs w:val="14"/>
                <w:b w:val="1"/>
                <w:bCs w:val="1"/>
                <w:color w:val="auto"/>
                <w:w w:val="79"/>
              </w:rPr>
              <w:t>Second</w:t>
            </w: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80" w:type="dxa"/>
            <w:vAlign w:val="bottom"/>
          </w:tcPr>
          <w:p>
            <w:pPr>
              <w:jc w:val="center"/>
              <w:ind w:right="218"/>
              <w:spacing w:after="0"/>
              <w:rPr>
                <w:sz w:val="20"/>
                <w:szCs w:val="20"/>
                <w:color w:val="auto"/>
              </w:rPr>
            </w:pPr>
            <w:r>
              <w:rPr>
                <w:rFonts w:ascii="Arial" w:cs="Arial" w:eastAsia="Arial" w:hAnsi="Arial"/>
                <w:sz w:val="14"/>
                <w:szCs w:val="14"/>
                <w:b w:val="1"/>
                <w:bCs w:val="1"/>
                <w:color w:val="auto"/>
                <w:w w:val="97"/>
              </w:rPr>
              <w:t>Third</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0"/>
              </w:rPr>
              <w:t>Fourth</w:t>
            </w: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88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00" w:type="dxa"/>
            <w:vAlign w:val="bottom"/>
          </w:tcPr>
          <w:p>
            <w:pPr>
              <w:jc w:val="center"/>
              <w:ind w:right="21"/>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80" w:type="dxa"/>
            <w:vAlign w:val="bottom"/>
          </w:tcPr>
          <w:p>
            <w:pPr>
              <w:jc w:val="center"/>
              <w:ind w:right="238"/>
              <w:spacing w:after="0"/>
              <w:rPr>
                <w:sz w:val="20"/>
                <w:szCs w:val="20"/>
                <w:color w:val="auto"/>
              </w:rPr>
            </w:pPr>
            <w:r>
              <w:rPr>
                <w:rFonts w:ascii="Arial" w:cs="Arial" w:eastAsia="Arial" w:hAnsi="Arial"/>
                <w:sz w:val="14"/>
                <w:szCs w:val="14"/>
                <w:b w:val="1"/>
                <w:bCs w:val="1"/>
                <w:color w:val="auto"/>
                <w:w w:val="94"/>
              </w:rPr>
              <w:t>Quarter</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80" w:type="dxa"/>
            <w:vAlign w:val="bottom"/>
          </w:tcPr>
          <w:p>
            <w:pPr>
              <w:jc w:val="center"/>
              <w:ind w:right="138"/>
              <w:spacing w:after="0"/>
              <w:rPr>
                <w:sz w:val="20"/>
                <w:szCs w:val="20"/>
                <w:color w:val="auto"/>
              </w:rPr>
            </w:pPr>
            <w:r>
              <w:rPr>
                <w:rFonts w:ascii="Arial" w:cs="Arial" w:eastAsia="Arial" w:hAnsi="Arial"/>
                <w:sz w:val="14"/>
                <w:szCs w:val="14"/>
                <w:b w:val="1"/>
                <w:bCs w:val="1"/>
                <w:color w:val="auto"/>
                <w:w w:val="94"/>
              </w:rPr>
              <w:t>Quarter</w:t>
            </w: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29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Borders>
              <w:bottom w:val="single" w:sz="8" w:color="808080"/>
            </w:tcBorders>
            <w:gridSpan w:val="2"/>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880" w:type="dxa"/>
            <w:vAlign w:val="bottom"/>
          </w:tcPr>
          <w:p>
            <w:pPr>
              <w:spacing w:after="0"/>
              <w:rPr>
                <w:sz w:val="23"/>
                <w:szCs w:val="23"/>
                <w:color w:val="auto"/>
              </w:rPr>
            </w:pPr>
          </w:p>
        </w:tc>
        <w:tc>
          <w:tcPr>
            <w:tcW w:w="2960" w:type="dxa"/>
            <w:vAlign w:val="bottom"/>
          </w:tcPr>
          <w:p>
            <w:pPr>
              <w:spacing w:after="0"/>
              <w:rPr>
                <w:sz w:val="23"/>
                <w:szCs w:val="23"/>
                <w:color w:val="auto"/>
              </w:rPr>
            </w:pPr>
          </w:p>
        </w:tc>
        <w:tc>
          <w:tcPr>
            <w:tcW w:w="14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460" w:type="dxa"/>
            <w:vAlign w:val="bottom"/>
            <w:gridSpan w:val="4"/>
          </w:tcPr>
          <w:p>
            <w:pPr>
              <w:jc w:val="center"/>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1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880" w:type="dxa"/>
            <w:vAlign w:val="bottom"/>
            <w:vMerge w:val="restart"/>
          </w:tcPr>
          <w:p>
            <w:pPr>
              <w:spacing w:after="0"/>
              <w:rPr>
                <w:sz w:val="20"/>
                <w:szCs w:val="20"/>
                <w:color w:val="auto"/>
              </w:rPr>
            </w:pPr>
          </w:p>
        </w:tc>
        <w:tc>
          <w:tcPr>
            <w:tcW w:w="2960" w:type="dxa"/>
            <w:vAlign w:val="bottom"/>
          </w:tcPr>
          <w:p>
            <w:pPr>
              <w:spacing w:after="0"/>
              <w:rPr>
                <w:sz w:val="20"/>
                <w:szCs w:val="20"/>
                <w:color w:val="auto"/>
              </w:rPr>
            </w:pPr>
          </w:p>
        </w:tc>
        <w:tc>
          <w:tcPr>
            <w:tcW w:w="1640" w:type="dxa"/>
            <w:vAlign w:val="bottom"/>
            <w:gridSpan w:val="2"/>
          </w:tcPr>
          <w:p>
            <w:pPr>
              <w:spacing w:after="0"/>
              <w:rPr>
                <w:sz w:val="20"/>
                <w:szCs w:val="20"/>
                <w:color w:val="auto"/>
              </w:rPr>
            </w:pPr>
          </w:p>
        </w:tc>
        <w:tc>
          <w:tcPr>
            <w:tcW w:w="980" w:type="dxa"/>
            <w:vAlign w:val="bottom"/>
          </w:tcPr>
          <w:p>
            <w:pPr>
              <w:spacing w:after="0"/>
              <w:rPr>
                <w:sz w:val="20"/>
                <w:szCs w:val="20"/>
                <w:color w:val="auto"/>
              </w:rPr>
            </w:pPr>
          </w:p>
        </w:tc>
        <w:tc>
          <w:tcPr>
            <w:tcW w:w="260" w:type="dxa"/>
            <w:vAlign w:val="bottom"/>
            <w:gridSpan w:val="2"/>
          </w:tcPr>
          <w:p>
            <w:pPr>
              <w:spacing w:after="0"/>
              <w:rPr>
                <w:sz w:val="20"/>
                <w:szCs w:val="20"/>
                <w:color w:val="auto"/>
              </w:rPr>
            </w:pPr>
          </w:p>
        </w:tc>
        <w:tc>
          <w:tcPr>
            <w:tcW w:w="1100" w:type="dxa"/>
            <w:vAlign w:val="bottom"/>
          </w:tcPr>
          <w:p>
            <w:pPr>
              <w:spacing w:after="0"/>
              <w:rPr>
                <w:sz w:val="20"/>
                <w:szCs w:val="20"/>
                <w:color w:val="auto"/>
              </w:rPr>
            </w:pPr>
          </w:p>
        </w:tc>
        <w:tc>
          <w:tcPr>
            <w:tcW w:w="480" w:type="dxa"/>
            <w:vAlign w:val="bottom"/>
            <w:gridSpan w:val="2"/>
          </w:tcPr>
          <w:p>
            <w:pPr>
              <w:spacing w:after="0"/>
              <w:rPr>
                <w:sz w:val="20"/>
                <w:szCs w:val="20"/>
                <w:color w:val="auto"/>
              </w:rPr>
            </w:pPr>
          </w:p>
        </w:tc>
        <w:tc>
          <w:tcPr>
            <w:tcW w:w="880" w:type="dxa"/>
            <w:vAlign w:val="bottom"/>
          </w:tcPr>
          <w:p>
            <w:pPr>
              <w:spacing w:after="0"/>
              <w:rPr>
                <w:sz w:val="20"/>
                <w:szCs w:val="20"/>
                <w:color w:val="auto"/>
              </w:rPr>
            </w:pPr>
          </w:p>
        </w:tc>
        <w:tc>
          <w:tcPr>
            <w:tcW w:w="400" w:type="dxa"/>
            <w:vAlign w:val="bottom"/>
            <w:gridSpan w:val="2"/>
          </w:tcPr>
          <w:p>
            <w:pPr>
              <w:spacing w:after="0"/>
              <w:rPr>
                <w:sz w:val="20"/>
                <w:szCs w:val="20"/>
                <w:color w:val="auto"/>
              </w:rPr>
            </w:pPr>
          </w:p>
        </w:tc>
        <w:tc>
          <w:tcPr>
            <w:tcW w:w="9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80" w:type="dxa"/>
            <w:vAlign w:val="bottom"/>
            <w:vMerge w:val="continue"/>
          </w:tcPr>
          <w:p>
            <w:pPr>
              <w:spacing w:after="0"/>
              <w:rPr>
                <w:sz w:val="18"/>
                <w:szCs w:val="18"/>
                <w:color w:val="auto"/>
              </w:rPr>
            </w:pPr>
          </w:p>
        </w:tc>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168,283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192,854</w:t>
            </w: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215,331</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243,294</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tcPr>
          <w:p>
            <w:pPr>
              <w:spacing w:after="0"/>
              <w:rPr>
                <w:sz w:val="20"/>
                <w:szCs w:val="20"/>
                <w:color w:val="auto"/>
              </w:rPr>
            </w:pPr>
            <w:r>
              <w:rPr>
                <w:rFonts w:ascii="Arial" w:cs="Arial" w:eastAsia="Arial" w:hAnsi="Arial"/>
                <w:sz w:val="18"/>
                <w:szCs w:val="18"/>
                <w:color w:val="auto"/>
              </w:rPr>
              <w:t>Gross profit</w:t>
            </w:r>
          </w:p>
        </w:tc>
        <w:tc>
          <w:tcPr>
            <w:tcW w:w="1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92,170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103,910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114,494</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126,982</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4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11,956</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19,775</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tcPr>
          <w:p>
            <w:pPr>
              <w:spacing w:after="0"/>
              <w:rPr>
                <w:sz w:val="20"/>
                <w:szCs w:val="20"/>
                <w:color w:val="auto"/>
              </w:rPr>
            </w:pPr>
            <w:r>
              <w:rPr>
                <w:rFonts w:ascii="Arial" w:cs="Arial" w:eastAsia="Arial" w:hAnsi="Arial"/>
                <w:sz w:val="18"/>
                <w:szCs w:val="18"/>
                <w:color w:val="auto"/>
              </w:rPr>
              <w:t>Net income per share:</w:t>
            </w:r>
          </w:p>
        </w:tc>
        <w:tc>
          <w:tcPr>
            <w:tcW w:w="1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6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0.04</w:t>
            </w:r>
          </w:p>
        </w:tc>
        <w:tc>
          <w:tcPr>
            <w:tcW w:w="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80" w:type="dxa"/>
            <w:vAlign w:val="bottom"/>
          </w:tcPr>
          <w:p>
            <w:pPr>
              <w:spacing w:after="0"/>
              <w:rPr>
                <w:sz w:val="19"/>
                <w:szCs w:val="19"/>
                <w:color w:val="auto"/>
              </w:rPr>
            </w:pPr>
          </w:p>
        </w:tc>
        <w:tc>
          <w:tcPr>
            <w:tcW w:w="2960" w:type="dxa"/>
            <w:vAlign w:val="bottom"/>
          </w:tcPr>
          <w:p>
            <w:pPr>
              <w:ind w:left="180"/>
              <w:spacing w:after="0"/>
              <w:rPr>
                <w:sz w:val="20"/>
                <w:szCs w:val="20"/>
                <w:color w:val="auto"/>
              </w:rPr>
            </w:pPr>
            <w:r>
              <w:rPr>
                <w:rFonts w:ascii="Arial" w:cs="Arial" w:eastAsia="Arial" w:hAnsi="Arial"/>
                <w:sz w:val="18"/>
                <w:szCs w:val="18"/>
                <w:color w:val="auto"/>
              </w:rPr>
              <w:t>Diluted</w:t>
            </w:r>
          </w:p>
        </w:tc>
        <w:tc>
          <w:tcPr>
            <w:tcW w:w="16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0.03</w:t>
            </w:r>
          </w:p>
        </w:tc>
        <w:tc>
          <w:tcPr>
            <w:tcW w:w="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0.04</w:t>
            </w:r>
          </w:p>
        </w:tc>
        <w:tc>
          <w:tcPr>
            <w:tcW w:w="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0.07</w:t>
            </w: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88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jc w:val="right"/>
              <w:ind w:right="538"/>
              <w:spacing w:after="0"/>
              <w:rPr>
                <w:sz w:val="20"/>
                <w:szCs w:val="20"/>
                <w:color w:val="auto"/>
              </w:rPr>
            </w:pPr>
            <w:r>
              <w:rPr>
                <w:rFonts w:ascii="Arial" w:cs="Arial" w:eastAsia="Arial" w:hAnsi="Arial"/>
                <w:sz w:val="18"/>
                <w:szCs w:val="18"/>
                <w:color w:val="auto"/>
              </w:rPr>
              <w:t>107</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880" w:type="dxa"/>
            <w:vAlign w:val="bottom"/>
            <w:tcBorders>
              <w:bottom w:val="single" w:sz="8" w:color="808080"/>
            </w:tcBorders>
          </w:tcPr>
          <w:p>
            <w:pPr>
              <w:spacing w:after="0"/>
              <w:rPr>
                <w:sz w:val="19"/>
                <w:szCs w:val="19"/>
                <w:color w:val="auto"/>
              </w:rPr>
            </w:pPr>
          </w:p>
        </w:tc>
        <w:tc>
          <w:tcPr>
            <w:tcW w:w="296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11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6700520</wp:posOffset>
            </wp:positionH>
            <wp:positionV relativeFrom="paragraph">
              <wp:posOffset>-3590290</wp:posOffset>
            </wp:positionV>
            <wp:extent cx="12700" cy="8890"/>
            <wp:wrapNone/>
            <wp:docPr id="1120" name="Picture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1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-3590290</wp:posOffset>
            </wp:positionV>
            <wp:extent cx="12700" cy="8890"/>
            <wp:wrapNone/>
            <wp:docPr id="1121" name="Picture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pic:cNvPicPr>
                      <a:picLocks noChangeAspect="1" noChangeArrowheads="1"/>
                    </pic:cNvPicPr>
                  </pic:nvPicPr>
                  <pic:blipFill>
                    <a:blip r:embed="rId1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-3247390</wp:posOffset>
            </wp:positionV>
            <wp:extent cx="12700" cy="8890"/>
            <wp:wrapNone/>
            <wp:docPr id="1122" name="Picture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pic:cNvPicPr>
                      <a:picLocks noChangeAspect="1" noChangeArrowheads="1"/>
                    </pic:cNvPicPr>
                  </pic:nvPicPr>
                  <pic:blipFill>
                    <a:blip r:embed="rId1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-3247390</wp:posOffset>
            </wp:positionV>
            <wp:extent cx="12700" cy="8890"/>
            <wp:wrapNone/>
            <wp:docPr id="1123" name="Picture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pic:cNvPicPr>
                      <a:picLocks noChangeAspect="1" noChangeArrowheads="1"/>
                    </pic:cNvPicPr>
                  </pic:nvPicPr>
                  <pic:blipFill>
                    <a:blip r:embed="rId1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-3247390</wp:posOffset>
            </wp:positionV>
            <wp:extent cx="12700" cy="8890"/>
            <wp:wrapNone/>
            <wp:docPr id="1124" name="Picture 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pic:cNvPicPr>
                      <a:picLocks noChangeAspect="1" noChangeArrowheads="1"/>
                    </pic:cNvPicPr>
                  </pic:nvPicPr>
                  <pic:blipFill>
                    <a:blip r:embed="rId1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4213860</wp:posOffset>
            </wp:positionH>
            <wp:positionV relativeFrom="paragraph">
              <wp:posOffset>-3247390</wp:posOffset>
            </wp:positionV>
            <wp:extent cx="12700" cy="8890"/>
            <wp:wrapNone/>
            <wp:docPr id="1125" name="Picture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pic:cNvPicPr>
                      <a:picLocks noChangeAspect="1" noChangeArrowheads="1"/>
                    </pic:cNvPicPr>
                  </pic:nvPicPr>
                  <pic:blipFill>
                    <a:blip r:embed="rId1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-3247390</wp:posOffset>
            </wp:positionV>
            <wp:extent cx="12700" cy="8890"/>
            <wp:wrapNone/>
            <wp:docPr id="1126" name="Picture 1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pic:cNvPicPr>
                      <a:picLocks noChangeAspect="1" noChangeArrowheads="1"/>
                    </pic:cNvPicPr>
                  </pic:nvPicPr>
                  <pic:blipFill>
                    <a:blip r:embed="rId1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-3247390</wp:posOffset>
            </wp:positionV>
            <wp:extent cx="12700" cy="8890"/>
            <wp:wrapNone/>
            <wp:docPr id="1127" name="Picture 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
                    <pic:cNvPicPr>
                      <a:picLocks noChangeAspect="1" noChangeArrowheads="1"/>
                    </pic:cNvPicPr>
                  </pic:nvPicPr>
                  <pic:blipFill>
                    <a:blip r:embed="rId1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-3247390</wp:posOffset>
            </wp:positionV>
            <wp:extent cx="12700" cy="8890"/>
            <wp:wrapNone/>
            <wp:docPr id="1128" name="Picture 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8"/>
                    <pic:cNvPicPr>
                      <a:picLocks noChangeAspect="1" noChangeArrowheads="1"/>
                    </pic:cNvPicPr>
                  </pic:nvPicPr>
                  <pic:blipFill>
                    <a:blip r:embed="rId1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-3247390</wp:posOffset>
            </wp:positionV>
            <wp:extent cx="12700" cy="8890"/>
            <wp:wrapNone/>
            <wp:docPr id="1129" name="Picture 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pic:cNvPicPr>
                      <a:picLocks noChangeAspect="1" noChangeArrowheads="1"/>
                    </pic:cNvPicPr>
                  </pic:nvPicPr>
                  <pic:blipFill>
                    <a:blip r:embed="rId1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-1926590</wp:posOffset>
            </wp:positionV>
            <wp:extent cx="12700" cy="8890"/>
            <wp:wrapNone/>
            <wp:docPr id="1130" name="Picture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pic:cNvPicPr>
                      <a:picLocks noChangeAspect="1" noChangeArrowheads="1"/>
                    </pic:cNvPicPr>
                  </pic:nvPicPr>
                  <pic:blipFill>
                    <a:blip r:embed="rId1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-1926590</wp:posOffset>
            </wp:positionV>
            <wp:extent cx="12700" cy="8890"/>
            <wp:wrapNone/>
            <wp:docPr id="1131" name="Picture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pic:cNvPicPr>
                      <a:picLocks noChangeAspect="1" noChangeArrowheads="1"/>
                    </pic:cNvPicPr>
                  </pic:nvPicPr>
                  <pic:blipFill>
                    <a:blip r:embed="rId1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-1583690</wp:posOffset>
            </wp:positionV>
            <wp:extent cx="12700" cy="8890"/>
            <wp:wrapNone/>
            <wp:docPr id="1132" name="Picture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pic:cNvPicPr>
                      <a:picLocks noChangeAspect="1" noChangeArrowheads="1"/>
                    </pic:cNvPicPr>
                  </pic:nvPicPr>
                  <pic:blipFill>
                    <a:blip r:embed="rId1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-1583690</wp:posOffset>
            </wp:positionV>
            <wp:extent cx="12700" cy="8890"/>
            <wp:wrapNone/>
            <wp:docPr id="1133" name="Picture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pic:cNvPicPr>
                      <a:picLocks noChangeAspect="1" noChangeArrowheads="1"/>
                    </pic:cNvPicPr>
                  </pic:nvPicPr>
                  <pic:blipFill>
                    <a:blip r:embed="rId1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-1583690</wp:posOffset>
            </wp:positionV>
            <wp:extent cx="12700" cy="8890"/>
            <wp:wrapNone/>
            <wp:docPr id="1134" name="Picture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pic:cNvPicPr>
                      <a:picLocks noChangeAspect="1" noChangeArrowheads="1"/>
                    </pic:cNvPicPr>
                  </pic:nvPicPr>
                  <pic:blipFill>
                    <a:blip r:embed="rId1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4213860</wp:posOffset>
            </wp:positionH>
            <wp:positionV relativeFrom="paragraph">
              <wp:posOffset>-1583690</wp:posOffset>
            </wp:positionV>
            <wp:extent cx="12700" cy="8890"/>
            <wp:wrapNone/>
            <wp:docPr id="1135" name="Picture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pic:cNvPicPr>
                      <a:picLocks noChangeAspect="1" noChangeArrowheads="1"/>
                    </pic:cNvPicPr>
                  </pic:nvPicPr>
                  <pic:blipFill>
                    <a:blip r:embed="rId1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-1583690</wp:posOffset>
            </wp:positionV>
            <wp:extent cx="12700" cy="8890"/>
            <wp:wrapNone/>
            <wp:docPr id="1136" name="Picture 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pic:cNvPicPr>
                      <a:picLocks noChangeAspect="1" noChangeArrowheads="1"/>
                    </pic:cNvPicPr>
                  </pic:nvPicPr>
                  <pic:blipFill>
                    <a:blip r:embed="rId1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-1583690</wp:posOffset>
            </wp:positionV>
            <wp:extent cx="12700" cy="8890"/>
            <wp:wrapNone/>
            <wp:docPr id="1137" name="Picture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pic:cNvPicPr>
                      <a:picLocks noChangeAspect="1" noChangeArrowheads="1"/>
                    </pic:cNvPicPr>
                  </pic:nvPicPr>
                  <pic:blipFill>
                    <a:blip r:embed="rId1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-1583690</wp:posOffset>
            </wp:positionV>
            <wp:extent cx="12700" cy="8890"/>
            <wp:wrapNone/>
            <wp:docPr id="1138" name="Pictur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pic:cNvPicPr>
                      <a:picLocks noChangeAspect="1" noChangeArrowheads="1"/>
                    </pic:cNvPicPr>
                  </pic:nvPicPr>
                  <pic:blipFill>
                    <a:blip r:embed="rId1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-1583690</wp:posOffset>
            </wp:positionV>
            <wp:extent cx="12700" cy="8890"/>
            <wp:wrapNone/>
            <wp:docPr id="1139" name="Picture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pic:cNvPicPr>
                      <a:picLocks noChangeAspect="1" noChangeArrowheads="1"/>
                    </pic:cNvPicPr>
                  </pic:nvPicPr>
                  <pic:blipFill>
                    <a:blip r:embed="rId1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pic:cNvPicPr>
                      <a:picLocks noChangeAspect="1" noChangeArrowheads="1"/>
                    </pic:cNvPicPr>
                  </pic:nvPicPr>
                  <pic:blipFill>
                    <a:blip r:embed="rId1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41" name="Picture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11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8" w:name="page109"/>
    <w:bookmarkEnd w:id="108"/>
    <w:p>
      <w:pPr>
        <w:spacing w:after="0"/>
        <w:tabs>
          <w:tab w:leader="none" w:pos="70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231"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i w:val="1"/>
          <w:iCs w:val="1"/>
          <w:color w:val="auto"/>
        </w:rPr>
        <w:t xml:space="preserve">Conclusion Regarding the Effectiveness of Disclosure Controls and Procedures. </w:t>
      </w:r>
      <w:r>
        <w:rPr>
          <w:rFonts w:ascii="Arial" w:cs="Arial" w:eastAsia="Arial" w:hAnsi="Arial"/>
          <w:sz w:val="16"/>
          <w:szCs w:val="16"/>
          <w:color w:val="auto"/>
        </w:rPr>
        <w:t>Under the supervision and with the participation of our management,</w:t>
      </w:r>
      <w:r>
        <w:rPr>
          <w:rFonts w:ascii="Arial" w:cs="Arial" w:eastAsia="Arial" w:hAnsi="Arial"/>
          <w:sz w:val="16"/>
          <w:szCs w:val="16"/>
          <w:i w:val="1"/>
          <w:iCs w:val="1"/>
          <w:color w:val="auto"/>
        </w:rPr>
        <w:t xml:space="preserve"> </w:t>
      </w:r>
      <w:r>
        <w:rPr>
          <w:rFonts w:ascii="Arial" w:cs="Arial" w:eastAsia="Arial" w:hAnsi="Arial"/>
          <w:sz w:val="16"/>
          <w:szCs w:val="16"/>
          <w:color w:val="auto"/>
        </w:rPr>
        <w:t>including our principal executive officer and principal financial officer, we conducted an evaluation of our disclosure controls and procedures, as such term is defined under Rule 13a-15(e) promulgated under the Securities Exchange Act of 1934, as amended (the "Exchange Act"). Based on this evaluation, our principal executive officer and our principal financial officer concluded that our disclosure controls and procedures were effective as of January 31, 2005.</w:t>
      </w:r>
    </w:p>
    <w:p>
      <w:pPr>
        <w:spacing w:after="0" w:line="167" w:lineRule="exact"/>
        <w:rPr>
          <w:sz w:val="20"/>
          <w:szCs w:val="20"/>
          <w:color w:val="auto"/>
        </w:rPr>
      </w:pPr>
    </w:p>
    <w:p>
      <w:pPr>
        <w:ind w:right="360" w:firstLine="348"/>
        <w:spacing w:after="0" w:line="268" w:lineRule="auto"/>
        <w:rPr>
          <w:sz w:val="20"/>
          <w:szCs w:val="20"/>
          <w:color w:val="auto"/>
        </w:rPr>
      </w:pPr>
      <w:r>
        <w:rPr>
          <w:rFonts w:ascii="Arial" w:cs="Arial" w:eastAsia="Arial" w:hAnsi="Arial"/>
          <w:sz w:val="18"/>
          <w:szCs w:val="18"/>
          <w:color w:val="auto"/>
        </w:rPr>
        <w:t>The information required to be furnished pursuant to this item is set forth under the caption "Report of Management on Internal Control Over Financial Reporting" in Item 8 of this Annual Report on Form 10-K, which is incorporated herein by this reference.</w:t>
      </w:r>
    </w:p>
    <w:p>
      <w:pPr>
        <w:spacing w:after="0" w:line="396" w:lineRule="exact"/>
        <w:rPr>
          <w:sz w:val="20"/>
          <w:szCs w:val="20"/>
          <w:color w:val="auto"/>
        </w:rPr>
      </w:pPr>
    </w:p>
    <w:p>
      <w:pPr>
        <w:spacing w:after="0"/>
        <w:tabs>
          <w:tab w:leader="none" w:pos="80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42" name="Picture 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pic:cNvPicPr>
                      <a:picLocks noChangeAspect="1" noChangeArrowheads="1"/>
                    </pic:cNvPicPr>
                  </pic:nvPicPr>
                  <pic:blipFill>
                    <a:blip r:embed="rId11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341" w:right="319" w:bottom="1440" w:gutter="0" w:footer="0" w:header="0"/>
        </w:sectPr>
      </w:pPr>
    </w:p>
    <w:bookmarkStart w:id="109" w:name="page110"/>
    <w:bookmarkEnd w:id="109"/>
    <w:p>
      <w:pPr>
        <w:jc w:val="center"/>
        <w:ind w:right="20"/>
        <w:spacing w:after="0"/>
        <w:rPr>
          <w:sz w:val="20"/>
          <w:szCs w:val="20"/>
          <w:color w:val="auto"/>
        </w:rPr>
      </w:pPr>
      <w:r>
        <w:rPr>
          <w:rFonts w:ascii="Arial" w:cs="Arial" w:eastAsia="Arial" w:hAnsi="Arial"/>
          <w:sz w:val="18"/>
          <w:szCs w:val="18"/>
          <w:b w:val="1"/>
          <w:bCs w:val="1"/>
          <w:color w:val="auto"/>
        </w:rPr>
        <w:t>PART III</w:t>
      </w:r>
    </w:p>
    <w:p>
      <w:pPr>
        <w:spacing w:after="0" w:line="225"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and Executive Officers of the Registrant</w:t>
      </w:r>
    </w:p>
    <w:p>
      <w:pPr>
        <w:spacing w:after="0" w:line="231" w:lineRule="exact"/>
        <w:rPr>
          <w:sz w:val="20"/>
          <w:szCs w:val="20"/>
          <w:color w:val="auto"/>
        </w:rPr>
      </w:pPr>
    </w:p>
    <w:p>
      <w:pPr>
        <w:ind w:right="100" w:firstLine="348"/>
        <w:spacing w:after="0" w:line="255" w:lineRule="auto"/>
        <w:rPr>
          <w:sz w:val="20"/>
          <w:szCs w:val="20"/>
          <w:color w:val="auto"/>
        </w:rPr>
      </w:pPr>
      <w:r>
        <w:rPr>
          <w:rFonts w:ascii="Arial" w:cs="Arial" w:eastAsia="Arial" w:hAnsi="Arial"/>
          <w:sz w:val="18"/>
          <w:szCs w:val="18"/>
          <w:color w:val="auto"/>
        </w:rPr>
        <w:t>The information required by this Item with respect to our executive officers is incorporated by reference from the information set forth under the caption "Management" in our 2005 Proxy Statement. The remaining information required by Items 401 and 405 of Regulation S-K is incorporated by reference from the information set forth under the captions "Election of Directors" and "Section 16(a) Beneficial Ownership Reporting Compliance" in our Definitive Proxy Statement in connection with our 2005 Annual General Meeting of Shareholders (the "2005 Proxy Statement") which will be filed with the Securities and Exchange Commission no later than 120 days after January 29, 2005.</w:t>
      </w:r>
    </w:p>
    <w:p>
      <w:pPr>
        <w:spacing w:after="0" w:line="197" w:lineRule="exact"/>
        <w:rPr>
          <w:sz w:val="20"/>
          <w:szCs w:val="20"/>
          <w:color w:val="auto"/>
        </w:rPr>
      </w:pPr>
    </w:p>
    <w:p>
      <w:pPr>
        <w:ind w:firstLine="348"/>
        <w:spacing w:after="0" w:line="255" w:lineRule="auto"/>
        <w:rPr>
          <w:sz w:val="20"/>
          <w:szCs w:val="20"/>
          <w:color w:val="auto"/>
        </w:rPr>
      </w:pPr>
      <w:r>
        <w:rPr>
          <w:rFonts w:ascii="Arial" w:cs="Arial" w:eastAsia="Arial" w:hAnsi="Arial"/>
          <w:sz w:val="18"/>
          <w:szCs w:val="18"/>
          <w:color w:val="auto"/>
        </w:rPr>
        <w:t>We have adopted a code of ethics that applies to all of our directors, officers (including our Chief Executive Officer (our principal executive officer), Chief Financial Officer (our principal financial and accounting officer), Corporate Controller and any person performing similar functions) and employees. The Code of Ethics is available on our web site www.marvell.com. We will disclose on our web site amendments to, or waivers from, our Code of Ethics applicable to our directors and executive officers, including our Chief Executive Officer, our Chief Financial Officer (our principal financial and accounting officer), in accordance with applicable laws and regulations.</w:t>
      </w:r>
    </w:p>
    <w:p>
      <w:pPr>
        <w:spacing w:after="0" w:line="197" w:lineRule="exact"/>
        <w:rPr>
          <w:sz w:val="20"/>
          <w:szCs w:val="20"/>
          <w:color w:val="auto"/>
        </w:rPr>
      </w:pPr>
    </w:p>
    <w:p>
      <w:pPr>
        <w:ind w:right="600" w:firstLine="348"/>
        <w:spacing w:after="0" w:line="268" w:lineRule="auto"/>
        <w:rPr>
          <w:sz w:val="20"/>
          <w:szCs w:val="20"/>
          <w:color w:val="auto"/>
        </w:rPr>
      </w:pPr>
      <w:r>
        <w:rPr>
          <w:rFonts w:ascii="Arial" w:cs="Arial" w:eastAsia="Arial" w:hAnsi="Arial"/>
          <w:sz w:val="18"/>
          <w:szCs w:val="18"/>
          <w:color w:val="auto"/>
        </w:rPr>
        <w:t>The information required by this item concerning our audit committee and audit committee financial expert is set forth in the section titled "Board of Directors and Committees of the Board," in our 2005 Proxy Statement and is incorporated herein by reference.</w:t>
      </w:r>
    </w:p>
    <w:p>
      <w:pPr>
        <w:spacing w:after="0" w:line="396"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231" w:lineRule="exact"/>
        <w:rPr>
          <w:sz w:val="20"/>
          <w:szCs w:val="20"/>
          <w:color w:val="auto"/>
        </w:rPr>
      </w:pPr>
    </w:p>
    <w:p>
      <w:pPr>
        <w:ind w:right="200" w:firstLine="348"/>
        <w:spacing w:after="0" w:line="259" w:lineRule="auto"/>
        <w:rPr>
          <w:sz w:val="20"/>
          <w:szCs w:val="20"/>
          <w:color w:val="auto"/>
        </w:rPr>
      </w:pPr>
      <w:r>
        <w:rPr>
          <w:rFonts w:ascii="Arial" w:cs="Arial" w:eastAsia="Arial" w:hAnsi="Arial"/>
          <w:sz w:val="18"/>
          <w:szCs w:val="18"/>
          <w:color w:val="auto"/>
        </w:rPr>
        <w:t>The information required by Item 402 of Regulation S-K is incorporated by reference from the information set forth under the caption "Executive Compensation," "Board of Directors and Committees of the Board" and "Executive Compensation Committee Interlocks and Insider Participation" in our 2005 Proxy Statement.</w:t>
      </w:r>
    </w:p>
    <w:p>
      <w:pPr>
        <w:spacing w:after="0" w:line="200" w:lineRule="exact"/>
        <w:rPr>
          <w:sz w:val="20"/>
          <w:szCs w:val="20"/>
          <w:color w:val="auto"/>
        </w:rPr>
      </w:pPr>
    </w:p>
    <w:p>
      <w:pPr>
        <w:spacing w:after="0" w:line="204"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Stockholders Matters</w:t>
      </w:r>
    </w:p>
    <w:p>
      <w:pPr>
        <w:spacing w:after="0" w:line="231"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from the information set forth under the caption "Security Ownership of Certain Beneficial Owners and Management" in our 2005 Proxy Statement.</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43" name="Picture 1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pic:cNvPicPr>
                      <a:picLocks noChangeAspect="1" noChangeArrowheads="1"/>
                    </pic:cNvPicPr>
                  </pic:nvPicPr>
                  <pic:blipFill>
                    <a:blip r:embed="rId11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110" w:name="page111"/>
    <w:bookmarkEnd w:id="110"/>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information provides certain information with respect to all of our equity compensation plans in effect as of January 31, 2005</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Number of</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 to Be</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206"/>
              <w:spacing w:after="0" w:line="149" w:lineRule="exact"/>
              <w:rPr>
                <w:sz w:val="20"/>
                <w:szCs w:val="20"/>
                <w:color w:val="auto"/>
              </w:rPr>
            </w:pPr>
            <w:r>
              <w:rPr>
                <w:rFonts w:ascii="Arial" w:cs="Arial" w:eastAsia="Arial" w:hAnsi="Arial"/>
                <w:sz w:val="14"/>
                <w:szCs w:val="14"/>
                <w:b w:val="1"/>
                <w:bCs w:val="1"/>
                <w:color w:val="auto"/>
                <w:w w:val="85"/>
              </w:rPr>
              <w:t>Weighted</w:t>
            </w: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Issued Upon</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206"/>
              <w:spacing w:after="0" w:line="149" w:lineRule="exact"/>
              <w:rPr>
                <w:sz w:val="20"/>
                <w:szCs w:val="20"/>
                <w:color w:val="auto"/>
              </w:rPr>
            </w:pPr>
            <w:r>
              <w:rPr>
                <w:rFonts w:ascii="Arial" w:cs="Arial" w:eastAsia="Arial" w:hAnsi="Arial"/>
                <w:sz w:val="14"/>
                <w:szCs w:val="14"/>
                <w:b w:val="1"/>
                <w:bCs w:val="1"/>
                <w:color w:val="auto"/>
                <w:w w:val="83"/>
              </w:rPr>
              <w:t>Average Exercise</w:t>
            </w:r>
          </w:p>
        </w:tc>
        <w:tc>
          <w:tcPr>
            <w:tcW w:w="180" w:type="dxa"/>
            <w:vAlign w:val="bottom"/>
          </w:tcPr>
          <w:p>
            <w:pPr>
              <w:spacing w:after="0"/>
              <w:rPr>
                <w:sz w:val="12"/>
                <w:szCs w:val="12"/>
                <w:color w:val="auto"/>
              </w:rPr>
            </w:pPr>
          </w:p>
        </w:tc>
        <w:tc>
          <w:tcPr>
            <w:tcW w:w="1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Available for</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Exercise of</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206"/>
              <w:spacing w:after="0" w:line="149" w:lineRule="exact"/>
              <w:rPr>
                <w:sz w:val="20"/>
                <w:szCs w:val="20"/>
                <w:color w:val="auto"/>
              </w:rPr>
            </w:pPr>
            <w:r>
              <w:rPr>
                <w:rFonts w:ascii="Arial" w:cs="Arial" w:eastAsia="Arial" w:hAnsi="Arial"/>
                <w:sz w:val="14"/>
                <w:szCs w:val="14"/>
                <w:b w:val="1"/>
                <w:bCs w:val="1"/>
                <w:color w:val="auto"/>
                <w:w w:val="89"/>
              </w:rPr>
              <w:t>Price of</w:t>
            </w: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186"/>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(Excluding</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Options,</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206"/>
              <w:spacing w:after="0" w:line="149" w:lineRule="exact"/>
              <w:rPr>
                <w:sz w:val="20"/>
                <w:szCs w:val="20"/>
                <w:color w:val="auto"/>
              </w:rPr>
            </w:pPr>
            <w:r>
              <w:rPr>
                <w:rFonts w:ascii="Arial" w:cs="Arial" w:eastAsia="Arial" w:hAnsi="Arial"/>
                <w:sz w:val="14"/>
                <w:szCs w:val="14"/>
                <w:b w:val="1"/>
                <w:bCs w:val="1"/>
                <w:color w:val="auto"/>
                <w:w w:val="87"/>
              </w:rPr>
              <w:t>Options,</w:t>
            </w: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20" w:type="dxa"/>
            <w:vAlign w:val="bottom"/>
          </w:tcPr>
          <w:p>
            <w:pPr>
              <w:jc w:val="center"/>
              <w:ind w:right="186"/>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80" w:type="dxa"/>
            <w:vAlign w:val="bottom"/>
          </w:tcPr>
          <w:p>
            <w:pPr>
              <w:spacing w:after="0"/>
              <w:rPr>
                <w:sz w:val="12"/>
                <w:szCs w:val="12"/>
                <w:color w:val="auto"/>
              </w:rPr>
            </w:pPr>
          </w:p>
        </w:tc>
        <w:tc>
          <w:tcPr>
            <w:tcW w:w="1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74"/>
        </w:trPr>
        <w:tc>
          <w:tcPr>
            <w:tcW w:w="4780" w:type="dxa"/>
            <w:vAlign w:val="bottom"/>
            <w:gridSpan w:val="3"/>
          </w:tcPr>
          <w:p>
            <w:pPr>
              <w:ind w:left="760"/>
              <w:spacing w:after="0"/>
              <w:rPr>
                <w:sz w:val="20"/>
                <w:szCs w:val="20"/>
                <w:color w:val="auto"/>
              </w:rPr>
            </w:pPr>
            <w:r>
              <w:rPr>
                <w:rFonts w:ascii="Arial" w:cs="Arial" w:eastAsia="Arial" w:hAnsi="Arial"/>
                <w:sz w:val="14"/>
                <w:szCs w:val="14"/>
                <w:b w:val="1"/>
                <w:bCs w:val="1"/>
                <w:color w:val="auto"/>
              </w:rPr>
              <w:t>Plan Category</w:t>
            </w:r>
          </w:p>
        </w:tc>
        <w:tc>
          <w:tcPr>
            <w:tcW w:w="180" w:type="dxa"/>
            <w:vAlign w:val="bottom"/>
          </w:tcPr>
          <w:p>
            <w:pPr>
              <w:spacing w:after="0"/>
              <w:rPr>
                <w:sz w:val="15"/>
                <w:szCs w:val="15"/>
                <w:color w:val="auto"/>
              </w:rPr>
            </w:pPr>
          </w:p>
        </w:tc>
        <w:tc>
          <w:tcPr>
            <w:tcW w:w="1600" w:type="dxa"/>
            <w:vAlign w:val="bottom"/>
          </w:tcPr>
          <w:p>
            <w:pPr>
              <w:jc w:val="center"/>
              <w:spacing w:after="0"/>
              <w:rPr>
                <w:sz w:val="20"/>
                <w:szCs w:val="20"/>
                <w:color w:val="auto"/>
              </w:rPr>
            </w:pPr>
            <w:r>
              <w:rPr>
                <w:rFonts w:ascii="Arial" w:cs="Arial" w:eastAsia="Arial" w:hAnsi="Arial"/>
                <w:sz w:val="14"/>
                <w:szCs w:val="14"/>
                <w:b w:val="1"/>
                <w:bCs w:val="1"/>
                <w:color w:val="auto"/>
                <w:w w:val="85"/>
              </w:rPr>
              <w:t>Rights(a)</w:t>
            </w:r>
          </w:p>
        </w:tc>
        <w:tc>
          <w:tcPr>
            <w:tcW w:w="1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620" w:type="dxa"/>
            <w:vAlign w:val="bottom"/>
          </w:tcPr>
          <w:p>
            <w:pPr>
              <w:jc w:val="center"/>
              <w:ind w:right="206"/>
              <w:spacing w:after="0"/>
              <w:rPr>
                <w:sz w:val="20"/>
                <w:szCs w:val="20"/>
                <w:color w:val="auto"/>
              </w:rPr>
            </w:pPr>
            <w:r>
              <w:rPr>
                <w:rFonts w:ascii="Arial" w:cs="Arial" w:eastAsia="Arial" w:hAnsi="Arial"/>
                <w:sz w:val="14"/>
                <w:szCs w:val="14"/>
                <w:b w:val="1"/>
                <w:bCs w:val="1"/>
                <w:color w:val="auto"/>
                <w:w w:val="87"/>
              </w:rPr>
              <w:t>Rights(b)</w:t>
            </w:r>
          </w:p>
        </w:tc>
        <w:tc>
          <w:tcPr>
            <w:tcW w:w="180" w:type="dxa"/>
            <w:vAlign w:val="bottom"/>
          </w:tcPr>
          <w:p>
            <w:pPr>
              <w:spacing w:after="0"/>
              <w:rPr>
                <w:sz w:val="15"/>
                <w:szCs w:val="15"/>
                <w:color w:val="auto"/>
              </w:rPr>
            </w:pPr>
          </w:p>
        </w:tc>
        <w:tc>
          <w:tcPr>
            <w:tcW w:w="1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Column(a)(c)</w:t>
            </w:r>
          </w:p>
        </w:tc>
        <w:tc>
          <w:tcPr>
            <w:tcW w:w="0" w:type="dxa"/>
            <w:vAlign w:val="bottom"/>
          </w:tcPr>
          <w:p>
            <w:pPr>
              <w:spacing w:after="0"/>
              <w:rPr>
                <w:sz w:val="1"/>
                <w:szCs w:val="1"/>
                <w:color w:val="auto"/>
              </w:rPr>
            </w:pPr>
          </w:p>
        </w:tc>
      </w:tr>
      <w:tr>
        <w:trPr>
          <w:trHeight w:val="105"/>
        </w:trPr>
        <w:tc>
          <w:tcPr>
            <w:tcW w:w="76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3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60" w:type="dxa"/>
            <w:vAlign w:val="bottom"/>
            <w:vMerge w:val="restart"/>
          </w:tcPr>
          <w:p>
            <w:pPr>
              <w:spacing w:after="0"/>
              <w:rPr>
                <w:sz w:val="9"/>
                <w:szCs w:val="9"/>
                <w:color w:val="auto"/>
              </w:rPr>
            </w:pPr>
          </w:p>
        </w:tc>
        <w:tc>
          <w:tcPr>
            <w:tcW w:w="80" w:type="dxa"/>
            <w:vAlign w:val="bottom"/>
          </w:tcPr>
          <w:p>
            <w:pPr>
              <w:spacing w:after="0"/>
              <w:rPr>
                <w:sz w:val="9"/>
                <w:szCs w:val="9"/>
                <w:color w:val="auto"/>
              </w:rPr>
            </w:pPr>
          </w:p>
        </w:tc>
        <w:tc>
          <w:tcPr>
            <w:tcW w:w="3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760" w:type="dxa"/>
            <w:vAlign w:val="bottom"/>
            <w:vMerge w:val="continue"/>
          </w:tcPr>
          <w:p>
            <w:pPr>
              <w:spacing w:after="0"/>
              <w:rPr>
                <w:sz w:val="18"/>
                <w:szCs w:val="18"/>
                <w:color w:val="auto"/>
              </w:rPr>
            </w:pPr>
          </w:p>
        </w:tc>
        <w:tc>
          <w:tcPr>
            <w:tcW w:w="4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Equity compensation plans approved by security</w:t>
            </w:r>
          </w:p>
        </w:tc>
        <w:tc>
          <w:tcPr>
            <w:tcW w:w="180" w:type="dxa"/>
            <w:vAlign w:val="bottom"/>
            <w:shd w:val="clear" w:color="auto" w:fill="CCEEFF"/>
          </w:tcPr>
          <w:p>
            <w:pPr>
              <w:spacing w:after="0"/>
              <w:rPr>
                <w:sz w:val="18"/>
                <w:szCs w:val="18"/>
                <w:color w:val="auto"/>
              </w:rPr>
            </w:pP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4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60" w:type="dxa"/>
            <w:vAlign w:val="bottom"/>
          </w:tcPr>
          <w:p>
            <w:pPr>
              <w:spacing w:after="0"/>
              <w:rPr>
                <w:sz w:val="19"/>
                <w:szCs w:val="19"/>
                <w:color w:val="auto"/>
              </w:rPr>
            </w:pPr>
          </w:p>
        </w:tc>
        <w:tc>
          <w:tcPr>
            <w:tcW w:w="4020" w:type="dxa"/>
            <w:vAlign w:val="bottom"/>
            <w:gridSpan w:val="2"/>
            <w:shd w:val="clear" w:color="auto" w:fill="CCEEFF"/>
          </w:tcPr>
          <w:p>
            <w:pPr>
              <w:jc w:val="right"/>
              <w:ind w:right="3300"/>
              <w:spacing w:after="0"/>
              <w:rPr>
                <w:sz w:val="20"/>
                <w:szCs w:val="20"/>
                <w:color w:val="auto"/>
              </w:rPr>
            </w:pPr>
            <w:r>
              <w:rPr>
                <w:rFonts w:ascii="Arial" w:cs="Arial" w:eastAsia="Arial" w:hAnsi="Arial"/>
                <w:sz w:val="18"/>
                <w:szCs w:val="18"/>
                <w:color w:val="auto"/>
                <w:w w:val="86"/>
              </w:rPr>
              <w:t>holders(1)</w:t>
            </w:r>
          </w:p>
        </w:tc>
        <w:tc>
          <w:tcPr>
            <w:tcW w:w="1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49,742,245</w:t>
            </w:r>
          </w:p>
        </w:tc>
        <w:tc>
          <w:tcPr>
            <w:tcW w:w="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20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32,076,374(2)</w:t>
            </w:r>
          </w:p>
        </w:tc>
        <w:tc>
          <w:tcPr>
            <w:tcW w:w="0" w:type="dxa"/>
            <w:vAlign w:val="bottom"/>
          </w:tcPr>
          <w:p>
            <w:pPr>
              <w:spacing w:after="0"/>
              <w:rPr>
                <w:sz w:val="1"/>
                <w:szCs w:val="1"/>
                <w:color w:val="auto"/>
              </w:rPr>
            </w:pPr>
          </w:p>
        </w:tc>
      </w:tr>
      <w:tr>
        <w:trPr>
          <w:trHeight w:val="208"/>
        </w:trPr>
        <w:tc>
          <w:tcPr>
            <w:tcW w:w="760" w:type="dxa"/>
            <w:vAlign w:val="bottom"/>
          </w:tcPr>
          <w:p>
            <w:pPr>
              <w:spacing w:after="0"/>
              <w:rPr>
                <w:sz w:val="18"/>
                <w:szCs w:val="18"/>
                <w:color w:val="auto"/>
              </w:rPr>
            </w:pPr>
          </w:p>
        </w:tc>
        <w:tc>
          <w:tcPr>
            <w:tcW w:w="4020" w:type="dxa"/>
            <w:vAlign w:val="bottom"/>
            <w:gridSpan w:val="2"/>
          </w:tcPr>
          <w:p>
            <w:pPr>
              <w:spacing w:after="0"/>
              <w:rPr>
                <w:sz w:val="20"/>
                <w:szCs w:val="20"/>
                <w:color w:val="auto"/>
              </w:rPr>
            </w:pPr>
            <w:r>
              <w:rPr>
                <w:rFonts w:ascii="Arial" w:cs="Arial" w:eastAsia="Arial" w:hAnsi="Arial"/>
                <w:sz w:val="18"/>
                <w:szCs w:val="18"/>
                <w:color w:val="auto"/>
                <w:w w:val="96"/>
              </w:rPr>
              <w:t>Equity compensation plans not approved by security</w:t>
            </w:r>
          </w:p>
        </w:tc>
        <w:tc>
          <w:tcPr>
            <w:tcW w:w="18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80" w:type="dxa"/>
            <w:vAlign w:val="bottom"/>
            <w:gridSpan w:val="3"/>
          </w:tcPr>
          <w:p>
            <w:pPr>
              <w:jc w:val="right"/>
              <w:ind w:right="3300"/>
              <w:spacing w:after="0"/>
              <w:rPr>
                <w:sz w:val="20"/>
                <w:szCs w:val="20"/>
                <w:color w:val="auto"/>
              </w:rPr>
            </w:pPr>
            <w:r>
              <w:rPr>
                <w:rFonts w:ascii="Arial" w:cs="Arial" w:eastAsia="Arial" w:hAnsi="Arial"/>
                <w:sz w:val="18"/>
                <w:szCs w:val="18"/>
                <w:color w:val="auto"/>
              </w:rPr>
              <w:t>holders(3)</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489,357</w:t>
            </w:r>
          </w:p>
        </w:tc>
        <w:tc>
          <w:tcPr>
            <w:tcW w:w="4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20" w:type="dxa"/>
            <w:vAlign w:val="bottom"/>
          </w:tcPr>
          <w:p>
            <w:pPr>
              <w:jc w:val="right"/>
              <w:spacing w:after="0"/>
              <w:rPr>
                <w:sz w:val="20"/>
                <w:szCs w:val="20"/>
                <w:color w:val="auto"/>
              </w:rPr>
            </w:pPr>
            <w:r>
              <w:rPr>
                <w:rFonts w:ascii="Arial" w:cs="Arial" w:eastAsia="Arial" w:hAnsi="Arial"/>
                <w:sz w:val="18"/>
                <w:szCs w:val="18"/>
                <w:color w:val="auto"/>
              </w:rPr>
              <w:t>0.25</w:t>
            </w:r>
          </w:p>
        </w:tc>
        <w:tc>
          <w:tcPr>
            <w:tcW w:w="180" w:type="dxa"/>
            <w:vAlign w:val="bottom"/>
          </w:tcPr>
          <w:p>
            <w:pPr>
              <w:spacing w:after="0"/>
              <w:rPr>
                <w:sz w:val="19"/>
                <w:szCs w:val="19"/>
                <w:color w:val="auto"/>
              </w:rPr>
            </w:pPr>
          </w:p>
        </w:tc>
        <w:tc>
          <w:tcPr>
            <w:tcW w:w="1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20"/>
        </w:trPr>
        <w:tc>
          <w:tcPr>
            <w:tcW w:w="7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9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760" w:type="dxa"/>
            <w:vAlign w:val="bottom"/>
            <w:vMerge w:val="restart"/>
          </w:tcPr>
          <w:p>
            <w:pPr>
              <w:spacing w:after="0"/>
              <w:rPr>
                <w:sz w:val="9"/>
                <w:szCs w:val="9"/>
                <w:color w:val="auto"/>
              </w:rPr>
            </w:pPr>
          </w:p>
        </w:tc>
        <w:tc>
          <w:tcPr>
            <w:tcW w:w="80" w:type="dxa"/>
            <w:vAlign w:val="bottom"/>
          </w:tcPr>
          <w:p>
            <w:pPr>
              <w:spacing w:after="0"/>
              <w:rPr>
                <w:sz w:val="9"/>
                <w:szCs w:val="9"/>
                <w:color w:val="auto"/>
              </w:rPr>
            </w:pPr>
          </w:p>
        </w:tc>
        <w:tc>
          <w:tcPr>
            <w:tcW w:w="3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60" w:type="dxa"/>
            <w:vAlign w:val="bottom"/>
            <w:vMerge w:val="continue"/>
          </w:tcPr>
          <w:p>
            <w:pPr>
              <w:spacing w:after="0"/>
              <w:rPr>
                <w:sz w:val="18"/>
                <w:szCs w:val="18"/>
                <w:color w:val="auto"/>
              </w:rPr>
            </w:pPr>
          </w:p>
        </w:tc>
        <w:tc>
          <w:tcPr>
            <w:tcW w:w="4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1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50,231,602</w:t>
            </w:r>
          </w:p>
        </w:tc>
        <w:tc>
          <w:tcPr>
            <w:tcW w:w="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13.66</w:t>
            </w:r>
          </w:p>
        </w:tc>
        <w:tc>
          <w:tcPr>
            <w:tcW w:w="182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32,076,374</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760" w:type="dxa"/>
            <w:vAlign w:val="bottom"/>
          </w:tcPr>
          <w:p>
            <w:pPr>
              <w:spacing w:after="0"/>
              <w:rPr>
                <w:sz w:val="9"/>
                <w:szCs w:val="9"/>
                <w:color w:val="auto"/>
              </w:rPr>
            </w:pPr>
          </w:p>
        </w:tc>
        <w:tc>
          <w:tcPr>
            <w:tcW w:w="80" w:type="dxa"/>
            <w:vAlign w:val="bottom"/>
          </w:tcPr>
          <w:p>
            <w:pPr>
              <w:spacing w:after="0"/>
              <w:rPr>
                <w:sz w:val="9"/>
                <w:szCs w:val="9"/>
                <w:color w:val="auto"/>
              </w:rPr>
            </w:pPr>
          </w:p>
        </w:tc>
        <w:tc>
          <w:tcPr>
            <w:tcW w:w="3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6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62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640" w:type="dxa"/>
            <w:vAlign w:val="bottom"/>
            <w:tcBorders>
              <w:right w:val="single" w:sz="8" w:color="808080"/>
            </w:tcBorders>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3"/>
        </w:trPr>
        <w:tc>
          <w:tcPr>
            <w:tcW w:w="76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3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3021965</wp:posOffset>
            </wp:positionH>
            <wp:positionV relativeFrom="paragraph">
              <wp:posOffset>-1180465</wp:posOffset>
            </wp:positionV>
            <wp:extent cx="12700" cy="8890"/>
            <wp:wrapNone/>
            <wp:docPr id="1144" name="Picture 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1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474980</wp:posOffset>
            </wp:positionH>
            <wp:positionV relativeFrom="paragraph">
              <wp:posOffset>-1180465</wp:posOffset>
            </wp:positionV>
            <wp:extent cx="12700" cy="8890"/>
            <wp:wrapNone/>
            <wp:docPr id="1145" name="Picture 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pic:cNvPicPr>
                      <a:picLocks noChangeAspect="1" noChangeArrowheads="1"/>
                    </pic:cNvPicPr>
                  </pic:nvPicPr>
                  <pic:blipFill>
                    <a:blip r:embed="rId11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4153535</wp:posOffset>
            </wp:positionH>
            <wp:positionV relativeFrom="paragraph">
              <wp:posOffset>-1180465</wp:posOffset>
            </wp:positionV>
            <wp:extent cx="12700" cy="8890"/>
            <wp:wrapNone/>
            <wp:docPr id="1146" name="Picture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pic:cNvPicPr>
                      <a:picLocks noChangeAspect="1" noChangeArrowheads="1"/>
                    </pic:cNvPicPr>
                  </pic:nvPicPr>
                  <pic:blipFill>
                    <a:blip r:embed="rId11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3150235</wp:posOffset>
            </wp:positionH>
            <wp:positionV relativeFrom="paragraph">
              <wp:posOffset>-1180465</wp:posOffset>
            </wp:positionV>
            <wp:extent cx="12700" cy="8890"/>
            <wp:wrapNone/>
            <wp:docPr id="1147" name="Picture 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pic:cNvPicPr>
                      <a:picLocks noChangeAspect="1" noChangeArrowheads="1"/>
                    </pic:cNvPicPr>
                  </pic:nvPicPr>
                  <pic:blipFill>
                    <a:blip r:embed="rId11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5474335</wp:posOffset>
            </wp:positionH>
            <wp:positionV relativeFrom="paragraph">
              <wp:posOffset>-1180465</wp:posOffset>
            </wp:positionV>
            <wp:extent cx="12700" cy="8890"/>
            <wp:wrapNone/>
            <wp:docPr id="1148" name="Picture 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pic:cNvPicPr>
                      <a:picLocks noChangeAspect="1" noChangeArrowheads="1"/>
                    </pic:cNvPicPr>
                  </pic:nvPicPr>
                  <pic:blipFill>
                    <a:blip r:embed="rId11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-1180465</wp:posOffset>
            </wp:positionV>
            <wp:extent cx="12700" cy="8890"/>
            <wp:wrapNone/>
            <wp:docPr id="1149" name="Picture 1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pic:cNvPicPr>
                      <a:picLocks noChangeAspect="1" noChangeArrowheads="1"/>
                    </pic:cNvPicPr>
                  </pic:nvPicPr>
                  <pic:blipFill>
                    <a:blip r:embed="rId11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6623685</wp:posOffset>
            </wp:positionH>
            <wp:positionV relativeFrom="paragraph">
              <wp:posOffset>-1180465</wp:posOffset>
            </wp:positionV>
            <wp:extent cx="12700" cy="8890"/>
            <wp:wrapNone/>
            <wp:docPr id="1150" name="Picture 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pic:cNvPicPr>
                      <a:picLocks noChangeAspect="1" noChangeArrowheads="1"/>
                    </pic:cNvPicPr>
                  </pic:nvPicPr>
                  <pic:blipFill>
                    <a:blip r:embed="rId11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5603240</wp:posOffset>
            </wp:positionH>
            <wp:positionV relativeFrom="paragraph">
              <wp:posOffset>-1180465</wp:posOffset>
            </wp:positionV>
            <wp:extent cx="12700" cy="8890"/>
            <wp:wrapNone/>
            <wp:docPr id="1151" name="Picture 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pic:cNvPicPr>
                      <a:picLocks noChangeAspect="1" noChangeArrowheads="1"/>
                    </pic:cNvPicPr>
                  </pic:nvPicPr>
                  <pic:blipFill>
                    <a:blip r:embed="rId11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4153535</wp:posOffset>
            </wp:positionH>
            <wp:positionV relativeFrom="paragraph">
              <wp:posOffset>-477520</wp:posOffset>
            </wp:positionV>
            <wp:extent cx="12700" cy="8890"/>
            <wp:wrapNone/>
            <wp:docPr id="1152" name="Picture 1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pic:cNvPicPr>
                      <a:picLocks noChangeAspect="1" noChangeArrowheads="1"/>
                    </pic:cNvPicPr>
                  </pic:nvPicPr>
                  <pic:blipFill>
                    <a:blip r:embed="rId11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3150235</wp:posOffset>
            </wp:positionH>
            <wp:positionV relativeFrom="paragraph">
              <wp:posOffset>-477520</wp:posOffset>
            </wp:positionV>
            <wp:extent cx="12700" cy="8890"/>
            <wp:wrapNone/>
            <wp:docPr id="1153" name="Picture 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pic:cNvPicPr>
                      <a:picLocks noChangeAspect="1" noChangeArrowheads="1"/>
                    </pic:cNvPicPr>
                  </pic:nvPicPr>
                  <pic:blipFill>
                    <a:blip r:embed="rId11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5474335</wp:posOffset>
            </wp:positionH>
            <wp:positionV relativeFrom="paragraph">
              <wp:posOffset>-477520</wp:posOffset>
            </wp:positionV>
            <wp:extent cx="12700" cy="8890"/>
            <wp:wrapNone/>
            <wp:docPr id="1154" name="Picture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pic:cNvPicPr>
                      <a:picLocks noChangeAspect="1" noChangeArrowheads="1"/>
                    </pic:cNvPicPr>
                  </pic:nvPicPr>
                  <pic:blipFill>
                    <a:blip r:embed="rId11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-477520</wp:posOffset>
            </wp:positionV>
            <wp:extent cx="12700" cy="8890"/>
            <wp:wrapNone/>
            <wp:docPr id="1155" name="Picture 1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pic:cNvPicPr>
                      <a:picLocks noChangeAspect="1" noChangeArrowheads="1"/>
                    </pic:cNvPicPr>
                  </pic:nvPicPr>
                  <pic:blipFill>
                    <a:blip r:embed="rId11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6623685</wp:posOffset>
            </wp:positionH>
            <wp:positionV relativeFrom="paragraph">
              <wp:posOffset>-477520</wp:posOffset>
            </wp:positionV>
            <wp:extent cx="12700" cy="8890"/>
            <wp:wrapNone/>
            <wp:docPr id="1156" name="Picture 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
                    <pic:cNvPicPr>
                      <a:picLocks noChangeAspect="1" noChangeArrowheads="1"/>
                    </pic:cNvPicPr>
                  </pic:nvPicPr>
                  <pic:blipFill>
                    <a:blip r:embed="rId11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5603240</wp:posOffset>
            </wp:positionH>
            <wp:positionV relativeFrom="paragraph">
              <wp:posOffset>-477520</wp:posOffset>
            </wp:positionV>
            <wp:extent cx="12700" cy="8890"/>
            <wp:wrapNone/>
            <wp:docPr id="1157" name="Picture 1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7"/>
                    <pic:cNvPicPr>
                      <a:picLocks noChangeAspect="1" noChangeArrowheads="1"/>
                    </pic:cNvPicPr>
                  </pic:nvPicPr>
                  <pic:blipFill>
                    <a:blip r:embed="rId11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526415</wp:posOffset>
            </wp:positionH>
            <wp:positionV relativeFrom="paragraph">
              <wp:posOffset>-14605</wp:posOffset>
            </wp:positionV>
            <wp:extent cx="12700" cy="8890"/>
            <wp:wrapNone/>
            <wp:docPr id="1158" name="Picture 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pic:cNvPicPr>
                      <a:picLocks noChangeAspect="1" noChangeArrowheads="1"/>
                    </pic:cNvPicPr>
                  </pic:nvPicPr>
                  <pic:blipFill>
                    <a:blip r:embed="rId11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59" name="Picture 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9"/>
                    <pic:cNvPicPr>
                      <a:picLocks noChangeAspect="1" noChangeArrowheads="1"/>
                    </pic:cNvPicPr>
                  </pic:nvPicPr>
                  <pic:blipFill>
                    <a:blip r:embed="rId116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right="200" w:hanging="532"/>
        <w:spacing w:after="0" w:line="259"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Includes the 1995 Stock Option Plan, the 1997 Directors' Stock Option Plan, the 2000 Employee Stock Purchase Plan and shares of Common Stock reserved for issuance under option plans we assumed in connection with our acquisition of Galileo Technology Ltd. No further options will be awarded under the Galileo option plans.</w:t>
      </w:r>
    </w:p>
    <w:p>
      <w:pPr>
        <w:spacing w:after="0" w:line="221" w:lineRule="exact"/>
        <w:rPr>
          <w:rFonts w:ascii="Arial" w:cs="Arial" w:eastAsia="Arial" w:hAnsi="Arial"/>
          <w:sz w:val="18"/>
          <w:szCs w:val="18"/>
          <w:color w:val="auto"/>
        </w:rPr>
      </w:pPr>
    </w:p>
    <w:p>
      <w:pPr>
        <w:ind w:left="540" w:hanging="532"/>
        <w:spacing w:after="0" w:line="294"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Stock Option Plan (the "1995 Plan") is subject to an annual increase in shares reserved for issuance equal to the lesser of (a) 20,000,000 shares, (b) 5.0% of the outstanding shares of capital stock on such date, or (c) an amount of shares determined by our board of directors. The number of shares reserved for issuance under the 2000 Employee Stock Purchase Plan (the "Purchase Plan") includes an annual increase in shares reserved for issuance equal to the lesser of (a) 4,000,000 shares or (b) 1.5% of the outstanding shares of capital stock of the Company. Stock options, restricted stock, restricted stock units or stock appreciation rights may be awarded under the 1995 Plan.</w:t>
      </w:r>
    </w:p>
    <w:p>
      <w:pPr>
        <w:spacing w:after="0" w:line="183" w:lineRule="exact"/>
        <w:rPr>
          <w:rFonts w:ascii="Arial" w:cs="Arial" w:eastAsia="Arial" w:hAnsi="Arial"/>
          <w:sz w:val="16"/>
          <w:szCs w:val="16"/>
          <w:color w:val="auto"/>
        </w:rPr>
      </w:pPr>
    </w:p>
    <w:p>
      <w:pPr>
        <w:ind w:left="540" w:right="260" w:hanging="532"/>
        <w:spacing w:after="0" w:line="255"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Consists of 227,425 shares of Common Stock reserved for issuance under options granted by the Company to former option holders of SysKonnect GmbH in connection with our acquisition of SysKonnect GmbH, 226,536 shares of Common Stock reserved for issuance under options granted by the Company to former option holders of RADLAN Computer Communications Ltd. in connection with our acquisition of RADLAN Computer Communications Ltd. and 35,396 shares of Common Stock reserved for issuance under options granted by the Company to former option holders of Asica, Inc. in connection with our acquisition of Asica, Inc.</w:t>
      </w:r>
    </w:p>
    <w:p>
      <w:pPr>
        <w:spacing w:after="0" w:line="200" w:lineRule="exact"/>
        <w:rPr>
          <w:sz w:val="20"/>
          <w:szCs w:val="20"/>
          <w:color w:val="auto"/>
        </w:rPr>
      </w:pPr>
    </w:p>
    <w:p>
      <w:pPr>
        <w:spacing w:after="0" w:line="207"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w:t>
      </w:r>
    </w:p>
    <w:p>
      <w:pPr>
        <w:spacing w:after="0" w:line="231" w:lineRule="exact"/>
        <w:rPr>
          <w:sz w:val="20"/>
          <w:szCs w:val="20"/>
          <w:color w:val="auto"/>
        </w:rPr>
      </w:pPr>
    </w:p>
    <w:p>
      <w:pPr>
        <w:ind w:right="540" w:firstLine="348"/>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from the information set forth under the caption "Related Party Transactions" in our 2005 Proxy Statement.</w:t>
      </w:r>
    </w:p>
    <w:p>
      <w:pPr>
        <w:spacing w:after="0" w:line="396"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Accountant Fees and Services</w:t>
      </w:r>
    </w:p>
    <w:p>
      <w:pPr>
        <w:spacing w:after="0" w:line="231" w:lineRule="exact"/>
        <w:rPr>
          <w:sz w:val="20"/>
          <w:szCs w:val="20"/>
          <w:color w:val="auto"/>
        </w:rPr>
      </w:pPr>
    </w:p>
    <w:p>
      <w:pPr>
        <w:ind w:right="740" w:firstLine="348"/>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from the information set forth under the caption "Information Concerning Independent Registered Public Accounting Firm" in our 2005 Proxy Statement.</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60" name="Picture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0"/>
                    <pic:cNvPicPr>
                      <a:picLocks noChangeAspect="1" noChangeArrowheads="1"/>
                    </pic:cNvPicPr>
                  </pic:nvPicPr>
                  <pic:blipFill>
                    <a:blip r:embed="rId11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84" w:right="279" w:bottom="1440" w:gutter="0" w:footer="0" w:header="0"/>
        </w:sectPr>
      </w:pPr>
    </w:p>
    <w:bookmarkStart w:id="111" w:name="page112"/>
    <w:bookmarkEnd w:id="111"/>
    <w:p>
      <w:pPr>
        <w:jc w:val="center"/>
        <w:ind w:right="40"/>
        <w:spacing w:after="0"/>
        <w:rPr>
          <w:sz w:val="20"/>
          <w:szCs w:val="20"/>
          <w:color w:val="auto"/>
        </w:rPr>
      </w:pPr>
      <w:r>
        <w:rPr>
          <w:rFonts w:ascii="Arial" w:cs="Arial" w:eastAsia="Arial" w:hAnsi="Arial"/>
          <w:sz w:val="18"/>
          <w:szCs w:val="18"/>
          <w:b w:val="1"/>
          <w:bCs w:val="1"/>
          <w:color w:val="auto"/>
        </w:rPr>
        <w:t>PART IV</w:t>
      </w:r>
    </w:p>
    <w:p>
      <w:pPr>
        <w:spacing w:after="0" w:line="225"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245" w:lineRule="exact"/>
        <w:rPr>
          <w:sz w:val="20"/>
          <w:szCs w:val="20"/>
          <w:color w:val="auto"/>
        </w:rPr>
      </w:pPr>
    </w:p>
    <w:p>
      <w:pPr>
        <w:ind w:left="1080" w:hanging="532"/>
        <w:spacing w:after="0"/>
        <w:tabs>
          <w:tab w:leader="none" w:pos="108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252" w:lineRule="exact"/>
        <w:rPr>
          <w:sz w:val="20"/>
          <w:szCs w:val="20"/>
          <w:color w:val="auto"/>
        </w:rPr>
      </w:pPr>
    </w:p>
    <w:p>
      <w:pPr>
        <w:ind w:left="1080" w:hanging="532"/>
        <w:spacing w:after="0"/>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9400" w:type="dxa"/>
            <w:vAlign w:val="bottom"/>
          </w:tcPr>
          <w:p>
            <w:pPr>
              <w:spacing w:after="0"/>
              <w:rPr>
                <w:sz w:val="15"/>
                <w:szCs w:val="15"/>
                <w:color w:val="auto"/>
              </w:rPr>
            </w:pPr>
          </w:p>
        </w:tc>
        <w:tc>
          <w:tcPr>
            <w:tcW w:w="11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260" w:type="dxa"/>
            <w:vAlign w:val="bottom"/>
            <w:gridSpan w:val="2"/>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860" w:type="dxa"/>
            <w:vAlign w:val="bottom"/>
          </w:tcPr>
          <w:p>
            <w:pPr>
              <w:spacing w:after="0"/>
              <w:rPr>
                <w:sz w:val="9"/>
                <w:szCs w:val="9"/>
                <w:color w:val="auto"/>
              </w:rPr>
            </w:pPr>
          </w:p>
        </w:tc>
        <w:tc>
          <w:tcPr>
            <w:tcW w:w="94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Consolidated Balance Sheets as of January 31, 2005 and 2004</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Consolidated Statements of Operations for the years ended January 31, 2005, 2004 and 2003</w:t>
            </w:r>
          </w:p>
        </w:tc>
        <w:tc>
          <w:tcPr>
            <w:tcW w:w="1140" w:type="dxa"/>
            <w:vAlign w:val="bottom"/>
          </w:tcPr>
          <w:p>
            <w:pPr>
              <w:jc w:val="right"/>
              <w:spacing w:after="0"/>
              <w:rPr>
                <w:sz w:val="20"/>
                <w:szCs w:val="20"/>
                <w:color w:val="auto"/>
              </w:rPr>
            </w:pPr>
            <w:r>
              <w:rPr>
                <w:rFonts w:ascii="Arial" w:cs="Arial" w:eastAsia="Arial" w:hAnsi="Arial"/>
                <w:sz w:val="18"/>
                <w:szCs w:val="18"/>
                <w:color w:val="auto"/>
              </w:rPr>
              <w:t>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Consolidated Statements of Shareholders' Equity for the years ended January 31, 2005, 2004 and 2003</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260" w:type="dxa"/>
            <w:vAlign w:val="bottom"/>
            <w:gridSpan w:val="2"/>
          </w:tcPr>
          <w:p>
            <w:pPr>
              <w:spacing w:after="0"/>
              <w:rPr>
                <w:sz w:val="20"/>
                <w:szCs w:val="20"/>
                <w:color w:val="auto"/>
              </w:rPr>
            </w:pPr>
            <w:r>
              <w:rPr>
                <w:rFonts w:ascii="Arial" w:cs="Arial" w:eastAsia="Arial" w:hAnsi="Arial"/>
                <w:sz w:val="18"/>
                <w:szCs w:val="18"/>
                <w:color w:val="auto"/>
              </w:rPr>
              <w:t>Consolidated Statements of Cash Flows for the years ended January 31, 2005, 2004 and 2003</w:t>
            </w:r>
          </w:p>
        </w:tc>
        <w:tc>
          <w:tcPr>
            <w:tcW w:w="1140" w:type="dxa"/>
            <w:vAlign w:val="bottom"/>
          </w:tcPr>
          <w:p>
            <w:pPr>
              <w:jc w:val="right"/>
              <w:spacing w:after="0"/>
              <w:rPr>
                <w:sz w:val="20"/>
                <w:szCs w:val="20"/>
                <w:color w:val="auto"/>
              </w:rPr>
            </w:pPr>
            <w:r>
              <w:rPr>
                <w:rFonts w:ascii="Arial" w:cs="Arial" w:eastAsia="Arial" w:hAnsi="Arial"/>
                <w:sz w:val="18"/>
                <w:szCs w:val="18"/>
                <w:color w:val="auto"/>
              </w:rPr>
              <w:t>76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Notes to Consolidated Financial Statements</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44"/>
        </w:trPr>
        <w:tc>
          <w:tcPr>
            <w:tcW w:w="880" w:type="dxa"/>
            <w:vAlign w:val="bottom"/>
            <w:gridSpan w:val="2"/>
          </w:tcPr>
          <w:p>
            <w:pPr>
              <w:jc w:val="right"/>
              <w:ind w:right="112"/>
              <w:spacing w:after="0"/>
              <w:rPr>
                <w:sz w:val="20"/>
                <w:szCs w:val="20"/>
                <w:color w:val="auto"/>
              </w:rPr>
            </w:pPr>
            <w:r>
              <w:rPr>
                <w:rFonts w:ascii="Arial" w:cs="Arial" w:eastAsia="Arial" w:hAnsi="Arial"/>
                <w:sz w:val="18"/>
                <w:szCs w:val="18"/>
                <w:color w:val="auto"/>
              </w:rPr>
              <w:t>2.</w:t>
            </w:r>
          </w:p>
        </w:tc>
        <w:tc>
          <w:tcPr>
            <w:tcW w:w="9400" w:type="dxa"/>
            <w:vAlign w:val="bottom"/>
          </w:tcPr>
          <w:p>
            <w:pPr>
              <w:ind w:left="200"/>
              <w:spacing w:after="0"/>
              <w:rPr>
                <w:sz w:val="20"/>
                <w:szCs w:val="20"/>
                <w:color w:val="auto"/>
              </w:rPr>
            </w:pPr>
            <w:r>
              <w:rPr>
                <w:rFonts w:ascii="Arial" w:cs="Arial" w:eastAsia="Arial" w:hAnsi="Arial"/>
                <w:sz w:val="18"/>
                <w:szCs w:val="18"/>
                <w:i w:val="1"/>
                <w:iCs w:val="1"/>
                <w:color w:val="auto"/>
              </w:rPr>
              <w:t>Financial Statement Schedules:</w:t>
            </w:r>
          </w:p>
        </w:tc>
        <w:tc>
          <w:tcPr>
            <w:tcW w:w="1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-1048385</wp:posOffset>
            </wp:positionV>
            <wp:extent cx="12700" cy="8890"/>
            <wp:wrapNone/>
            <wp:docPr id="1161" name="Picture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
                    <pic:cNvPicPr>
                      <a:picLocks noChangeAspect="1" noChangeArrowheads="1"/>
                    </pic:cNvPicPr>
                  </pic:nvPicPr>
                  <pic:blipFill>
                    <a:blip r:embed="rId1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-1048385</wp:posOffset>
            </wp:positionV>
            <wp:extent cx="12700" cy="8890"/>
            <wp:wrapNone/>
            <wp:docPr id="1162" name="Picture 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2"/>
                    <pic:cNvPicPr>
                      <a:picLocks noChangeAspect="1" noChangeArrowheads="1"/>
                    </pic:cNvPicPr>
                  </pic:nvPicPr>
                  <pic:blipFill>
                    <a:blip r:embed="rId116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0" w:lineRule="exact"/>
        <w:rPr>
          <w:sz w:val="20"/>
          <w:szCs w:val="20"/>
          <w:color w:val="auto"/>
        </w:rPr>
      </w:pPr>
    </w:p>
    <w:p>
      <w:pPr>
        <w:jc w:val="both"/>
        <w:ind w:right="20" w:firstLine="351"/>
        <w:spacing w:after="0" w:line="268"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199" w:lineRule="exact"/>
        <w:rPr>
          <w:sz w:val="20"/>
          <w:szCs w:val="20"/>
          <w:color w:val="auto"/>
        </w:rPr>
      </w:pPr>
    </w:p>
    <w:p>
      <w:pPr>
        <w:ind w:left="1080" w:hanging="532"/>
        <w:spacing w:after="0"/>
        <w:tabs>
          <w:tab w:leader="none" w:pos="1080" w:val="left"/>
        </w:tabs>
        <w:numPr>
          <w:ilvl w:val="0"/>
          <w:numId w:val="35"/>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See Item 15(b) below.</w:t>
      </w:r>
    </w:p>
    <w:p>
      <w:pPr>
        <w:spacing w:after="0" w:line="252" w:lineRule="exact"/>
        <w:rPr>
          <w:sz w:val="20"/>
          <w:szCs w:val="20"/>
          <w:color w:val="auto"/>
        </w:rPr>
      </w:pPr>
    </w:p>
    <w:p>
      <w:pPr>
        <w:ind w:left="1080" w:hanging="532"/>
        <w:spacing w:after="0"/>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ectPr>
          <w:pgSz w:w="11900" w:h="16838" w:orient="portrait"/>
          <w:cols w:equalWidth="0" w:num="1">
            <w:col w:w="11420"/>
          </w:cols>
          <w:pgMar w:left="240" w:top="341" w:right="239" w:bottom="1440" w:gutter="0" w:footer="0" w:header="0"/>
        </w:sectPr>
      </w:pPr>
    </w:p>
    <w:p>
      <w:pPr>
        <w:spacing w:after="0" w:line="200" w:lineRule="exact"/>
        <w:rPr>
          <w:sz w:val="20"/>
          <w:szCs w:val="20"/>
          <w:color w:val="auto"/>
        </w:rPr>
      </w:pPr>
    </w:p>
    <w:p>
      <w:pPr>
        <w:spacing w:after="0" w:line="264" w:lineRule="exact"/>
        <w:rPr>
          <w:sz w:val="20"/>
          <w:szCs w:val="20"/>
          <w:color w:val="auto"/>
        </w:rPr>
      </w:pPr>
    </w:p>
    <w:p>
      <w:pPr>
        <w:jc w:val="center"/>
        <w:ind w:right="4280"/>
        <w:spacing w:after="0"/>
        <w:rPr>
          <w:sz w:val="20"/>
          <w:szCs w:val="20"/>
          <w:color w:val="auto"/>
        </w:rPr>
      </w:pPr>
      <w:r>
        <w:rPr>
          <w:rFonts w:ascii="Arial" w:cs="Arial" w:eastAsia="Arial" w:hAnsi="Arial"/>
          <w:sz w:val="12"/>
          <w:szCs w:val="12"/>
          <w:b w:val="1"/>
          <w:bCs w:val="1"/>
          <w:color w:val="auto"/>
        </w:rPr>
        <w:t>Exhibit</w:t>
      </w:r>
    </w:p>
    <w:p>
      <w:pPr>
        <w:spacing w:after="0" w:line="24" w:lineRule="exact"/>
        <w:rPr>
          <w:sz w:val="20"/>
          <w:szCs w:val="20"/>
          <w:color w:val="auto"/>
        </w:rPr>
      </w:pPr>
    </w:p>
    <w:p>
      <w:pPr>
        <w:jc w:val="center"/>
        <w:ind w:right="4280"/>
        <w:spacing w:after="0"/>
        <w:rPr>
          <w:sz w:val="20"/>
          <w:szCs w:val="20"/>
          <w:color w:val="auto"/>
        </w:rPr>
      </w:pPr>
      <w:r>
        <w:rPr>
          <w:rFonts w:ascii="Arial" w:cs="Arial" w:eastAsia="Arial" w:hAnsi="Arial"/>
          <w:sz w:val="14"/>
          <w:szCs w:val="14"/>
          <w:b w:val="1"/>
          <w:bCs w:val="1"/>
          <w:color w:val="auto"/>
        </w:rPr>
        <w:t>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58420</wp:posOffset>
            </wp:positionV>
            <wp:extent cx="664210" cy="21590"/>
            <wp:wrapNone/>
            <wp:docPr id="1163" name="Picture 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3"/>
                    <pic:cNvPicPr>
                      <a:picLocks noChangeAspect="1" noChangeArrowheads="1"/>
                    </pic:cNvPicPr>
                  </pic:nvPicPr>
                  <pic:blipFill>
                    <a:blip r:embed="rId1170">
                      <a:extLst>
                        <a:ext uri="{28A0092B-C50C-407E-A947-70E740481C1C}"/>
                      </a:extLst>
                    </a:blip>
                    <a:srcRect/>
                    <a:stretch>
                      <a:fillRect/>
                    </a:stretch>
                  </pic:blipFill>
                  <pic:spPr bwMode="auto">
                    <a:xfrm>
                      <a:off x="0" y="0"/>
                      <a:ext cx="66421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-2969895</wp:posOffset>
            </wp:positionH>
            <wp:positionV relativeFrom="paragraph">
              <wp:posOffset>81280</wp:posOffset>
            </wp:positionV>
            <wp:extent cx="6376035" cy="21590"/>
            <wp:wrapNone/>
            <wp:docPr id="1164" name="Picture 1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4"/>
                    <pic:cNvPicPr>
                      <a:picLocks noChangeAspect="1" noChangeArrowheads="1"/>
                    </pic:cNvPicPr>
                  </pic:nvPicPr>
                  <pic:blipFill>
                    <a:blip r:embed="rId1171">
                      <a:extLst>
                        <a:ext uri="{28A0092B-C50C-407E-A947-70E740481C1C}"/>
                      </a:extLst>
                    </a:blip>
                    <a:srcRect/>
                    <a:stretch>
                      <a:fillRect/>
                    </a:stretch>
                  </pic:blipFill>
                  <pic:spPr bwMode="auto">
                    <a:xfrm>
                      <a:off x="0" y="0"/>
                      <a:ext cx="6376035" cy="21590"/>
                    </a:xfrm>
                    <a:prstGeom prst="rect">
                      <a:avLst/>
                    </a:prstGeom>
                    <a:noFill/>
                  </pic:spPr>
                </pic:pic>
              </a:graphicData>
            </a:graphic>
          </wp:anchor>
        </w:drawing>
      </w:r>
    </w:p>
    <w:p>
      <w:pPr>
        <w:spacing w:after="0" w:line="236" w:lineRule="exact"/>
        <w:rPr>
          <w:sz w:val="20"/>
          <w:szCs w:val="20"/>
          <w:color w:val="auto"/>
        </w:rPr>
      </w:pPr>
    </w:p>
    <w:p>
      <w:pPr>
        <w:sectPr>
          <w:pgSz w:w="11900" w:h="16838" w:orient="portrait"/>
          <w:cols w:equalWidth="0" w:num="2">
            <w:col w:w="5340" w:space="720"/>
            <w:col w:w="5360"/>
          </w:cols>
          <w:pgMar w:left="240" w:top="341" w:right="239" w:bottom="1440" w:gutter="0" w:footer="0" w:header="0"/>
          <w:type w:val="continuous"/>
        </w:sectPr>
      </w:pPr>
    </w:p>
    <w:p>
      <w:pPr>
        <w:spacing w:after="0" w:line="22" w:lineRule="exact"/>
        <w:rPr>
          <w:sz w:val="20"/>
          <w:szCs w:val="20"/>
          <w:color w:val="auto"/>
        </w:rPr>
      </w:pPr>
    </w:p>
    <w:p>
      <w:pPr>
        <w:ind w:left="1380" w:right="180" w:hanging="556"/>
        <w:spacing w:after="0" w:line="268" w:lineRule="auto"/>
        <w:tabs>
          <w:tab w:leader="none" w:pos="136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8"/>
          <w:szCs w:val="18"/>
          <w:color w:val="auto"/>
        </w:rPr>
        <w:t>Memorandum of Association of the registrant, incorporated by reference to Exhibit 3.1 of the registrant's registration statement on Form S-1 (file no. 333-33086), as filed on March 23,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-287655</wp:posOffset>
            </wp:positionV>
            <wp:extent cx="7246620" cy="274320"/>
            <wp:wrapNone/>
            <wp:docPr id="1165" name="Picture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
                    <pic:cNvPicPr>
                      <a:picLocks noChangeAspect="1" noChangeArrowheads="1"/>
                    </pic:cNvPicPr>
                  </pic:nvPicPr>
                  <pic:blipFill>
                    <a:blip r:embed="rId1172">
                      <a:extLst>
                        <a:ext uri="{28A0092B-C50C-407E-A947-70E740481C1C}"/>
                      </a:extLst>
                    </a:blip>
                    <a:srcRect/>
                    <a:stretch>
                      <a:fillRect/>
                    </a:stretch>
                  </pic:blipFill>
                  <pic:spPr bwMode="auto">
                    <a:xfrm>
                      <a:off x="0" y="0"/>
                      <a:ext cx="7246620" cy="274320"/>
                    </a:xfrm>
                    <a:prstGeom prst="rect">
                      <a:avLst/>
                    </a:prstGeom>
                    <a:noFill/>
                  </pic:spPr>
                </pic:pic>
              </a:graphicData>
            </a:graphic>
          </wp:anchor>
        </w:drawing>
      </w:r>
    </w:p>
    <w:p>
      <w:pPr>
        <w:spacing w:after="0" w:line="166" w:lineRule="exact"/>
        <w:rPr>
          <w:sz w:val="20"/>
          <w:szCs w:val="20"/>
          <w:color w:val="auto"/>
        </w:rPr>
      </w:pPr>
    </w:p>
    <w:p>
      <w:pPr>
        <w:ind w:left="1380" w:right="540" w:hanging="556"/>
        <w:spacing w:after="0" w:line="268" w:lineRule="auto"/>
        <w:tabs>
          <w:tab w:leader="none" w:pos="13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8"/>
          <w:szCs w:val="18"/>
          <w:color w:val="auto"/>
        </w:rPr>
        <w:t>Second Amended and Restated Bye-laws of the registrant, incorporated by reference to Appendix A of the registrant's Definitive Proxy Statement, as filed on May 21,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411480"/>
            <wp:wrapNone/>
            <wp:docPr id="1166" name="Picture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pic:cNvPicPr>
                      <a:picLocks noChangeAspect="1" noChangeArrowheads="1"/>
                    </pic:cNvPicPr>
                  </pic:nvPicPr>
                  <pic:blipFill>
                    <a:blip r:embed="rId1173">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1380" w:right="440" w:hanging="556"/>
        <w:spacing w:after="0" w:line="268" w:lineRule="auto"/>
        <w:tabs>
          <w:tab w:leader="none" w:pos="1360" w:val="left"/>
        </w:tabs>
        <w:rPr>
          <w:sz w:val="20"/>
          <w:szCs w:val="20"/>
          <w:color w:val="auto"/>
        </w:rPr>
      </w:pPr>
      <w:r>
        <w:rPr>
          <w:rFonts w:ascii="Arial" w:cs="Arial" w:eastAsia="Arial" w:hAnsi="Arial"/>
          <w:sz w:val="18"/>
          <w:szCs w:val="18"/>
          <w:color w:val="auto"/>
        </w:rPr>
        <w:t>4.1</w:t>
      </w:r>
      <w:r>
        <w:rPr>
          <w:sz w:val="20"/>
          <w:szCs w:val="20"/>
          <w:color w:val="auto"/>
        </w:rPr>
        <w:tab/>
      </w:r>
      <w:r>
        <w:rPr>
          <w:rFonts w:ascii="Arial" w:cs="Arial" w:eastAsia="Arial" w:hAnsi="Arial"/>
          <w:sz w:val="18"/>
          <w:szCs w:val="18"/>
          <w:color w:val="auto"/>
        </w:rPr>
        <w:t>Specimen common stock certificate of the registrant, incorporated by reference to Exhibit 4.1 of the registrant's registration statement on Form S-1/A (file no. 333-33086),as filed on May 5, 2000</w:t>
      </w:r>
    </w:p>
    <w:p>
      <w:pPr>
        <w:spacing w:after="0" w:line="186"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1997 Directors' Stock Option Plan, incorporated by reference to Exhibit 10.2 of the registrant's registration statement on Form S-1 (file no.</w:t>
      </w:r>
    </w:p>
    <w:p>
      <w:pPr>
        <w:spacing w:after="0" w:line="15"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333-33086), as filed on March 23,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7246620" cy="411480"/>
            <wp:wrapNone/>
            <wp:docPr id="1167" name="Picture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7"/>
                    <pic:cNvPicPr>
                      <a:picLocks noChangeAspect="1" noChangeArrowheads="1"/>
                    </pic:cNvPicPr>
                  </pic:nvPicPr>
                  <pic:blipFill>
                    <a:blip r:embed="rId1174">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99" w:lineRule="exact"/>
        <w:rPr>
          <w:sz w:val="20"/>
          <w:szCs w:val="20"/>
          <w:color w:val="auto"/>
        </w:rPr>
      </w:pPr>
    </w:p>
    <w:p>
      <w:pPr>
        <w:ind w:left="1380" w:right="300" w:hanging="732"/>
        <w:spacing w:after="0" w:line="268" w:lineRule="auto"/>
        <w:tabs>
          <w:tab w:leader="none" w:pos="136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Galileo Technology Ltd. 1997 Employees' Stock Option Plan, incorporated by reference to Exhibit 10.4 of the registrant's annual report on Form 10-K for the year ended January 27, 2001 as filed on April 27, 2001</w:t>
      </w:r>
    </w:p>
    <w:p>
      <w:pPr>
        <w:spacing w:after="0" w:line="186" w:lineRule="exact"/>
        <w:rPr>
          <w:sz w:val="20"/>
          <w:szCs w:val="20"/>
          <w:color w:val="auto"/>
        </w:rPr>
      </w:pPr>
    </w:p>
    <w:p>
      <w:pPr>
        <w:ind w:left="1380" w:right="120" w:hanging="732"/>
        <w:spacing w:after="0" w:line="268" w:lineRule="auto"/>
        <w:tabs>
          <w:tab w:leader="none" w:pos="136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8"/>
          <w:szCs w:val="18"/>
          <w:color w:val="auto"/>
        </w:rPr>
        <w:t>Galileo Technology Ltd. 1997 GTI Stock Option Plan, incorporated by reference to Exhibit 10.5 of the registrant's annual report on Form 10-K for the year ended January 27, 2001 as filed on April 27,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411480"/>
            <wp:wrapNone/>
            <wp:docPr id="1168" name="Picture 1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
                    <pic:cNvPicPr>
                      <a:picLocks noChangeAspect="1" noChangeArrowheads="1"/>
                    </pic:cNvPicPr>
                  </pic:nvPicPr>
                  <pic:blipFill>
                    <a:blip r:embed="rId1175">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1380" w:right="220" w:hanging="644"/>
        <w:spacing w:after="0" w:line="268" w:lineRule="auto"/>
        <w:tabs>
          <w:tab w:leader="none" w:pos="13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Investors Rights Agreement dated September 10, 1999,incorporated by reference to Exhibit 10.6 of the registrant's registration statement on Form S-1 (file no.333-33086), as filed on March 23, 2000</w:t>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69" name="Picture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9"/>
                    <pic:cNvPicPr>
                      <a:picLocks noChangeAspect="1" noChangeArrowheads="1"/>
                    </pic:cNvPicPr>
                  </pic:nvPicPr>
                  <pic:blipFill>
                    <a:blip r:embed="rId11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type w:val="continuous"/>
        </w:sectPr>
      </w:pPr>
    </w:p>
    <w:bookmarkStart w:id="112" w:name="page113"/>
    <w:bookmarkEnd w:id="112"/>
    <w:p>
      <w:pPr>
        <w:ind w:left="820" w:right="60" w:hanging="644"/>
        <w:spacing w:after="0" w:line="259" w:lineRule="auto"/>
        <w:tabs>
          <w:tab w:leader="none" w:pos="8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548640"/>
            <wp:wrapNone/>
            <wp:docPr id="1170" name="Picture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0"/>
                    <pic:cNvPicPr>
                      <a:picLocks noChangeAspect="1" noChangeArrowheads="1"/>
                    </pic:cNvPicPr>
                  </pic:nvPicPr>
                  <pic:blipFill>
                    <a:blip r:embed="rId1177">
                      <a:extLst>
                        <a:ext uri="{28A0092B-C50C-407E-A947-70E740481C1C}"/>
                      </a:extLst>
                    </a:blip>
                    <a:srcRect/>
                    <a:stretch>
                      <a:fillRect/>
                    </a:stretch>
                  </pic:blipFill>
                  <pic:spPr bwMode="auto">
                    <a:xfrm>
                      <a:off x="0" y="0"/>
                      <a:ext cx="7246620" cy="548640"/>
                    </a:xfrm>
                    <a:prstGeom prst="rect">
                      <a:avLst/>
                    </a:prstGeom>
                    <a:noFill/>
                  </pic:spPr>
                </pic:pic>
              </a:graphicData>
            </a:graphic>
          </wp:anchor>
        </w:drawing>
        <w:t>10.5</w:t>
      </w:r>
      <w:r>
        <w:rPr>
          <w:sz w:val="20"/>
          <w:szCs w:val="20"/>
          <w:color w:val="auto"/>
        </w:rPr>
        <w:tab/>
      </w:r>
      <w:r>
        <w:rPr>
          <w:rFonts w:ascii="Arial" w:cs="Arial" w:eastAsia="Arial" w:hAnsi="Arial"/>
          <w:sz w:val="18"/>
          <w:szCs w:val="18"/>
          <w:color w:val="auto"/>
        </w:rPr>
        <w:t>Wafer Purchase Agreement by and between Marvell Technology Group Ltd. and Taiwan Semiconductor Manufacturing Corporation dated June 30, 1997, incorporated by reference to Exhibit 10.7 of the registrant's registration statement on Form S-1/A (file no. 333-33086), as filed on May 5, 2000</w:t>
      </w:r>
    </w:p>
    <w:p>
      <w:pPr>
        <w:spacing w:after="0" w:line="194" w:lineRule="exact"/>
        <w:rPr>
          <w:sz w:val="20"/>
          <w:szCs w:val="20"/>
          <w:color w:val="auto"/>
        </w:rPr>
      </w:pPr>
    </w:p>
    <w:p>
      <w:pPr>
        <w:ind w:left="820" w:right="500" w:hanging="732"/>
        <w:spacing w:after="0" w:line="332" w:lineRule="auto"/>
        <w:tabs>
          <w:tab w:leader="none" w:pos="800" w:val="left"/>
        </w:tabs>
        <w:rPr>
          <w:sz w:val="20"/>
          <w:szCs w:val="20"/>
          <w:color w:val="auto"/>
        </w:rPr>
      </w:pPr>
      <w:r>
        <w:rPr>
          <w:rFonts w:ascii="Arial" w:cs="Arial" w:eastAsia="Arial" w:hAnsi="Arial"/>
          <w:sz w:val="18"/>
          <w:szCs w:val="18"/>
          <w:color w:val="auto"/>
        </w:rPr>
        <w:t>10.6*</w:t>
      </w:r>
      <w:r>
        <w:rPr>
          <w:sz w:val="20"/>
          <w:szCs w:val="20"/>
          <w:color w:val="auto"/>
        </w:rPr>
        <w:tab/>
      </w:r>
      <w:r>
        <w:rPr>
          <w:rFonts w:ascii="Arial" w:cs="Arial" w:eastAsia="Arial" w:hAnsi="Arial"/>
          <w:sz w:val="16"/>
          <w:szCs w:val="16"/>
          <w:color w:val="auto"/>
        </w:rPr>
        <w:t>Master Development, Purchasing and License Agreement between Intel Corporation and Marvell Semiconductor, Inc., incorporated by reference to Exhibit 10.8 of the registrant's registration statement on Form S-1/A (file no.333-33086), as filed on June 23,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-42545</wp:posOffset>
            </wp:positionV>
            <wp:extent cx="7246620" cy="411480"/>
            <wp:wrapNone/>
            <wp:docPr id="1171" name="Picture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pic:cNvPicPr>
                      <a:picLocks noChangeAspect="1" noChangeArrowheads="1"/>
                    </pic:cNvPicPr>
                  </pic:nvPicPr>
                  <pic:blipFill>
                    <a:blip r:embed="rId1178">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19" w:lineRule="exact"/>
        <w:rPr>
          <w:sz w:val="20"/>
          <w:szCs w:val="20"/>
          <w:color w:val="auto"/>
        </w:rPr>
      </w:pPr>
    </w:p>
    <w:p>
      <w:pPr>
        <w:ind w:left="820" w:right="480" w:hanging="644"/>
        <w:spacing w:after="0" w:line="332" w:lineRule="auto"/>
        <w:tabs>
          <w:tab w:leader="none" w:pos="800" w:val="left"/>
        </w:tabs>
        <w:rPr>
          <w:sz w:val="20"/>
          <w:szCs w:val="20"/>
          <w:color w:val="auto"/>
        </w:rPr>
      </w:pPr>
      <w:r>
        <w:rPr>
          <w:rFonts w:ascii="Arial" w:cs="Arial" w:eastAsia="Arial" w:hAnsi="Arial"/>
          <w:sz w:val="18"/>
          <w:szCs w:val="18"/>
          <w:color w:val="auto"/>
        </w:rPr>
        <w:t>10.7</w:t>
      </w:r>
      <w:r>
        <w:rPr>
          <w:sz w:val="20"/>
          <w:szCs w:val="20"/>
          <w:color w:val="auto"/>
        </w:rPr>
        <w:tab/>
      </w:r>
      <w:r>
        <w:rPr>
          <w:rFonts w:ascii="Arial" w:cs="Arial" w:eastAsia="Arial" w:hAnsi="Arial"/>
          <w:sz w:val="16"/>
          <w:szCs w:val="16"/>
          <w:color w:val="auto"/>
        </w:rPr>
        <w:t>Lease Agreement dated June 1, 2000 by and between Marvell Semiconductor, Inc. and 525 Almanor LLC, incorporated by reference to Exhibit 10.9 of the registrant's quarterly report on Form 10-Q for the period ended July 29, 2000 as filed on September 12, 2000</w:t>
      </w:r>
    </w:p>
    <w:p>
      <w:pPr>
        <w:spacing w:after="0" w:line="139" w:lineRule="exact"/>
        <w:rPr>
          <w:sz w:val="20"/>
          <w:szCs w:val="20"/>
          <w:color w:val="auto"/>
        </w:rPr>
      </w:pPr>
    </w:p>
    <w:p>
      <w:pPr>
        <w:ind w:left="820" w:right="220" w:hanging="644"/>
        <w:spacing w:after="0" w:line="332" w:lineRule="auto"/>
        <w:tabs>
          <w:tab w:leader="none" w:pos="800" w:val="left"/>
        </w:tabs>
        <w:rPr>
          <w:sz w:val="20"/>
          <w:szCs w:val="20"/>
          <w:color w:val="auto"/>
        </w:rPr>
      </w:pPr>
      <w:r>
        <w:rPr>
          <w:rFonts w:ascii="Arial" w:cs="Arial" w:eastAsia="Arial" w:hAnsi="Arial"/>
          <w:sz w:val="18"/>
          <w:szCs w:val="18"/>
          <w:color w:val="auto"/>
        </w:rPr>
        <w:t>10.8</w:t>
      </w:r>
      <w:r>
        <w:rPr>
          <w:sz w:val="20"/>
          <w:szCs w:val="20"/>
          <w:color w:val="auto"/>
        </w:rPr>
        <w:tab/>
      </w:r>
      <w:r>
        <w:rPr>
          <w:rFonts w:ascii="Arial" w:cs="Arial" w:eastAsia="Arial" w:hAnsi="Arial"/>
          <w:sz w:val="16"/>
          <w:szCs w:val="16"/>
          <w:color w:val="auto"/>
        </w:rPr>
        <w:t>Lease Agreement dated June 30, 2000 by and between Galileo Technology Ltd. and Zanker Development Co., incorporated by reference to Exhibit 10.12 of the registrant's annual report on Form 10-K for the year ended January 27, 2001 as filed on April 27,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-42545</wp:posOffset>
            </wp:positionV>
            <wp:extent cx="7246620" cy="411480"/>
            <wp:wrapNone/>
            <wp:docPr id="1172" name="Picture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pic:cNvPicPr>
                      <a:picLocks noChangeAspect="1" noChangeArrowheads="1"/>
                    </pic:cNvPicPr>
                  </pic:nvPicPr>
                  <pic:blipFill>
                    <a:blip r:embed="rId1179">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19" w:lineRule="exact"/>
        <w:rPr>
          <w:sz w:val="20"/>
          <w:szCs w:val="20"/>
          <w:color w:val="auto"/>
        </w:rPr>
      </w:pPr>
    </w:p>
    <w:p>
      <w:pPr>
        <w:ind w:left="820" w:right="380" w:hanging="732"/>
        <w:spacing w:after="0" w:line="332" w:lineRule="auto"/>
        <w:tabs>
          <w:tab w:leader="none" w:pos="800" w:val="left"/>
        </w:tabs>
        <w:rPr>
          <w:sz w:val="20"/>
          <w:szCs w:val="20"/>
          <w:color w:val="auto"/>
        </w:rPr>
      </w:pPr>
      <w:r>
        <w:rPr>
          <w:rFonts w:ascii="Arial" w:cs="Arial" w:eastAsia="Arial" w:hAnsi="Arial"/>
          <w:sz w:val="18"/>
          <w:szCs w:val="18"/>
          <w:color w:val="auto"/>
        </w:rPr>
        <w:t>10.9*</w:t>
      </w:r>
      <w:r>
        <w:rPr>
          <w:sz w:val="20"/>
          <w:szCs w:val="20"/>
          <w:color w:val="auto"/>
        </w:rPr>
        <w:tab/>
      </w:r>
      <w:r>
        <w:rPr>
          <w:rFonts w:ascii="Arial" w:cs="Arial" w:eastAsia="Arial" w:hAnsi="Arial"/>
          <w:sz w:val="16"/>
          <w:szCs w:val="16"/>
          <w:color w:val="auto"/>
        </w:rPr>
        <w:t>Technology License Agreement dated April 23, 2001 by and between Marvel International Limited and ARM Limited, incorporated by reference to Exhibit 10.13 of the registrant's quarterly report on Form 10-Q for the period ended April 28, 2001 as filed on June 12, 2001</w:t>
      </w:r>
    </w:p>
    <w:p>
      <w:pPr>
        <w:spacing w:after="0" w:line="139" w:lineRule="exact"/>
        <w:rPr>
          <w:sz w:val="20"/>
          <w:szCs w:val="20"/>
          <w:color w:val="auto"/>
        </w:rPr>
      </w:pPr>
    </w:p>
    <w:p>
      <w:pPr>
        <w:ind w:left="820" w:hanging="819"/>
        <w:spacing w:after="0" w:line="259" w:lineRule="auto"/>
        <w:tabs>
          <w:tab w:leader="none" w:pos="800" w:val="left"/>
        </w:tabs>
        <w:rPr>
          <w:sz w:val="20"/>
          <w:szCs w:val="20"/>
          <w:color w:val="auto"/>
        </w:rPr>
      </w:pPr>
      <w:r>
        <w:rPr>
          <w:rFonts w:ascii="Arial" w:cs="Arial" w:eastAsia="Arial" w:hAnsi="Arial"/>
          <w:sz w:val="18"/>
          <w:szCs w:val="18"/>
          <w:color w:val="auto"/>
        </w:rPr>
        <w:t>10.10*</w:t>
      </w:r>
      <w:r>
        <w:rPr>
          <w:sz w:val="20"/>
          <w:szCs w:val="20"/>
          <w:color w:val="auto"/>
        </w:rPr>
        <w:tab/>
      </w:r>
      <w:r>
        <w:rPr>
          <w:rFonts w:ascii="Arial" w:cs="Arial" w:eastAsia="Arial" w:hAnsi="Arial"/>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-7620</wp:posOffset>
            </wp:positionV>
            <wp:extent cx="7246620" cy="411480"/>
            <wp:wrapNone/>
            <wp:docPr id="1173" name="Picture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pic:cNvPicPr>
                      <a:picLocks noChangeAspect="1" noChangeArrowheads="1"/>
                    </pic:cNvPicPr>
                  </pic:nvPicPr>
                  <pic:blipFill>
                    <a:blip r:embed="rId1180">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74" w:lineRule="exact"/>
        <w:rPr>
          <w:sz w:val="20"/>
          <w:szCs w:val="20"/>
          <w:color w:val="auto"/>
        </w:rPr>
      </w:pPr>
    </w:p>
    <w:p>
      <w:pPr>
        <w:ind w:left="820" w:right="640" w:hanging="725"/>
        <w:spacing w:after="0" w:line="370" w:lineRule="auto"/>
        <w:tabs>
          <w:tab w:leader="none" w:pos="800" w:val="left"/>
        </w:tabs>
        <w:rPr>
          <w:sz w:val="20"/>
          <w:szCs w:val="20"/>
          <w:color w:val="auto"/>
        </w:rPr>
      </w:pPr>
      <w:r>
        <w:rPr>
          <w:rFonts w:ascii="Arial" w:cs="Arial" w:eastAsia="Arial" w:hAnsi="Arial"/>
          <w:sz w:val="18"/>
          <w:szCs w:val="18"/>
          <w:color w:val="auto"/>
        </w:rPr>
        <w:t>10.11</w:t>
      </w:r>
      <w:r>
        <w:rPr>
          <w:sz w:val="20"/>
          <w:szCs w:val="20"/>
          <w:color w:val="auto"/>
        </w:rPr>
        <w:tab/>
      </w:r>
      <w:r>
        <w:rPr>
          <w:rFonts w:ascii="Arial" w:cs="Arial" w:eastAsia="Arial" w:hAnsi="Arial"/>
          <w:sz w:val="15"/>
          <w:szCs w:val="15"/>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116" w:lineRule="exact"/>
        <w:rPr>
          <w:sz w:val="20"/>
          <w:szCs w:val="20"/>
          <w:color w:val="auto"/>
        </w:rPr>
      </w:pPr>
    </w:p>
    <w:p>
      <w:pPr>
        <w:ind w:left="820" w:right="60" w:hanging="819"/>
        <w:spacing w:after="0" w:line="306" w:lineRule="auto"/>
        <w:tabs>
          <w:tab w:leader="none" w:pos="800" w:val="left"/>
        </w:tabs>
        <w:rPr>
          <w:sz w:val="20"/>
          <w:szCs w:val="20"/>
          <w:color w:val="auto"/>
        </w:rPr>
      </w:pPr>
      <w:r>
        <w:rPr>
          <w:rFonts w:ascii="Arial" w:cs="Arial" w:eastAsia="Arial" w:hAnsi="Arial"/>
          <w:sz w:val="18"/>
          <w:szCs w:val="18"/>
          <w:color w:val="auto"/>
        </w:rPr>
        <w:t>10.12*</w:t>
      </w:r>
      <w:r>
        <w:rPr>
          <w:sz w:val="20"/>
          <w:szCs w:val="20"/>
          <w:color w:val="auto"/>
        </w:rPr>
        <w:tab/>
      </w:r>
      <w:r>
        <w:rPr>
          <w:rFonts w:ascii="Arial" w:cs="Arial" w:eastAsia="Arial" w:hAnsi="Arial"/>
          <w:sz w:val="16"/>
          <w:szCs w:val="16"/>
          <w:color w:val="auto"/>
        </w:rPr>
        <w:t>Supply Agreement for the Fabrication and Purchase of Semiconductor Products dated June 13, 2002 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-29210</wp:posOffset>
            </wp:positionV>
            <wp:extent cx="7246620" cy="548640"/>
            <wp:wrapNone/>
            <wp:docPr id="1174" name="Picture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pic:cNvPicPr>
                      <a:picLocks noChangeAspect="1" noChangeArrowheads="1"/>
                    </pic:cNvPicPr>
                  </pic:nvPicPr>
                  <pic:blipFill>
                    <a:blip r:embed="rId1181">
                      <a:extLst>
                        <a:ext uri="{28A0092B-C50C-407E-A947-70E740481C1C}"/>
                      </a:extLst>
                    </a:blip>
                    <a:srcRect/>
                    <a:stretch>
                      <a:fillRect/>
                    </a:stretch>
                  </pic:blipFill>
                  <pic:spPr bwMode="auto">
                    <a:xfrm>
                      <a:off x="0" y="0"/>
                      <a:ext cx="7246620" cy="548640"/>
                    </a:xfrm>
                    <a:prstGeom prst="rect">
                      <a:avLst/>
                    </a:prstGeom>
                    <a:noFill/>
                  </pic:spPr>
                </pic:pic>
              </a:graphicData>
            </a:graphic>
          </wp:anchor>
        </w:drawing>
      </w:r>
    </w:p>
    <w:p>
      <w:pPr>
        <w:spacing w:after="0" w:line="141" w:lineRule="exact"/>
        <w:rPr>
          <w:sz w:val="20"/>
          <w:szCs w:val="20"/>
          <w:color w:val="auto"/>
        </w:rPr>
      </w:pPr>
    </w:p>
    <w:p>
      <w:pPr>
        <w:ind w:left="820" w:hanging="819"/>
        <w:spacing w:after="0" w:line="259" w:lineRule="auto"/>
        <w:tabs>
          <w:tab w:leader="none" w:pos="800" w:val="left"/>
        </w:tabs>
        <w:rPr>
          <w:sz w:val="20"/>
          <w:szCs w:val="20"/>
          <w:color w:val="auto"/>
        </w:rPr>
      </w:pPr>
      <w:r>
        <w:rPr>
          <w:rFonts w:ascii="Arial" w:cs="Arial" w:eastAsia="Arial" w:hAnsi="Arial"/>
          <w:sz w:val="18"/>
          <w:szCs w:val="18"/>
          <w:color w:val="auto"/>
        </w:rPr>
        <w:t>10.13*</w:t>
      </w:r>
      <w:r>
        <w:rPr>
          <w:sz w:val="20"/>
          <w:szCs w:val="20"/>
          <w:color w:val="auto"/>
        </w:rPr>
        <w:tab/>
      </w:r>
      <w:r>
        <w:rPr>
          <w:rFonts w:ascii="Arial" w:cs="Arial" w:eastAsia="Arial" w:hAnsi="Arial"/>
          <w:sz w:val="18"/>
          <w:szCs w:val="18"/>
          <w:color w:val="auto"/>
        </w:rPr>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194" w:lineRule="exact"/>
        <w:rPr>
          <w:sz w:val="20"/>
          <w:szCs w:val="20"/>
          <w:color w:val="auto"/>
        </w:rPr>
      </w:pPr>
    </w:p>
    <w:p>
      <w:pPr>
        <w:ind w:left="820" w:right="200" w:hanging="819"/>
        <w:spacing w:after="0" w:line="259" w:lineRule="auto"/>
        <w:tabs>
          <w:tab w:leader="none" w:pos="800" w:val="left"/>
        </w:tabs>
        <w:rPr>
          <w:sz w:val="20"/>
          <w:szCs w:val="20"/>
          <w:color w:val="auto"/>
        </w:rPr>
      </w:pPr>
      <w:r>
        <w:rPr>
          <w:rFonts w:ascii="Arial" w:cs="Arial" w:eastAsia="Arial" w:hAnsi="Arial"/>
          <w:sz w:val="18"/>
          <w:szCs w:val="18"/>
          <w:color w:val="auto"/>
        </w:rPr>
        <w:t>10.14*</w:t>
      </w:r>
      <w:r>
        <w:rPr>
          <w:sz w:val="20"/>
          <w:szCs w:val="20"/>
          <w:color w:val="auto"/>
        </w:rPr>
        <w:tab/>
      </w:r>
      <w:r>
        <w:rPr>
          <w:rFonts w:ascii="Arial" w:cs="Arial" w:eastAsia="Arial" w:hAnsi="Arial"/>
          <w:sz w:val="18"/>
          <w:szCs w:val="18"/>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-7620</wp:posOffset>
            </wp:positionV>
            <wp:extent cx="7246620" cy="411480"/>
            <wp:wrapNone/>
            <wp:docPr id="1175" name="Picture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pic:cNvPicPr>
                      <a:picLocks noChangeAspect="1" noChangeArrowheads="1"/>
                    </pic:cNvPicPr>
                  </pic:nvPicPr>
                  <pic:blipFill>
                    <a:blip r:embed="rId1182">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74" w:lineRule="exact"/>
        <w:rPr>
          <w:sz w:val="20"/>
          <w:szCs w:val="20"/>
          <w:color w:val="auto"/>
        </w:rPr>
      </w:pPr>
    </w:p>
    <w:p>
      <w:pPr>
        <w:ind w:left="820" w:right="80" w:hanging="819"/>
        <w:spacing w:after="0" w:line="268" w:lineRule="auto"/>
        <w:tabs>
          <w:tab w:leader="none" w:pos="80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8"/>
          <w:szCs w:val="18"/>
          <w:color w:val="auto"/>
        </w:rPr>
        <w:t>Amended 2000 Employee Stock Purchase Plan, incorporated by reference to Exhibit 10.19 of the registrant's quarterly report on 10-Q for the period ended August 2, 2003 as filed on September 15, 2003</w:t>
      </w:r>
    </w:p>
    <w:p>
      <w:pPr>
        <w:spacing w:after="0" w:line="186" w:lineRule="exact"/>
        <w:rPr>
          <w:sz w:val="20"/>
          <w:szCs w:val="20"/>
          <w:color w:val="auto"/>
        </w:rPr>
      </w:pPr>
    </w:p>
    <w:p>
      <w:pPr>
        <w:ind w:left="820" w:right="40" w:hanging="819"/>
        <w:spacing w:after="0" w:line="268" w:lineRule="auto"/>
        <w:tabs>
          <w:tab w:leader="none" w:pos="80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Amended and Restated 1995 Stock Option Plan, incorporated by reference to Exhibit 10.20 of the registrant's quarterly report on 10-Q for the period ended August 2, 2003 as filed on September 15,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-13335</wp:posOffset>
            </wp:positionV>
            <wp:extent cx="7246620" cy="137160"/>
            <wp:wrapNone/>
            <wp:docPr id="1176" name="Picture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6"/>
                    <pic:cNvPicPr>
                      <a:picLocks noChangeAspect="1" noChangeArrowheads="1"/>
                    </pic:cNvPicPr>
                  </pic:nvPicPr>
                  <pic:blipFill>
                    <a:blip r:embed="rId1183">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382" w:lineRule="exact"/>
        <w:rPr>
          <w:sz w:val="20"/>
          <w:szCs w:val="20"/>
          <w:color w:val="auto"/>
        </w:rPr>
      </w:pPr>
    </w:p>
    <w:p>
      <w:pPr>
        <w:jc w:val="center"/>
        <w:ind w:right="520"/>
        <w:spacing w:after="0"/>
        <w:rPr>
          <w:sz w:val="20"/>
          <w:szCs w:val="20"/>
          <w:color w:val="auto"/>
        </w:rPr>
      </w:pPr>
      <w:r>
        <w:rPr>
          <w:rFonts w:ascii="Arial" w:cs="Arial" w:eastAsia="Arial" w:hAnsi="Arial"/>
          <w:sz w:val="18"/>
          <w:szCs w:val="18"/>
          <w:color w:val="auto"/>
        </w:rPr>
        <w:t>112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-351790</wp:posOffset>
            </wp:positionH>
            <wp:positionV relativeFrom="paragraph">
              <wp:posOffset>146050</wp:posOffset>
            </wp:positionV>
            <wp:extent cx="7250430" cy="21590"/>
            <wp:wrapNone/>
            <wp:docPr id="1177" name="Picture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7"/>
                    <pic:cNvPicPr>
                      <a:picLocks noChangeAspect="1" noChangeArrowheads="1"/>
                    </pic:cNvPicPr>
                  </pic:nvPicPr>
                  <pic:blipFill>
                    <a:blip r:embed="rId11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20"/>
          </w:cols>
          <w:pgMar w:left="800" w:top="347" w:right="279" w:bottom="1440" w:gutter="0" w:footer="0" w:header="0"/>
        </w:sectPr>
      </w:pPr>
    </w:p>
    <w:bookmarkStart w:id="113" w:name="page114"/>
    <w:bookmarkEnd w:id="113"/>
    <w:p>
      <w:pPr>
        <w:ind w:left="1372" w:right="660" w:hanging="732"/>
        <w:spacing w:after="0" w:line="332" w:lineRule="auto"/>
        <w:tabs>
          <w:tab w:leader="none" w:pos="1352"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411480"/>
            <wp:wrapNone/>
            <wp:docPr id="1178" name="Picture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8"/>
                    <pic:cNvPicPr>
                      <a:picLocks noChangeAspect="1" noChangeArrowheads="1"/>
                    </pic:cNvPicPr>
                  </pic:nvPicPr>
                  <pic:blipFill>
                    <a:blip r:embed="rId1185">
                      <a:extLst>
                        <a:ext uri="{28A0092B-C50C-407E-A947-70E740481C1C}"/>
                      </a:extLst>
                    </a:blip>
                    <a:srcRect/>
                    <a:stretch>
                      <a:fillRect/>
                    </a:stretch>
                  </pic:blipFill>
                  <pic:spPr bwMode="auto">
                    <a:xfrm>
                      <a:off x="0" y="0"/>
                      <a:ext cx="7246620" cy="411480"/>
                    </a:xfrm>
                    <a:prstGeom prst="rect">
                      <a:avLst/>
                    </a:prstGeom>
                    <a:noFill/>
                  </pic:spPr>
                </pic:pic>
              </a:graphicData>
            </a:graphic>
          </wp:anchor>
        </w:drawing>
        <w:t>10.17</w:t>
      </w:r>
      <w:r>
        <w:rPr>
          <w:sz w:val="20"/>
          <w:szCs w:val="20"/>
          <w:color w:val="auto"/>
        </w:rPr>
        <w:tab/>
      </w:r>
      <w:r>
        <w:rPr>
          <w:rFonts w:ascii="Arial" w:cs="Arial" w:eastAsia="Arial" w:hAnsi="Arial"/>
          <w:sz w:val="16"/>
          <w:szCs w:val="16"/>
          <w:color w:val="auto"/>
        </w:rPr>
        <w:t>Purchase and Sale Agreement for 5400 Bayfront Plaza; Santa Clara, California, dated August 18, 2003, incorporated by reference to Exhibit 10.21 of the registrant's quarterly report on 10-Q for the period ended November 1, 2003 as filed on December 15, 2003</w:t>
      </w:r>
    </w:p>
    <w:p>
      <w:pPr>
        <w:spacing w:after="0" w:line="139" w:lineRule="exact"/>
        <w:rPr>
          <w:sz w:val="20"/>
          <w:szCs w:val="20"/>
          <w:color w:val="auto"/>
        </w:rPr>
      </w:pPr>
    </w:p>
    <w:p>
      <w:pPr>
        <w:jc w:val="right"/>
        <w:ind w:left="652" w:right="20"/>
        <w:spacing w:after="0" w:line="332" w:lineRule="auto"/>
        <w:rPr>
          <w:sz w:val="20"/>
          <w:szCs w:val="20"/>
          <w:color w:val="auto"/>
        </w:rPr>
      </w:pPr>
      <w:r>
        <w:rPr>
          <w:rFonts w:ascii="Arial" w:cs="Arial" w:eastAsia="Arial" w:hAnsi="Arial"/>
          <w:sz w:val="16"/>
          <w:szCs w:val="16"/>
          <w:color w:val="auto"/>
        </w:rPr>
        <w:t>10.18    First Amendment to Purchase and Sale Agreement for 5400 Bayfront Plaza; Santa Clara, California, dated October 15, 2003, incorporated by reference to Exhibit 10.22 of the registrant's quarterly report on 10-Q for the period ended November 1, 2003 as filed on December 15,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-42545</wp:posOffset>
            </wp:positionV>
            <wp:extent cx="7246620" cy="548640"/>
            <wp:wrapNone/>
            <wp:docPr id="1179" name="Picture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9"/>
                    <pic:cNvPicPr>
                      <a:picLocks noChangeAspect="1" noChangeArrowheads="1"/>
                    </pic:cNvPicPr>
                  </pic:nvPicPr>
                  <pic:blipFill>
                    <a:blip r:embed="rId1186">
                      <a:extLst>
                        <a:ext uri="{28A0092B-C50C-407E-A947-70E740481C1C}"/>
                      </a:extLst>
                    </a:blip>
                    <a:srcRect/>
                    <a:stretch>
                      <a:fillRect/>
                    </a:stretch>
                  </pic:blipFill>
                  <pic:spPr bwMode="auto">
                    <a:xfrm>
                      <a:off x="0" y="0"/>
                      <a:ext cx="7246620" cy="548640"/>
                    </a:xfrm>
                    <a:prstGeom prst="rect">
                      <a:avLst/>
                    </a:prstGeom>
                    <a:noFill/>
                  </pic:spPr>
                </pic:pic>
              </a:graphicData>
            </a:graphic>
          </wp:anchor>
        </w:drawing>
      </w:r>
    </w:p>
    <w:p>
      <w:pPr>
        <w:spacing w:after="0" w:line="119" w:lineRule="exact"/>
        <w:rPr>
          <w:sz w:val="20"/>
          <w:szCs w:val="20"/>
          <w:color w:val="auto"/>
        </w:rPr>
      </w:pPr>
    </w:p>
    <w:p>
      <w:pPr>
        <w:ind w:left="1372" w:right="40" w:hanging="732"/>
        <w:spacing w:after="0" w:line="259" w:lineRule="auto"/>
        <w:tabs>
          <w:tab w:leader="none" w:pos="1352"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Second Amendment to Purchase and Sale Agreement for 5400 Bayfront Plaza; Santa Clara, California, dated October 22, 2003, incorporated by reference to Exhibit 10.23 of the registrant's quarterly report on 10-Q for the period ended November 1, 2003 as filed on December 15, 2003</w:t>
      </w:r>
    </w:p>
    <w:p>
      <w:pPr>
        <w:spacing w:after="0" w:line="194" w:lineRule="exact"/>
        <w:rPr>
          <w:sz w:val="20"/>
          <w:szCs w:val="20"/>
          <w:color w:val="auto"/>
        </w:rPr>
      </w:pPr>
    </w:p>
    <w:p>
      <w:pPr>
        <w:ind w:left="732"/>
        <w:spacing w:after="0"/>
        <w:tabs>
          <w:tab w:leader="none" w:pos="1352" w:val="left"/>
        </w:tabs>
        <w:rPr>
          <w:sz w:val="20"/>
          <w:szCs w:val="20"/>
          <w:color w:val="auto"/>
        </w:rPr>
      </w:pPr>
      <w:r>
        <w:rPr>
          <w:rFonts w:ascii="Arial" w:cs="Arial" w:eastAsia="Arial" w:hAnsi="Arial"/>
          <w:sz w:val="18"/>
          <w:szCs w:val="18"/>
          <w:color w:val="auto"/>
        </w:rPr>
        <w:t>21.1</w:t>
      </w:r>
      <w:r>
        <w:rPr>
          <w:sz w:val="20"/>
          <w:szCs w:val="20"/>
          <w:color w:val="auto"/>
        </w:rPr>
        <w:tab/>
      </w:r>
      <w:r>
        <w:rPr>
          <w:rFonts w:ascii="Arial" w:cs="Arial" w:eastAsia="Arial" w:hAnsi="Arial"/>
          <w:sz w:val="15"/>
          <w:szCs w:val="15"/>
          <w:color w:val="auto"/>
        </w:rPr>
        <w:t>Subsidiaries of the registrant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10795</wp:posOffset>
            </wp:positionV>
            <wp:extent cx="7246620" cy="274320"/>
            <wp:wrapNone/>
            <wp:docPr id="1180" name="Picture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
                    <pic:cNvPicPr>
                      <a:picLocks noChangeAspect="1" noChangeArrowheads="1"/>
                    </pic:cNvPicPr>
                  </pic:nvPicPr>
                  <pic:blipFill>
                    <a:blip r:embed="rId1187">
                      <a:extLst>
                        <a:ext uri="{28A0092B-C50C-407E-A947-70E740481C1C}"/>
                      </a:extLst>
                    </a:blip>
                    <a:srcRect/>
                    <a:stretch>
                      <a:fillRect/>
                    </a:stretch>
                  </pic:blipFill>
                  <pic:spPr bwMode="auto">
                    <a:xfrm>
                      <a:off x="0" y="0"/>
                      <a:ext cx="7246620" cy="274320"/>
                    </a:xfrm>
                    <a:prstGeom prst="rect">
                      <a:avLst/>
                    </a:prstGeom>
                    <a:noFill/>
                  </pic:spPr>
                </pic:pic>
              </a:graphicData>
            </a:graphic>
          </wp:anchor>
        </w:drawing>
      </w:r>
    </w:p>
    <w:p>
      <w:pPr>
        <w:spacing w:after="0" w:line="205" w:lineRule="exact"/>
        <w:rPr>
          <w:sz w:val="20"/>
          <w:szCs w:val="20"/>
          <w:color w:val="auto"/>
        </w:rPr>
      </w:pPr>
    </w:p>
    <w:p>
      <w:pPr>
        <w:ind w:left="732"/>
        <w:spacing w:after="0"/>
        <w:tabs>
          <w:tab w:leader="none" w:pos="1352"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5"/>
          <w:szCs w:val="15"/>
          <w:color w:val="auto"/>
        </w:rPr>
        <w:t>Consent of PricewaterhouseCoopers LLP, Independent Registered Public Accounting Firm</w:t>
      </w:r>
    </w:p>
    <w:p>
      <w:pPr>
        <w:spacing w:after="0" w:line="225" w:lineRule="exact"/>
        <w:rPr>
          <w:sz w:val="20"/>
          <w:szCs w:val="20"/>
          <w:color w:val="auto"/>
        </w:rPr>
      </w:pPr>
    </w:p>
    <w:p>
      <w:pPr>
        <w:ind w:left="732"/>
        <w:spacing w:after="0"/>
        <w:tabs>
          <w:tab w:leader="none" w:pos="1352"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5"/>
          <w:szCs w:val="15"/>
          <w:color w:val="auto"/>
        </w:rPr>
        <w:t>Power of Attorney (see page 114 of this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10795</wp:posOffset>
            </wp:positionV>
            <wp:extent cx="7246620" cy="411480"/>
            <wp:wrapNone/>
            <wp:docPr id="1181" name="Picture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1"/>
                    <pic:cNvPicPr>
                      <a:picLocks noChangeAspect="1" noChangeArrowheads="1"/>
                    </pic:cNvPicPr>
                  </pic:nvPicPr>
                  <pic:blipFill>
                    <a:blip r:embed="rId1188">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205" w:lineRule="exact"/>
        <w:rPr>
          <w:sz w:val="20"/>
          <w:szCs w:val="20"/>
          <w:color w:val="auto"/>
        </w:rPr>
      </w:pPr>
    </w:p>
    <w:p>
      <w:pPr>
        <w:ind w:left="1372" w:right="540" w:hanging="644"/>
        <w:spacing w:after="0" w:line="268" w:lineRule="auto"/>
        <w:tabs>
          <w:tab w:leader="none" w:pos="1352"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Dr. Sehat Sutardja Ph.D., Chief Executive Officer</w:t>
      </w:r>
    </w:p>
    <w:p>
      <w:pPr>
        <w:spacing w:after="0" w:line="186" w:lineRule="exact"/>
        <w:rPr>
          <w:sz w:val="20"/>
          <w:szCs w:val="20"/>
          <w:color w:val="auto"/>
        </w:rPr>
      </w:pPr>
    </w:p>
    <w:p>
      <w:pPr>
        <w:ind w:left="1372" w:right="480" w:hanging="644"/>
        <w:spacing w:after="0" w:line="268" w:lineRule="auto"/>
        <w:tabs>
          <w:tab w:leader="none" w:pos="1352"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-13335</wp:posOffset>
            </wp:positionV>
            <wp:extent cx="7246620" cy="411480"/>
            <wp:wrapNone/>
            <wp:docPr id="1182" name="Picture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2"/>
                    <pic:cNvPicPr>
                      <a:picLocks noChangeAspect="1" noChangeArrowheads="1"/>
                    </pic:cNvPicPr>
                  </pic:nvPicPr>
                  <pic:blipFill>
                    <a:blip r:embed="rId1189">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1372" w:right="540" w:hanging="739"/>
        <w:spacing w:after="0" w:line="268" w:lineRule="auto"/>
        <w:tabs>
          <w:tab w:leader="none" w:pos="1352"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Dr. Sehat Sutardja Ph.D., Chief Executive Officer</w:t>
      </w:r>
    </w:p>
    <w:p>
      <w:pPr>
        <w:spacing w:after="0" w:line="186" w:lineRule="exact"/>
        <w:rPr>
          <w:sz w:val="20"/>
          <w:szCs w:val="20"/>
          <w:color w:val="auto"/>
        </w:rPr>
      </w:pPr>
    </w:p>
    <w:p>
      <w:pPr>
        <w:ind w:left="1372" w:right="480" w:hanging="739"/>
        <w:spacing w:after="0" w:line="268" w:lineRule="auto"/>
        <w:tabs>
          <w:tab w:leader="none" w:pos="1352"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52705</wp:posOffset>
            </wp:positionV>
            <wp:extent cx="535940" cy="21590"/>
            <wp:wrapNone/>
            <wp:docPr id="1183" name="Picture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3"/>
                    <pic:cNvPicPr>
                      <a:picLocks noChangeAspect="1" noChangeArrowheads="1"/>
                    </pic:cNvPicPr>
                  </pic:nvPicPr>
                  <pic:blipFill>
                    <a:blip r:embed="rId1190">
                      <a:extLst>
                        <a:ext uri="{28A0092B-C50C-407E-A947-70E740481C1C}"/>
                      </a:extLst>
                    </a:blip>
                    <a:srcRect/>
                    <a:stretch>
                      <a:fillRect/>
                    </a:stretch>
                  </pic:blipFill>
                  <pic:spPr bwMode="auto">
                    <a:xfrm>
                      <a:off x="0" y="0"/>
                      <a:ext cx="535940" cy="21590"/>
                    </a:xfrm>
                    <a:prstGeom prst="rect">
                      <a:avLst/>
                    </a:prstGeom>
                    <a:noFill/>
                  </pic:spPr>
                </pic:pic>
              </a:graphicData>
            </a:graphic>
          </wp:anchor>
        </w:drawing>
      </w:r>
    </w:p>
    <w:p>
      <w:pPr>
        <w:spacing w:after="0" w:line="315" w:lineRule="exact"/>
        <w:rPr>
          <w:sz w:val="20"/>
          <w:szCs w:val="20"/>
          <w:color w:val="auto"/>
        </w:rPr>
      </w:pPr>
    </w:p>
    <w:p>
      <w:pPr>
        <w:ind w:left="532" w:hanging="532"/>
        <w:spacing w:after="0"/>
        <w:tabs>
          <w:tab w:leader="none" w:pos="532" w:val="left"/>
        </w:tabs>
        <w:numPr>
          <w:ilvl w:val="0"/>
          <w:numId w:val="37"/>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52" w:lineRule="exact"/>
        <w:rPr>
          <w:sz w:val="20"/>
          <w:szCs w:val="20"/>
          <w:color w:val="auto"/>
        </w:rPr>
      </w:pPr>
    </w:p>
    <w:p>
      <w:pPr>
        <w:ind w:left="532" w:hanging="532"/>
        <w:spacing w:after="0"/>
        <w:tabs>
          <w:tab w:leader="none" w:pos="532" w:val="left"/>
        </w:tabs>
        <w:numPr>
          <w:ilvl w:val="0"/>
          <w:numId w:val="38"/>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w:t>
      </w:r>
    </w:p>
    <w:p>
      <w:pPr>
        <w:spacing w:after="0" w:line="262" w:lineRule="exact"/>
        <w:rPr>
          <w:sz w:val="20"/>
          <w:szCs w:val="20"/>
          <w:color w:val="auto"/>
        </w:rPr>
      </w:pPr>
    </w:p>
    <w:p>
      <w:pPr>
        <w:ind w:left="532" w:hanging="532"/>
        <w:spacing w:after="0" w:line="255" w:lineRule="auto"/>
        <w:tabs>
          <w:tab w:leader="none" w:pos="532"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rFonts w:ascii="Arial" w:cs="Arial" w:eastAsia="Arial" w:hAnsi="Arial"/>
          <w:sz w:val="18"/>
          <w:szCs w:val="18"/>
          <w:color w:val="auto"/>
        </w:rPr>
      </w:pPr>
    </w:p>
    <w:p>
      <w:pPr>
        <w:spacing w:after="0" w:line="226" w:lineRule="exact"/>
        <w:rPr>
          <w:rFonts w:ascii="Arial" w:cs="Arial" w:eastAsia="Arial" w:hAnsi="Arial"/>
          <w:sz w:val="18"/>
          <w:szCs w:val="18"/>
          <w:color w:val="auto"/>
        </w:rPr>
      </w:pPr>
    </w:p>
    <w:p>
      <w:pPr>
        <w:ind w:left="1072" w:hanging="532"/>
        <w:spacing w:after="0"/>
        <w:tabs>
          <w:tab w:leader="none" w:pos="1072" w:val="left"/>
        </w:tabs>
        <w:numPr>
          <w:ilvl w:val="1"/>
          <w:numId w:val="39"/>
        </w:numPr>
        <w:rPr>
          <w:rFonts w:ascii="Arial" w:cs="Arial" w:eastAsia="Arial" w:hAnsi="Arial"/>
          <w:sz w:val="18"/>
          <w:szCs w:val="18"/>
          <w:color w:val="auto"/>
        </w:rPr>
      </w:pPr>
      <w:r>
        <w:rPr>
          <w:rFonts w:ascii="Arial" w:cs="Arial" w:eastAsia="Arial" w:hAnsi="Arial"/>
          <w:sz w:val="18"/>
          <w:szCs w:val="18"/>
          <w:i w:val="1"/>
          <w:iCs w:val="1"/>
          <w:color w:val="auto"/>
        </w:rPr>
        <w:t>Financial Statements Required by Regulation S-X which are excluded from the annual report to Shareholders by Rule 14a-3(b).</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352"/>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113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184" name="Picture 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4"/>
                    <pic:cNvPicPr>
                      <a:picLocks noChangeAspect="1" noChangeArrowheads="1"/>
                    </pic:cNvPicPr>
                  </pic:nvPicPr>
                  <pic:blipFill>
                    <a:blip r:embed="rId119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32"/>
          </w:cols>
          <w:pgMar w:left="248" w:top="347" w:right="319" w:bottom="1440" w:gutter="0" w:footer="0" w:header="0"/>
        </w:sectPr>
      </w:pPr>
    </w:p>
    <w:bookmarkStart w:id="114" w:name="page115"/>
    <w:bookmarkEnd w:id="114"/>
    <w:p>
      <w:pPr>
        <w:jc w:val="center"/>
        <w:ind w:right="-79"/>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320" w:firstLine="351"/>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 in the City of Sunnyvale, California, on April 14, 2005.</w:t>
      </w:r>
    </w:p>
    <w:p>
      <w:pPr>
        <w:spacing w:after="0" w:line="18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960"/>
        <w:spacing w:after="0"/>
        <w:tabs>
          <w:tab w:leader="none" w:pos="79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4351020</wp:posOffset>
            </wp:positionH>
            <wp:positionV relativeFrom="paragraph">
              <wp:posOffset>77470</wp:posOffset>
            </wp:positionV>
            <wp:extent cx="2902585" cy="21590"/>
            <wp:wrapNone/>
            <wp:docPr id="1185" name="Picture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pic:cNvPicPr>
                      <a:picLocks noChangeAspect="1" noChangeArrowheads="1"/>
                    </pic:cNvPicPr>
                  </pic:nvPicPr>
                  <pic:blipFill>
                    <a:blip r:embed="rId1192">
                      <a:extLst>
                        <a:ext uri="{28A0092B-C50C-407E-A947-70E740481C1C}"/>
                      </a:extLst>
                    </a:blip>
                    <a:srcRect/>
                    <a:stretch>
                      <a:fillRect/>
                    </a:stretch>
                  </pic:blipFill>
                  <pic:spPr bwMode="auto">
                    <a:xfrm>
                      <a:off x="0" y="0"/>
                      <a:ext cx="2902585" cy="21590"/>
                    </a:xfrm>
                    <a:prstGeom prst="rect">
                      <a:avLst/>
                    </a:prstGeom>
                    <a:noFill/>
                  </pic:spPr>
                </pic:pic>
              </a:graphicData>
            </a:graphic>
          </wp:anchor>
        </w:drawing>
      </w:r>
    </w:p>
    <w:p>
      <w:pPr>
        <w:spacing w:after="0" w:line="232"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jc w:val="center"/>
        <w:ind w:left="684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00" w:lineRule="exact"/>
        <w:rPr>
          <w:sz w:val="20"/>
          <w:szCs w:val="20"/>
          <w:color w:val="auto"/>
        </w:rPr>
      </w:pPr>
    </w:p>
    <w:p>
      <w:pPr>
        <w:spacing w:after="0" w:line="22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POWER OF ATTORNEY</w:t>
      </w:r>
    </w:p>
    <w:p>
      <w:pPr>
        <w:spacing w:after="0" w:line="231" w:lineRule="exact"/>
        <w:rPr>
          <w:sz w:val="20"/>
          <w:szCs w:val="20"/>
          <w:color w:val="auto"/>
        </w:rPr>
      </w:pPr>
    </w:p>
    <w:p>
      <w:pPr>
        <w:jc w:val="both"/>
        <w:ind w:firstLine="351"/>
        <w:spacing w:after="0" w:line="323" w:lineRule="auto"/>
        <w:rPr>
          <w:sz w:val="20"/>
          <w:szCs w:val="20"/>
          <w:color w:val="auto"/>
        </w:rPr>
      </w:pPr>
      <w:r>
        <w:rPr>
          <w:rFonts w:ascii="Arial" w:cs="Arial" w:eastAsia="Arial" w:hAnsi="Arial"/>
          <w:sz w:val="15"/>
          <w:szCs w:val="15"/>
          <w:color w:val="auto"/>
        </w:rPr>
        <w:t>KNOW ALL PERSONS BY THESE PRESENTS, that each person whose signature appears below constitutes and appoints Dr. Sehat Sutardja and George Hervey, and each of them individually, as his or her attorney-in-fact, each with full power of substitution, for him or her in any and all capacities, to sign any and all amendments to this Report on Form 10-K, and to file the same, with exhibits thereto and all other documents in connection therewith, with the Securities and Exchange Commission, hereby ratifying and confirming all that said attorney-in-fact, or his or substitute, may do or cause to be done by virtue hereof.</w:t>
      </w:r>
    </w:p>
    <w:p>
      <w:pPr>
        <w:spacing w:after="0" w:line="152" w:lineRule="exact"/>
        <w:rPr>
          <w:sz w:val="20"/>
          <w:szCs w:val="20"/>
          <w:color w:val="auto"/>
        </w:rPr>
      </w:pPr>
    </w:p>
    <w:p>
      <w:pPr>
        <w:ind w:right="80" w:firstLine="351"/>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82" w:lineRule="exact"/>
        <w:rPr>
          <w:sz w:val="20"/>
          <w:szCs w:val="20"/>
          <w:color w:val="auto"/>
        </w:rPr>
      </w:pPr>
    </w:p>
    <w:p>
      <w:pPr>
        <w:ind w:left="920"/>
        <w:spacing w:after="0"/>
        <w:tabs>
          <w:tab w:leader="none" w:pos="6020" w:val="left"/>
          <w:tab w:leader="none" w:pos="1022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66675</wp:posOffset>
            </wp:positionV>
            <wp:extent cx="7250430" cy="21590"/>
            <wp:wrapNone/>
            <wp:docPr id="1186" name="Picture 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pic:cNvPicPr>
                      <a:picLocks noChangeAspect="1" noChangeArrowheads="1"/>
                    </pic:cNvPicPr>
                  </pic:nvPicPr>
                  <pic:blipFill>
                    <a:blip r:embed="rId11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000" w:type="dxa"/>
            <w:vAlign w:val="bottom"/>
          </w:tcPr>
          <w:p>
            <w:pPr>
              <w:jc w:val="center"/>
              <w:ind w:right="152"/>
              <w:spacing w:after="0"/>
              <w:rPr>
                <w:sz w:val="20"/>
                <w:szCs w:val="20"/>
                <w:color w:val="auto"/>
              </w:rPr>
            </w:pPr>
            <w:r>
              <w:rPr>
                <w:rFonts w:ascii="Arial" w:cs="Arial" w:eastAsia="Arial" w:hAnsi="Arial"/>
                <w:sz w:val="18"/>
                <w:szCs w:val="18"/>
                <w:color w:val="auto"/>
                <w:w w:val="93"/>
              </w:rPr>
              <w:t>/s/ SEHAT SUTARDJA</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89"/>
              </w:rPr>
              <w:t>Chairman of the Board, President and Chief Executive Officer (Principal Executive</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7"/>
        </w:trPr>
        <w:tc>
          <w:tcPr>
            <w:tcW w:w="3000" w:type="dxa"/>
            <w:vAlign w:val="bottom"/>
            <w:tcBorders>
              <w:bottom w:val="single" w:sz="8" w:color="808080"/>
            </w:tcBorders>
          </w:tcPr>
          <w:p>
            <w:pPr>
              <w:spacing w:after="0"/>
              <w:rPr>
                <w:sz w:val="11"/>
                <w:szCs w:val="11"/>
                <w:color w:val="auto"/>
              </w:rPr>
            </w:pPr>
          </w:p>
        </w:tc>
        <w:tc>
          <w:tcPr>
            <w:tcW w:w="6220" w:type="dxa"/>
            <w:vAlign w:val="bottom"/>
            <w:vMerge w:val="restart"/>
          </w:tcPr>
          <w:p>
            <w:pPr>
              <w:jc w:val="center"/>
              <w:ind w:left="12"/>
              <w:spacing w:after="0"/>
              <w:rPr>
                <w:sz w:val="20"/>
                <w:szCs w:val="20"/>
                <w:color w:val="auto"/>
              </w:rPr>
            </w:pPr>
            <w:r>
              <w:rPr>
                <w:rFonts w:ascii="Arial" w:cs="Arial" w:eastAsia="Arial" w:hAnsi="Arial"/>
                <w:sz w:val="18"/>
                <w:szCs w:val="18"/>
                <w:color w:val="auto"/>
                <w:w w:val="94"/>
              </w:rPr>
              <w:t>Officer)</w:t>
            </w:r>
          </w:p>
        </w:tc>
        <w:tc>
          <w:tcPr>
            <w:tcW w:w="1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30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622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3000" w:type="dxa"/>
            <w:vAlign w:val="bottom"/>
            <w:vMerge w:val="continue"/>
          </w:tcPr>
          <w:p>
            <w:pPr>
              <w:spacing w:after="0"/>
              <w:rPr>
                <w:sz w:val="21"/>
                <w:szCs w:val="21"/>
                <w:color w:val="auto"/>
              </w:rPr>
            </w:pPr>
          </w:p>
        </w:tc>
        <w:tc>
          <w:tcPr>
            <w:tcW w:w="62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26"/>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3"/>
              </w:rPr>
              <w:t>/s/ GEORGE HERVEY</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0"/>
              </w:rPr>
              <w:t>Vice President and Chief Financial Officer (Principal Financial and Accounting</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7"/>
        </w:trPr>
        <w:tc>
          <w:tcPr>
            <w:tcW w:w="3000" w:type="dxa"/>
            <w:vAlign w:val="bottom"/>
            <w:tcBorders>
              <w:bottom w:val="single" w:sz="8" w:color="808080"/>
            </w:tcBorders>
          </w:tcPr>
          <w:p>
            <w:pPr>
              <w:spacing w:after="0"/>
              <w:rPr>
                <w:sz w:val="11"/>
                <w:szCs w:val="11"/>
                <w:color w:val="auto"/>
              </w:rPr>
            </w:pPr>
          </w:p>
        </w:tc>
        <w:tc>
          <w:tcPr>
            <w:tcW w:w="6220" w:type="dxa"/>
            <w:vAlign w:val="bottom"/>
            <w:vMerge w:val="restart"/>
          </w:tcPr>
          <w:p>
            <w:pPr>
              <w:jc w:val="center"/>
              <w:ind w:left="12"/>
              <w:spacing w:after="0"/>
              <w:rPr>
                <w:sz w:val="20"/>
                <w:szCs w:val="20"/>
                <w:color w:val="auto"/>
              </w:rPr>
            </w:pPr>
            <w:r>
              <w:rPr>
                <w:rFonts w:ascii="Arial" w:cs="Arial" w:eastAsia="Arial" w:hAnsi="Arial"/>
                <w:sz w:val="18"/>
                <w:szCs w:val="18"/>
                <w:color w:val="auto"/>
                <w:w w:val="94"/>
              </w:rPr>
              <w:t>Officer)</w:t>
            </w:r>
          </w:p>
        </w:tc>
        <w:tc>
          <w:tcPr>
            <w:tcW w:w="1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3000" w:type="dxa"/>
            <w:vAlign w:val="bottom"/>
            <w:vMerge w:val="restart"/>
          </w:tcPr>
          <w:p>
            <w:pPr>
              <w:jc w:val="center"/>
              <w:spacing w:after="0"/>
              <w:rPr>
                <w:sz w:val="20"/>
                <w:szCs w:val="20"/>
                <w:color w:val="auto"/>
              </w:rPr>
            </w:pPr>
            <w:r>
              <w:rPr>
                <w:rFonts w:ascii="Arial" w:cs="Arial" w:eastAsia="Arial" w:hAnsi="Arial"/>
                <w:sz w:val="18"/>
                <w:szCs w:val="18"/>
                <w:color w:val="auto"/>
                <w:w w:val="86"/>
              </w:rPr>
              <w:t>George Hervey</w:t>
            </w:r>
          </w:p>
        </w:tc>
        <w:tc>
          <w:tcPr>
            <w:tcW w:w="622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3000" w:type="dxa"/>
            <w:vAlign w:val="bottom"/>
            <w:vMerge w:val="continue"/>
          </w:tcPr>
          <w:p>
            <w:pPr>
              <w:spacing w:after="0"/>
              <w:rPr>
                <w:sz w:val="21"/>
                <w:szCs w:val="21"/>
                <w:color w:val="auto"/>
              </w:rPr>
            </w:pPr>
          </w:p>
        </w:tc>
        <w:tc>
          <w:tcPr>
            <w:tcW w:w="62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rPr>
              <w:t>/s/ WEILI DAI</w:t>
            </w:r>
          </w:p>
        </w:tc>
        <w:tc>
          <w:tcPr>
            <w:tcW w:w="6220" w:type="dxa"/>
            <w:vAlign w:val="bottom"/>
          </w:tcPr>
          <w:p>
            <w:pPr>
              <w:jc w:val="center"/>
              <w:ind w:left="12"/>
              <w:spacing w:after="0"/>
              <w:rPr>
                <w:sz w:val="20"/>
                <w:szCs w:val="20"/>
                <w:color w:val="auto"/>
              </w:rPr>
            </w:pPr>
            <w:r>
              <w:rPr>
                <w:rFonts w:ascii="Arial" w:cs="Arial" w:eastAsia="Arial" w:hAnsi="Arial"/>
                <w:sz w:val="18"/>
                <w:szCs w:val="18"/>
                <w:color w:val="auto"/>
                <w:w w:val="88"/>
              </w:rPr>
              <w:t>Executive Vice President, Secretary and 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92"/>
              </w:rPr>
              <w:t>Weili Dai</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52"/>
              <w:spacing w:after="0"/>
              <w:rPr>
                <w:sz w:val="20"/>
                <w:szCs w:val="20"/>
                <w:color w:val="auto"/>
              </w:rPr>
            </w:pPr>
            <w:r>
              <w:rPr>
                <w:rFonts w:ascii="Arial" w:cs="Arial" w:eastAsia="Arial" w:hAnsi="Arial"/>
                <w:sz w:val="18"/>
                <w:szCs w:val="18"/>
                <w:color w:val="auto"/>
                <w:w w:val="93"/>
              </w:rPr>
              <w:t>/s/ PANTAS SUTARDJA</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Chief Technology Officer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5"/>
              </w:rPr>
              <w:t>Dr. Pantas Sutardja</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52"/>
              <w:spacing w:after="0"/>
              <w:rPr>
                <w:sz w:val="20"/>
                <w:szCs w:val="20"/>
                <w:color w:val="auto"/>
              </w:rPr>
            </w:pPr>
            <w:r>
              <w:rPr>
                <w:rFonts w:ascii="Arial" w:cs="Arial" w:eastAsia="Arial" w:hAnsi="Arial"/>
                <w:sz w:val="18"/>
                <w:szCs w:val="18"/>
                <w:color w:val="auto"/>
                <w:w w:val="95"/>
              </w:rPr>
              <w:t>/s/ HERBERT CHANG</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5"/>
              </w:rPr>
              <w:t>/s/ JOHN M. CIOFFI</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4"/>
              </w:rPr>
              <w:t>/s/ PAUL R. GRAY</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9"/>
              </w:rPr>
              <w:t>Dr. Paul R. Gray</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8"/>
              </w:rPr>
              <w:t>/s/ DOUGLAS KING</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91"/>
              </w:rPr>
              <w:t>Douglas King</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52"/>
              <w:spacing w:after="0"/>
              <w:rPr>
                <w:sz w:val="20"/>
                <w:szCs w:val="20"/>
                <w:color w:val="auto"/>
              </w:rPr>
            </w:pPr>
            <w:r>
              <w:rPr>
                <w:rFonts w:ascii="Arial" w:cs="Arial" w:eastAsia="Arial" w:hAnsi="Arial"/>
                <w:sz w:val="18"/>
                <w:szCs w:val="18"/>
                <w:color w:val="auto"/>
                <w:w w:val="94"/>
              </w:rPr>
              <w:t>/s/ RON VERDOORN</w:t>
            </w:r>
          </w:p>
        </w:tc>
        <w:tc>
          <w:tcPr>
            <w:tcW w:w="6220" w:type="dxa"/>
            <w:vAlign w:val="bottom"/>
          </w:tcPr>
          <w:p>
            <w:pPr>
              <w:jc w:val="center"/>
              <w:ind w:left="32"/>
              <w:spacing w:after="0"/>
              <w:rPr>
                <w:sz w:val="20"/>
                <w:szCs w:val="20"/>
                <w:color w:val="auto"/>
              </w:rPr>
            </w:pPr>
            <w:r>
              <w:rPr>
                <w:rFonts w:ascii="Arial" w:cs="Arial" w:eastAsia="Arial" w:hAnsi="Arial"/>
                <w:sz w:val="18"/>
                <w:szCs w:val="18"/>
                <w:color w:val="auto"/>
                <w:w w:val="91"/>
              </w:rPr>
              <w:t>Director</w:t>
            </w:r>
          </w:p>
        </w:tc>
        <w:tc>
          <w:tcPr>
            <w:tcW w:w="1140" w:type="dxa"/>
            <w:vAlign w:val="bottom"/>
          </w:tcPr>
          <w:p>
            <w:pPr>
              <w:ind w:left="100"/>
              <w:spacing w:after="0"/>
              <w:rPr>
                <w:sz w:val="20"/>
                <w:szCs w:val="20"/>
                <w:color w:val="auto"/>
              </w:rPr>
            </w:pPr>
            <w:r>
              <w:rPr>
                <w:rFonts w:ascii="Arial" w:cs="Arial" w:eastAsia="Arial" w:hAnsi="Arial"/>
                <w:sz w:val="18"/>
                <w:szCs w:val="18"/>
                <w:color w:val="auto"/>
                <w:w w:val="91"/>
              </w:rPr>
              <w:t>April 14, 2005</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7"/>
              </w:rPr>
              <w:t>Ron Verdoorn</w:t>
            </w:r>
          </w:p>
        </w:tc>
        <w:tc>
          <w:tcPr>
            <w:tcW w:w="6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1898015</wp:posOffset>
            </wp:positionH>
            <wp:positionV relativeFrom="paragraph">
              <wp:posOffset>-4744720</wp:posOffset>
            </wp:positionV>
            <wp:extent cx="12700" cy="8890"/>
            <wp:wrapNone/>
            <wp:docPr id="1187" name="Picture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pic:cNvPicPr>
                      <a:picLocks noChangeAspect="1" noChangeArrowheads="1"/>
                    </pic:cNvPicPr>
                  </pic:nvPicPr>
                  <pic:blipFill>
                    <a:blip r:embed="rId11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-4744720</wp:posOffset>
            </wp:positionV>
            <wp:extent cx="12700" cy="8890"/>
            <wp:wrapNone/>
            <wp:docPr id="1188" name="Picture 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pic:cNvPicPr>
                      <a:picLocks noChangeAspect="1" noChangeArrowheads="1"/>
                    </pic:cNvPicPr>
                  </pic:nvPicPr>
                  <pic:blipFill>
                    <a:blip r:embed="rId11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-4178935</wp:posOffset>
            </wp:positionV>
            <wp:extent cx="12700" cy="8890"/>
            <wp:wrapNone/>
            <wp:docPr id="1189" name="Picture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11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-4178935</wp:posOffset>
            </wp:positionV>
            <wp:extent cx="12700" cy="8890"/>
            <wp:wrapNone/>
            <wp:docPr id="1190" name="Picture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
                    <pic:cNvPicPr>
                      <a:picLocks noChangeAspect="1" noChangeArrowheads="1"/>
                    </pic:cNvPicPr>
                  </pic:nvPicPr>
                  <pic:blipFill>
                    <a:blip r:embed="rId11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-3612515</wp:posOffset>
            </wp:positionV>
            <wp:extent cx="12700" cy="8890"/>
            <wp:wrapNone/>
            <wp:docPr id="1191" name="Picture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pic:cNvPicPr>
                      <a:picLocks noChangeAspect="1" noChangeArrowheads="1"/>
                    </pic:cNvPicPr>
                  </pic:nvPicPr>
                  <pic:blipFill>
                    <a:blip r:embed="rId11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-3612515</wp:posOffset>
            </wp:positionV>
            <wp:extent cx="12700" cy="8890"/>
            <wp:wrapNone/>
            <wp:docPr id="1192" name="Picture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pic:cNvPicPr>
                      <a:picLocks noChangeAspect="1" noChangeArrowheads="1"/>
                    </pic:cNvPicPr>
                  </pic:nvPicPr>
                  <pic:blipFill>
                    <a:blip r:embed="rId11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-3046730</wp:posOffset>
            </wp:positionV>
            <wp:extent cx="12700" cy="8890"/>
            <wp:wrapNone/>
            <wp:docPr id="1193" name="Picture 1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pic:cNvPicPr>
                      <a:picLocks noChangeAspect="1" noChangeArrowheads="1"/>
                    </pic:cNvPicPr>
                  </pic:nvPicPr>
                  <pic:blipFill>
                    <a:blip r:embed="rId12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-3046730</wp:posOffset>
            </wp:positionV>
            <wp:extent cx="12700" cy="8890"/>
            <wp:wrapNone/>
            <wp:docPr id="1194" name="Picture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
                    <pic:cNvPicPr>
                      <a:picLocks noChangeAspect="1" noChangeArrowheads="1"/>
                    </pic:cNvPicPr>
                  </pic:nvPicPr>
                  <pic:blipFill>
                    <a:blip r:embed="rId12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-2480945</wp:posOffset>
            </wp:positionV>
            <wp:extent cx="12700" cy="8890"/>
            <wp:wrapNone/>
            <wp:docPr id="1195" name="Picture 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5"/>
                    <pic:cNvPicPr>
                      <a:picLocks noChangeAspect="1" noChangeArrowheads="1"/>
                    </pic:cNvPicPr>
                  </pic:nvPicPr>
                  <pic:blipFill>
                    <a:blip r:embed="rId12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-2480945</wp:posOffset>
            </wp:positionV>
            <wp:extent cx="12700" cy="8890"/>
            <wp:wrapNone/>
            <wp:docPr id="1196" name="Picture 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
                    <pic:cNvPicPr>
                      <a:picLocks noChangeAspect="1" noChangeArrowheads="1"/>
                    </pic:cNvPicPr>
                  </pic:nvPicPr>
                  <pic:blipFill>
                    <a:blip r:embed="rId12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-1914525</wp:posOffset>
            </wp:positionV>
            <wp:extent cx="12700" cy="8890"/>
            <wp:wrapNone/>
            <wp:docPr id="1197" name="Picture 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
                    <pic:cNvPicPr>
                      <a:picLocks noChangeAspect="1" noChangeArrowheads="1"/>
                    </pic:cNvPicPr>
                  </pic:nvPicPr>
                  <pic:blipFill>
                    <a:blip r:embed="rId12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-1914525</wp:posOffset>
            </wp:positionV>
            <wp:extent cx="12700" cy="8890"/>
            <wp:wrapNone/>
            <wp:docPr id="1198" name="Picture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pic:cNvPicPr>
                      <a:picLocks noChangeAspect="1" noChangeArrowheads="1"/>
                    </pic:cNvPicPr>
                  </pic:nvPicPr>
                  <pic:blipFill>
                    <a:blip r:embed="rId12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-1348740</wp:posOffset>
            </wp:positionV>
            <wp:extent cx="12700" cy="8890"/>
            <wp:wrapNone/>
            <wp:docPr id="1199" name="Picture 1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9"/>
                    <pic:cNvPicPr>
                      <a:picLocks noChangeAspect="1" noChangeArrowheads="1"/>
                    </pic:cNvPicPr>
                  </pic:nvPicPr>
                  <pic:blipFill>
                    <a:blip r:embed="rId12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-1348740</wp:posOffset>
            </wp:positionV>
            <wp:extent cx="12700" cy="8890"/>
            <wp:wrapNone/>
            <wp:docPr id="1200" name="Picture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0"/>
                    <pic:cNvPicPr>
                      <a:picLocks noChangeAspect="1" noChangeArrowheads="1"/>
                    </pic:cNvPicPr>
                  </pic:nvPicPr>
                  <pic:blipFill>
                    <a:blip r:embed="rId12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-782955</wp:posOffset>
            </wp:positionV>
            <wp:extent cx="12700" cy="8890"/>
            <wp:wrapNone/>
            <wp:docPr id="1201" name="Picture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12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-782955</wp:posOffset>
            </wp:positionV>
            <wp:extent cx="12700" cy="8890"/>
            <wp:wrapNone/>
            <wp:docPr id="1202" name="Picture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pic:cNvPicPr>
                      <a:picLocks noChangeAspect="1" noChangeArrowheads="1"/>
                    </pic:cNvPicPr>
                  </pic:nvPicPr>
                  <pic:blipFill>
                    <a:blip r:embed="rId12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1898015</wp:posOffset>
            </wp:positionH>
            <wp:positionV relativeFrom="paragraph">
              <wp:posOffset>-216535</wp:posOffset>
            </wp:positionV>
            <wp:extent cx="12700" cy="8890"/>
            <wp:wrapNone/>
            <wp:docPr id="1203" name="Picture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pic:cNvPicPr>
                      <a:picLocks noChangeAspect="1" noChangeArrowheads="1"/>
                    </pic:cNvPicPr>
                  </pic:nvPicPr>
                  <pic:blipFill>
                    <a:blip r:embed="rId12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-216535</wp:posOffset>
            </wp:positionV>
            <wp:extent cx="12700" cy="8890"/>
            <wp:wrapNone/>
            <wp:docPr id="1204" name="Picture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12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300"/>
          </w:cols>
          <w:pgMar w:left="240" w:top="341" w:right="359" w:bottom="1440" w:gutter="0" w:footer="0" w:header="0"/>
        </w:sectPr>
      </w:pPr>
    </w:p>
    <w:p>
      <w:pPr>
        <w:spacing w:after="0" w:line="210" w:lineRule="exact"/>
        <w:rPr>
          <w:sz w:val="20"/>
          <w:szCs w:val="20"/>
          <w:color w:val="auto"/>
        </w:rPr>
      </w:pPr>
    </w:p>
    <w:p>
      <w:pPr>
        <w:jc w:val="center"/>
        <w:ind w:right="-119"/>
        <w:spacing w:after="0"/>
        <w:rPr>
          <w:sz w:val="20"/>
          <w:szCs w:val="20"/>
          <w:color w:val="auto"/>
        </w:rPr>
      </w:pPr>
      <w:r>
        <w:rPr>
          <w:rFonts w:ascii="Arial" w:cs="Arial" w:eastAsia="Arial" w:hAnsi="Arial"/>
          <w:sz w:val="15"/>
          <w:szCs w:val="15"/>
          <w:color w:val="auto"/>
        </w:rPr>
        <w:t>114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168275</wp:posOffset>
            </wp:positionV>
            <wp:extent cx="7250430" cy="21590"/>
            <wp:wrapNone/>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12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341" w:right="359" w:bottom="1440" w:gutter="0" w:footer="0" w:header="0"/>
          <w:type w:val="continuous"/>
        </w:sectPr>
      </w:pPr>
    </w:p>
    <w:bookmarkStart w:id="115" w:name="page116"/>
    <w:bookmarkEnd w:id="115"/>
    <w:tbl>
      <w:tblPr>
        <w:tblLayout w:type="fixed"/>
        <w:tblInd w:w="0" w:type="dxa"/>
        <w:tblCellMar>
          <w:top w:w="0" w:type="dxa"/>
          <w:left w:w="0" w:type="dxa"/>
          <w:bottom w:w="0" w:type="dxa"/>
          <w:right w:w="0" w:type="dxa"/>
        </w:tblCellMar>
      </w:tblPr>
      <w:tr>
        <w:trPr>
          <w:trHeight w:val="228"/>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ind w:left="3440"/>
              <w:spacing w:after="0"/>
              <w:rPr>
                <w:sz w:val="20"/>
                <w:szCs w:val="20"/>
                <w:color w:val="auto"/>
              </w:rPr>
            </w:pPr>
            <w:r>
              <w:rPr>
                <w:rFonts w:ascii="Arial" w:cs="Arial" w:eastAsia="Arial" w:hAnsi="Arial"/>
                <w:sz w:val="18"/>
                <w:szCs w:val="18"/>
                <w:b w:val="1"/>
                <w:bCs w:val="1"/>
                <w:color w:val="auto"/>
              </w:rPr>
              <w:t>INDEX TO EXHIBITS</w:t>
            </w:r>
          </w:p>
        </w:tc>
      </w:tr>
      <w:tr>
        <w:trPr>
          <w:trHeight w:val="354"/>
        </w:trPr>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340" w:type="dxa"/>
            <w:vAlign w:val="bottom"/>
          </w:tcPr>
          <w:p>
            <w:pPr>
              <w:spacing w:after="0"/>
              <w:rPr>
                <w:sz w:val="24"/>
                <w:szCs w:val="24"/>
                <w:color w:val="auto"/>
              </w:rPr>
            </w:pPr>
          </w:p>
        </w:tc>
        <w:tc>
          <w:tcPr>
            <w:tcW w:w="10040" w:type="dxa"/>
            <w:vAlign w:val="bottom"/>
          </w:tcPr>
          <w:p>
            <w:pPr>
              <w:spacing w:after="0"/>
              <w:rPr>
                <w:sz w:val="24"/>
                <w:szCs w:val="24"/>
                <w:color w:val="auto"/>
              </w:rPr>
            </w:pPr>
          </w:p>
        </w:tc>
      </w:tr>
      <w:tr>
        <w:trPr>
          <w:trHeight w:val="174"/>
        </w:trPr>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96"/>
              </w:rPr>
              <w:t>No</w:t>
            </w:r>
          </w:p>
        </w:tc>
        <w:tc>
          <w:tcPr>
            <w:tcW w:w="340" w:type="dxa"/>
            <w:vAlign w:val="bottom"/>
          </w:tcPr>
          <w:p>
            <w:pPr>
              <w:spacing w:after="0"/>
              <w:rPr>
                <w:sz w:val="15"/>
                <w:szCs w:val="15"/>
                <w:color w:val="auto"/>
              </w:rPr>
            </w:pPr>
          </w:p>
        </w:tc>
        <w:tc>
          <w:tcPr>
            <w:tcW w:w="10040" w:type="dxa"/>
            <w:vAlign w:val="bottom"/>
          </w:tcPr>
          <w:p>
            <w:pPr>
              <w:ind w:left="4680"/>
              <w:spacing w:after="0"/>
              <w:rPr>
                <w:sz w:val="20"/>
                <w:szCs w:val="20"/>
                <w:color w:val="auto"/>
              </w:rPr>
            </w:pPr>
            <w:r>
              <w:rPr>
                <w:rFonts w:ascii="Arial" w:cs="Arial" w:eastAsia="Arial" w:hAnsi="Arial"/>
                <w:sz w:val="14"/>
                <w:szCs w:val="14"/>
                <w:b w:val="1"/>
                <w:bCs w:val="1"/>
                <w:color w:val="auto"/>
              </w:rPr>
              <w:t>Description</w:t>
            </w:r>
          </w:p>
        </w:tc>
      </w:tr>
      <w:tr>
        <w:trPr>
          <w:trHeight w:val="105"/>
        </w:trPr>
        <w:tc>
          <w:tcPr>
            <w:tcW w:w="10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1004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66675</wp:posOffset>
            </wp:positionV>
            <wp:extent cx="7246620" cy="411480"/>
            <wp:wrapNone/>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pic:cNvPicPr>
                      <a:picLocks noChangeAspect="1" noChangeArrowheads="1"/>
                    </pic:cNvPicPr>
                  </pic:nvPicPr>
                  <pic:blipFill>
                    <a:blip r:embed="rId1213">
                      <a:extLst>
                        <a:ext uri="{28A0092B-C50C-407E-A947-70E740481C1C}"/>
                      </a:extLst>
                    </a:blip>
                    <a:srcRect/>
                    <a:stretch>
                      <a:fillRect/>
                    </a:stretch>
                  </pic:blipFill>
                  <pic:spPr bwMode="auto">
                    <a:xfrm>
                      <a:off x="0" y="0"/>
                      <a:ext cx="7246620" cy="411480"/>
                    </a:xfrm>
                    <a:prstGeom prst="rect">
                      <a:avLst/>
                    </a:prstGeom>
                    <a:noFill/>
                  </pic:spPr>
                </pic:pic>
              </a:graphicData>
            </a:graphic>
          </wp:anchor>
        </w:drawing>
        <w:drawing>
          <wp:anchor simplePos="0" relativeHeight="251657728" behindDoc="1" locked="0" layoutInCell="0" allowOverlap="1">
            <wp:simplePos x="0" y="0"/>
            <wp:positionH relativeFrom="column">
              <wp:posOffset>654685</wp:posOffset>
            </wp:positionH>
            <wp:positionV relativeFrom="paragraph">
              <wp:posOffset>-14605</wp:posOffset>
            </wp:positionV>
            <wp:extent cx="12700" cy="8890"/>
            <wp:wrapNone/>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pic:cNvPicPr>
                      <a:picLocks noChangeAspect="1" noChangeArrowheads="1"/>
                    </pic:cNvPicPr>
                  </pic:nvPicPr>
                  <pic:blipFill>
                    <a:blip r:embed="rId12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12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12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877570</wp:posOffset>
            </wp:positionH>
            <wp:positionV relativeFrom="paragraph">
              <wp:posOffset>-14605</wp:posOffset>
            </wp:positionV>
            <wp:extent cx="12700" cy="8890"/>
            <wp:wrapNone/>
            <wp:docPr id="1210" name="Picture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pic:cNvPicPr>
                      <a:picLocks noChangeAspect="1" noChangeArrowheads="1"/>
                    </pic:cNvPicPr>
                  </pic:nvPicPr>
                  <pic:blipFill>
                    <a:blip r:embed="rId121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1380" w:right="180" w:hanging="556"/>
        <w:spacing w:after="0" w:line="268" w:lineRule="auto"/>
        <w:tabs>
          <w:tab w:leader="none" w:pos="136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8"/>
          <w:szCs w:val="18"/>
          <w:color w:val="auto"/>
        </w:rPr>
        <w:t>Memorandum of Association of the registrant, incorporated by reference to Exhibit 3.1 of the registrant's registration statement on Form S-1 (file no. 333-33086), as filed on March 23, 2000</w:t>
      </w:r>
    </w:p>
    <w:p>
      <w:pPr>
        <w:spacing w:after="0" w:line="186" w:lineRule="exact"/>
        <w:rPr>
          <w:sz w:val="20"/>
          <w:szCs w:val="20"/>
          <w:color w:val="auto"/>
        </w:rPr>
      </w:pPr>
    </w:p>
    <w:p>
      <w:pPr>
        <w:ind w:left="1380" w:right="540" w:hanging="556"/>
        <w:spacing w:after="0" w:line="268" w:lineRule="auto"/>
        <w:tabs>
          <w:tab w:leader="none" w:pos="13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8"/>
          <w:szCs w:val="18"/>
          <w:color w:val="auto"/>
        </w:rPr>
        <w:t>Second Amended and Restated Bye-laws of the registrant, incorporated by reference to Appendix A of the registrant's Definitive Proxy Statement, as filed on May 21,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411480"/>
            <wp:wrapNone/>
            <wp:docPr id="1211" name="Picture 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pic:cNvPicPr>
                      <a:picLocks noChangeAspect="1" noChangeArrowheads="1"/>
                    </pic:cNvPicPr>
                  </pic:nvPicPr>
                  <pic:blipFill>
                    <a:blip r:embed="rId1218">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1380" w:right="20" w:hanging="556"/>
        <w:spacing w:after="0" w:line="268" w:lineRule="auto"/>
        <w:tabs>
          <w:tab w:leader="none" w:pos="1360" w:val="left"/>
        </w:tabs>
        <w:rPr>
          <w:sz w:val="20"/>
          <w:szCs w:val="20"/>
          <w:color w:val="auto"/>
        </w:rPr>
      </w:pPr>
      <w:r>
        <w:rPr>
          <w:rFonts w:ascii="Arial" w:cs="Arial" w:eastAsia="Arial" w:hAnsi="Arial"/>
          <w:sz w:val="18"/>
          <w:szCs w:val="18"/>
          <w:color w:val="auto"/>
        </w:rPr>
        <w:t>4.1</w:t>
      </w:r>
      <w:r>
        <w:rPr>
          <w:sz w:val="20"/>
          <w:szCs w:val="20"/>
          <w:color w:val="auto"/>
        </w:rPr>
        <w:tab/>
      </w:r>
      <w:r>
        <w:rPr>
          <w:rFonts w:ascii="Arial" w:cs="Arial" w:eastAsia="Arial" w:hAnsi="Arial"/>
          <w:sz w:val="18"/>
          <w:szCs w:val="18"/>
          <w:color w:val="auto"/>
        </w:rPr>
        <w:t>Specimen common stock certificate of the registrant, incorporated by reference to Exhibit 4.1 of the registrant's registration statement on Form S-1/A (file no. 333-33086),as filed on May 5, 2000</w:t>
      </w:r>
    </w:p>
    <w:p>
      <w:pPr>
        <w:spacing w:after="0" w:line="186" w:lineRule="exact"/>
        <w:rPr>
          <w:sz w:val="20"/>
          <w:szCs w:val="20"/>
          <w:color w:val="auto"/>
        </w:rPr>
      </w:pPr>
    </w:p>
    <w:p>
      <w:pPr>
        <w:ind w:left="660"/>
        <w:spacing w:after="0"/>
        <w:tabs>
          <w:tab w:leader="none" w:pos="13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1997 Directors' Stock Option Plan, incorporated by reference to Exhibit 10.2 of the registrant's registration statement on Form S-1 (file no.</w:t>
      </w:r>
    </w:p>
    <w:p>
      <w:pPr>
        <w:spacing w:after="0" w:line="15"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333-33086), as filed on March 23,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7246620" cy="411480"/>
            <wp:wrapNone/>
            <wp:docPr id="1212" name="Picture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pic:cNvPicPr>
                      <a:picLocks noChangeAspect="1" noChangeArrowheads="1"/>
                    </pic:cNvPicPr>
                  </pic:nvPicPr>
                  <pic:blipFill>
                    <a:blip r:embed="rId1219">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99" w:lineRule="exact"/>
        <w:rPr>
          <w:sz w:val="20"/>
          <w:szCs w:val="20"/>
          <w:color w:val="auto"/>
        </w:rPr>
      </w:pPr>
    </w:p>
    <w:p>
      <w:pPr>
        <w:ind w:left="1380" w:right="300" w:hanging="732"/>
        <w:spacing w:after="0" w:line="268" w:lineRule="auto"/>
        <w:tabs>
          <w:tab w:leader="none" w:pos="136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Galileo Technology Ltd. 1997 Employees' Stock Option Plan, incorporated by reference to Exhibit 10.4 of the registrant's annual report on Form 10-K for the year ended January 27, 2001 as filed on April 27, 2001</w:t>
      </w:r>
    </w:p>
    <w:p>
      <w:pPr>
        <w:spacing w:after="0" w:line="186" w:lineRule="exact"/>
        <w:rPr>
          <w:sz w:val="20"/>
          <w:szCs w:val="20"/>
          <w:color w:val="auto"/>
        </w:rPr>
      </w:pPr>
    </w:p>
    <w:p>
      <w:pPr>
        <w:ind w:left="1380" w:right="120" w:hanging="732"/>
        <w:spacing w:after="0" w:line="268" w:lineRule="auto"/>
        <w:tabs>
          <w:tab w:leader="none" w:pos="136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8"/>
          <w:szCs w:val="18"/>
          <w:color w:val="auto"/>
        </w:rPr>
        <w:t>Galileo Technology Ltd. 1997 GTI Stock Option Plan, incorporated by reference to Exhibit 10.5 of the registrant's annual report on Form 10-K for the year ended January 27, 2001 as filed on April 27,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411480"/>
            <wp:wrapNone/>
            <wp:docPr id="1213" name="Picture 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
                    <pic:cNvPicPr>
                      <a:picLocks noChangeAspect="1" noChangeArrowheads="1"/>
                    </pic:cNvPicPr>
                  </pic:nvPicPr>
                  <pic:blipFill>
                    <a:blip r:embed="rId1220">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1380" w:right="160" w:hanging="644"/>
        <w:spacing w:after="0" w:line="268" w:lineRule="auto"/>
        <w:tabs>
          <w:tab w:leader="none" w:pos="13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Investors Rights Agreement dated September 10, 1999, incorporated by reference to Exhibit 10.6 of the registrant's registration statement on Form S-1 (file no. 333-33086), as filed on March 23, 2000</w:t>
      </w:r>
    </w:p>
    <w:p>
      <w:pPr>
        <w:spacing w:after="0" w:line="186" w:lineRule="exact"/>
        <w:rPr>
          <w:sz w:val="20"/>
          <w:szCs w:val="20"/>
          <w:color w:val="auto"/>
        </w:rPr>
      </w:pPr>
    </w:p>
    <w:p>
      <w:pPr>
        <w:ind w:left="1380" w:right="100" w:hanging="644"/>
        <w:spacing w:after="0" w:line="259" w:lineRule="auto"/>
        <w:tabs>
          <w:tab w:leader="none" w:pos="1360" w:val="left"/>
        </w:tabs>
        <w:rPr>
          <w:sz w:val="20"/>
          <w:szCs w:val="20"/>
          <w:color w:val="auto"/>
        </w:rPr>
      </w:pPr>
      <w:r>
        <w:rPr>
          <w:rFonts w:ascii="Arial" w:cs="Arial" w:eastAsia="Arial" w:hAnsi="Arial"/>
          <w:sz w:val="18"/>
          <w:szCs w:val="18"/>
          <w:color w:val="auto"/>
        </w:rPr>
        <w:t>10.5</w:t>
      </w:r>
      <w:r>
        <w:rPr>
          <w:sz w:val="20"/>
          <w:szCs w:val="20"/>
          <w:color w:val="auto"/>
        </w:rPr>
        <w:tab/>
      </w:r>
      <w:r>
        <w:rPr>
          <w:rFonts w:ascii="Arial" w:cs="Arial" w:eastAsia="Arial" w:hAnsi="Arial"/>
          <w:sz w:val="18"/>
          <w:szCs w:val="18"/>
          <w:color w:val="auto"/>
        </w:rPr>
        <w:t>Wafer Purchase Agreement by and between Marvell Technology Group Ltd. and Taiwan Semiconductor Manufacturing Corporation dated June 30, 1997, incorporated by reference to Exhibit 10.7 of the registrant's registration statement on Form S-1/A (file no. 333-33086), as filed on May 5,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-7620</wp:posOffset>
            </wp:positionV>
            <wp:extent cx="7246620" cy="411480"/>
            <wp:wrapNone/>
            <wp:docPr id="1214" name="Picture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1221">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74" w:lineRule="exact"/>
        <w:rPr>
          <w:sz w:val="20"/>
          <w:szCs w:val="20"/>
          <w:color w:val="auto"/>
        </w:rPr>
      </w:pPr>
    </w:p>
    <w:p>
      <w:pPr>
        <w:ind w:left="1380" w:right="540" w:hanging="732"/>
        <w:spacing w:after="0" w:line="332" w:lineRule="auto"/>
        <w:tabs>
          <w:tab w:leader="none" w:pos="1360" w:val="left"/>
        </w:tabs>
        <w:rPr>
          <w:sz w:val="20"/>
          <w:szCs w:val="20"/>
          <w:color w:val="auto"/>
        </w:rPr>
      </w:pPr>
      <w:r>
        <w:rPr>
          <w:rFonts w:ascii="Arial" w:cs="Arial" w:eastAsia="Arial" w:hAnsi="Arial"/>
          <w:sz w:val="18"/>
          <w:szCs w:val="18"/>
          <w:color w:val="auto"/>
        </w:rPr>
        <w:t>10.6*</w:t>
      </w:r>
      <w:r>
        <w:rPr>
          <w:sz w:val="20"/>
          <w:szCs w:val="20"/>
          <w:color w:val="auto"/>
        </w:rPr>
        <w:tab/>
      </w:r>
      <w:r>
        <w:rPr>
          <w:rFonts w:ascii="Arial" w:cs="Arial" w:eastAsia="Arial" w:hAnsi="Arial"/>
          <w:sz w:val="16"/>
          <w:szCs w:val="16"/>
          <w:color w:val="auto"/>
        </w:rPr>
        <w:t>Master Development, Purchasing and License Agreement between Intel Corporation and Marvell Semiconductor, Inc., incorporated by reference to Exhibit 10.8 of the registrant's registration statement on Form S-1/A (file no. 333-33086), as filed on June 23, 2000</w:t>
      </w:r>
    </w:p>
    <w:p>
      <w:pPr>
        <w:spacing w:after="0" w:line="139" w:lineRule="exact"/>
        <w:rPr>
          <w:sz w:val="20"/>
          <w:szCs w:val="20"/>
          <w:color w:val="auto"/>
        </w:rPr>
      </w:pPr>
    </w:p>
    <w:p>
      <w:pPr>
        <w:ind w:left="1380" w:right="520" w:hanging="644"/>
        <w:spacing w:after="0" w:line="332" w:lineRule="auto"/>
        <w:tabs>
          <w:tab w:leader="none" w:pos="1360" w:val="left"/>
        </w:tabs>
        <w:rPr>
          <w:sz w:val="20"/>
          <w:szCs w:val="20"/>
          <w:color w:val="auto"/>
        </w:rPr>
      </w:pPr>
      <w:r>
        <w:rPr>
          <w:rFonts w:ascii="Arial" w:cs="Arial" w:eastAsia="Arial" w:hAnsi="Arial"/>
          <w:sz w:val="18"/>
          <w:szCs w:val="18"/>
          <w:color w:val="auto"/>
        </w:rPr>
        <w:t>10.7</w:t>
      </w:r>
      <w:r>
        <w:rPr>
          <w:sz w:val="20"/>
          <w:szCs w:val="20"/>
          <w:color w:val="auto"/>
        </w:rPr>
        <w:tab/>
      </w:r>
      <w:r>
        <w:rPr>
          <w:rFonts w:ascii="Arial" w:cs="Arial" w:eastAsia="Arial" w:hAnsi="Arial"/>
          <w:sz w:val="16"/>
          <w:szCs w:val="16"/>
          <w:color w:val="auto"/>
        </w:rPr>
        <w:t>Lease Agreement dated June 1, 2000 by and between Marvell Semiconductor, Inc. and 525 Almanor LLC, incorporated by reference to Exhibit 10.9 of the registrant's quarterly report on Form 10-Q for the period ended July 29, 2000 as filed on September 12, 2000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-42545</wp:posOffset>
            </wp:positionV>
            <wp:extent cx="7246620" cy="411480"/>
            <wp:wrapNone/>
            <wp:docPr id="1215" name="Picture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pic:cNvPicPr>
                      <a:picLocks noChangeAspect="1" noChangeArrowheads="1"/>
                    </pic:cNvPicPr>
                  </pic:nvPicPr>
                  <pic:blipFill>
                    <a:blip r:embed="rId1222">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19" w:lineRule="exact"/>
        <w:rPr>
          <w:sz w:val="20"/>
          <w:szCs w:val="20"/>
          <w:color w:val="auto"/>
        </w:rPr>
      </w:pPr>
    </w:p>
    <w:p>
      <w:pPr>
        <w:ind w:left="1380" w:right="260" w:hanging="644"/>
        <w:spacing w:after="0" w:line="332" w:lineRule="auto"/>
        <w:tabs>
          <w:tab w:leader="none" w:pos="1360" w:val="left"/>
        </w:tabs>
        <w:rPr>
          <w:sz w:val="20"/>
          <w:szCs w:val="20"/>
          <w:color w:val="auto"/>
        </w:rPr>
      </w:pPr>
      <w:r>
        <w:rPr>
          <w:rFonts w:ascii="Arial" w:cs="Arial" w:eastAsia="Arial" w:hAnsi="Arial"/>
          <w:sz w:val="18"/>
          <w:szCs w:val="18"/>
          <w:color w:val="auto"/>
        </w:rPr>
        <w:t>10.8</w:t>
      </w:r>
      <w:r>
        <w:rPr>
          <w:sz w:val="20"/>
          <w:szCs w:val="20"/>
          <w:color w:val="auto"/>
        </w:rPr>
        <w:tab/>
      </w:r>
      <w:r>
        <w:rPr>
          <w:rFonts w:ascii="Arial" w:cs="Arial" w:eastAsia="Arial" w:hAnsi="Arial"/>
          <w:sz w:val="16"/>
          <w:szCs w:val="16"/>
          <w:color w:val="auto"/>
        </w:rPr>
        <w:t>Lease Agreement dated June 30, 2000 by and between Galileo Technology Ltd. and Zanker Development Co., incorporated by reference to Exhibit 10.12 of the registrant's annual report on Form 10-K for the year ended January 27, 2001 as filed on April 27, 2001</w:t>
      </w:r>
    </w:p>
    <w:p>
      <w:pPr>
        <w:spacing w:after="0" w:line="139" w:lineRule="exact"/>
        <w:rPr>
          <w:sz w:val="20"/>
          <w:szCs w:val="20"/>
          <w:color w:val="auto"/>
        </w:rPr>
      </w:pPr>
    </w:p>
    <w:p>
      <w:pPr>
        <w:ind w:left="1380" w:right="420" w:hanging="732"/>
        <w:spacing w:after="0" w:line="332" w:lineRule="auto"/>
        <w:tabs>
          <w:tab w:leader="none" w:pos="1360" w:val="left"/>
        </w:tabs>
        <w:rPr>
          <w:sz w:val="20"/>
          <w:szCs w:val="20"/>
          <w:color w:val="auto"/>
        </w:rPr>
      </w:pPr>
      <w:r>
        <w:rPr>
          <w:rFonts w:ascii="Arial" w:cs="Arial" w:eastAsia="Arial" w:hAnsi="Arial"/>
          <w:sz w:val="18"/>
          <w:szCs w:val="18"/>
          <w:color w:val="auto"/>
        </w:rPr>
        <w:t>10.9*</w:t>
      </w:r>
      <w:r>
        <w:rPr>
          <w:sz w:val="20"/>
          <w:szCs w:val="20"/>
          <w:color w:val="auto"/>
        </w:rPr>
        <w:tab/>
      </w:r>
      <w:r>
        <w:rPr>
          <w:rFonts w:ascii="Arial" w:cs="Arial" w:eastAsia="Arial" w:hAnsi="Arial"/>
          <w:sz w:val="16"/>
          <w:szCs w:val="16"/>
          <w:color w:val="auto"/>
        </w:rPr>
        <w:t>Technology License Agreement dated April 23, 2001 by and between Marvel International Limited and ARM Limited, incorporated by reference to Exhibit 10.13 of the registrant's quarterly report on Form 10-Q for the period ended April 28, 2001 as filed on June 12, 2001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-42545</wp:posOffset>
            </wp:positionV>
            <wp:extent cx="7246620" cy="548640"/>
            <wp:wrapNone/>
            <wp:docPr id="1216" name="Picture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pic:cNvPicPr>
                      <a:picLocks noChangeAspect="1" noChangeArrowheads="1"/>
                    </pic:cNvPicPr>
                  </pic:nvPicPr>
                  <pic:blipFill>
                    <a:blip r:embed="rId1223">
                      <a:extLst>
                        <a:ext uri="{28A0092B-C50C-407E-A947-70E740481C1C}"/>
                      </a:extLst>
                    </a:blip>
                    <a:srcRect/>
                    <a:stretch>
                      <a:fillRect/>
                    </a:stretch>
                  </pic:blipFill>
                  <pic:spPr bwMode="auto">
                    <a:xfrm>
                      <a:off x="0" y="0"/>
                      <a:ext cx="7246620" cy="548640"/>
                    </a:xfrm>
                    <a:prstGeom prst="rect">
                      <a:avLst/>
                    </a:prstGeom>
                    <a:noFill/>
                  </pic:spPr>
                </pic:pic>
              </a:graphicData>
            </a:graphic>
          </wp:anchor>
        </w:drawing>
      </w:r>
    </w:p>
    <w:p>
      <w:pPr>
        <w:spacing w:after="0" w:line="119" w:lineRule="exact"/>
        <w:rPr>
          <w:sz w:val="20"/>
          <w:szCs w:val="20"/>
          <w:color w:val="auto"/>
        </w:rPr>
      </w:pPr>
    </w:p>
    <w:p>
      <w:pPr>
        <w:ind w:left="1380" w:right="40" w:hanging="819"/>
        <w:spacing w:after="0" w:line="259" w:lineRule="auto"/>
        <w:tabs>
          <w:tab w:leader="none" w:pos="1360" w:val="left"/>
        </w:tabs>
        <w:rPr>
          <w:sz w:val="20"/>
          <w:szCs w:val="20"/>
          <w:color w:val="auto"/>
        </w:rPr>
      </w:pPr>
      <w:r>
        <w:rPr>
          <w:rFonts w:ascii="Arial" w:cs="Arial" w:eastAsia="Arial" w:hAnsi="Arial"/>
          <w:sz w:val="18"/>
          <w:szCs w:val="18"/>
          <w:color w:val="auto"/>
        </w:rPr>
        <w:t>10.10*</w:t>
      </w:r>
      <w:r>
        <w:rPr>
          <w:sz w:val="20"/>
          <w:szCs w:val="20"/>
          <w:color w:val="auto"/>
        </w:rPr>
        <w:tab/>
      </w:r>
      <w:r>
        <w:rPr>
          <w:rFonts w:ascii="Arial" w:cs="Arial" w:eastAsia="Arial" w:hAnsi="Arial"/>
          <w:sz w:val="18"/>
          <w:szCs w:val="18"/>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17" name="Picture 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pic:cNvPicPr>
                      <a:picLocks noChangeAspect="1" noChangeArrowheads="1"/>
                    </pic:cNvPicPr>
                  </pic:nvPicPr>
                  <pic:blipFill>
                    <a:blip r:embed="rId12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116" w:name="page117"/>
    <w:bookmarkEnd w:id="116"/>
    <w:p>
      <w:pPr>
        <w:ind w:left="820" w:right="640" w:hanging="725"/>
        <w:spacing w:after="0" w:line="370" w:lineRule="auto"/>
        <w:tabs>
          <w:tab w:leader="none" w:pos="8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411480"/>
            <wp:wrapNone/>
            <wp:docPr id="1218" name="Picture 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8"/>
                    <pic:cNvPicPr>
                      <a:picLocks noChangeAspect="1" noChangeArrowheads="1"/>
                    </pic:cNvPicPr>
                  </pic:nvPicPr>
                  <pic:blipFill>
                    <a:blip r:embed="rId1225">
                      <a:extLst>
                        <a:ext uri="{28A0092B-C50C-407E-A947-70E740481C1C}"/>
                      </a:extLst>
                    </a:blip>
                    <a:srcRect/>
                    <a:stretch>
                      <a:fillRect/>
                    </a:stretch>
                  </pic:blipFill>
                  <pic:spPr bwMode="auto">
                    <a:xfrm>
                      <a:off x="0" y="0"/>
                      <a:ext cx="7246620" cy="411480"/>
                    </a:xfrm>
                    <a:prstGeom prst="rect">
                      <a:avLst/>
                    </a:prstGeom>
                    <a:noFill/>
                  </pic:spPr>
                </pic:pic>
              </a:graphicData>
            </a:graphic>
          </wp:anchor>
        </w:drawing>
        <w:t>10.11</w:t>
      </w:r>
      <w:r>
        <w:rPr>
          <w:sz w:val="20"/>
          <w:szCs w:val="20"/>
          <w:color w:val="auto"/>
        </w:rPr>
        <w:tab/>
      </w:r>
      <w:r>
        <w:rPr>
          <w:rFonts w:ascii="Arial" w:cs="Arial" w:eastAsia="Arial" w:hAnsi="Arial"/>
          <w:sz w:val="15"/>
          <w:szCs w:val="15"/>
          <w:color w:val="auto"/>
        </w:rPr>
        <w:t>Lease Agreement dated October 19, 2001 by and between Marvell Semiconductor, Inc. and Yahoo! Inc., incorporated by reference to Exhibit 10.15 of the registrant's quarterly report on Form 10-Q for the period ended October 27, 2001 as filed on December 7, 2001</w:t>
      </w:r>
    </w:p>
    <w:p>
      <w:pPr>
        <w:spacing w:after="0" w:line="116" w:lineRule="exact"/>
        <w:rPr>
          <w:sz w:val="20"/>
          <w:szCs w:val="20"/>
          <w:color w:val="auto"/>
        </w:rPr>
      </w:pPr>
    </w:p>
    <w:p>
      <w:pPr>
        <w:ind w:left="820" w:right="60" w:hanging="819"/>
        <w:spacing w:after="0" w:line="306" w:lineRule="auto"/>
        <w:tabs>
          <w:tab w:leader="none" w:pos="800" w:val="left"/>
        </w:tabs>
        <w:rPr>
          <w:sz w:val="20"/>
          <w:szCs w:val="20"/>
          <w:color w:val="auto"/>
        </w:rPr>
      </w:pPr>
      <w:r>
        <w:rPr>
          <w:rFonts w:ascii="Arial" w:cs="Arial" w:eastAsia="Arial" w:hAnsi="Arial"/>
          <w:sz w:val="18"/>
          <w:szCs w:val="18"/>
          <w:color w:val="auto"/>
        </w:rPr>
        <w:t>10.12*</w:t>
      </w:r>
      <w:r>
        <w:rPr>
          <w:sz w:val="20"/>
          <w:szCs w:val="20"/>
          <w:color w:val="auto"/>
        </w:rPr>
        <w:tab/>
      </w:r>
      <w:r>
        <w:rPr>
          <w:rFonts w:ascii="Arial" w:cs="Arial" w:eastAsia="Arial" w:hAnsi="Arial"/>
          <w:sz w:val="16"/>
          <w:szCs w:val="16"/>
          <w:color w:val="auto"/>
        </w:rPr>
        <w:t>Supply Agreement for the Fabrication and Purchase of Semiconductor Products dated June 13, 2002 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-29210</wp:posOffset>
            </wp:positionV>
            <wp:extent cx="7246620" cy="548640"/>
            <wp:wrapNone/>
            <wp:docPr id="1219" name="Picture 1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9"/>
                    <pic:cNvPicPr>
                      <a:picLocks noChangeAspect="1" noChangeArrowheads="1"/>
                    </pic:cNvPicPr>
                  </pic:nvPicPr>
                  <pic:blipFill>
                    <a:blip r:embed="rId1226">
                      <a:extLst>
                        <a:ext uri="{28A0092B-C50C-407E-A947-70E740481C1C}"/>
                      </a:extLst>
                    </a:blip>
                    <a:srcRect/>
                    <a:stretch>
                      <a:fillRect/>
                    </a:stretch>
                  </pic:blipFill>
                  <pic:spPr bwMode="auto">
                    <a:xfrm>
                      <a:off x="0" y="0"/>
                      <a:ext cx="7246620" cy="548640"/>
                    </a:xfrm>
                    <a:prstGeom prst="rect">
                      <a:avLst/>
                    </a:prstGeom>
                    <a:noFill/>
                  </pic:spPr>
                </pic:pic>
              </a:graphicData>
            </a:graphic>
          </wp:anchor>
        </w:drawing>
      </w:r>
    </w:p>
    <w:p>
      <w:pPr>
        <w:spacing w:after="0" w:line="141" w:lineRule="exact"/>
        <w:rPr>
          <w:sz w:val="20"/>
          <w:szCs w:val="20"/>
          <w:color w:val="auto"/>
        </w:rPr>
      </w:pPr>
    </w:p>
    <w:p>
      <w:pPr>
        <w:ind w:left="820" w:hanging="819"/>
        <w:spacing w:after="0" w:line="259" w:lineRule="auto"/>
        <w:tabs>
          <w:tab w:leader="none" w:pos="800" w:val="left"/>
        </w:tabs>
        <w:rPr>
          <w:sz w:val="20"/>
          <w:szCs w:val="20"/>
          <w:color w:val="auto"/>
        </w:rPr>
      </w:pPr>
      <w:r>
        <w:rPr>
          <w:rFonts w:ascii="Arial" w:cs="Arial" w:eastAsia="Arial" w:hAnsi="Arial"/>
          <w:sz w:val="18"/>
          <w:szCs w:val="18"/>
          <w:color w:val="auto"/>
        </w:rPr>
        <w:t>10.13*</w:t>
      </w:r>
      <w:r>
        <w:rPr>
          <w:sz w:val="20"/>
          <w:szCs w:val="20"/>
          <w:color w:val="auto"/>
        </w:rPr>
        <w:tab/>
      </w:r>
      <w:r>
        <w:rPr>
          <w:rFonts w:ascii="Arial" w:cs="Arial" w:eastAsia="Arial" w:hAnsi="Arial"/>
          <w:sz w:val="18"/>
          <w:szCs w:val="18"/>
          <w:color w:val="auto"/>
        </w:rPr>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194" w:lineRule="exact"/>
        <w:rPr>
          <w:sz w:val="20"/>
          <w:szCs w:val="20"/>
          <w:color w:val="auto"/>
        </w:rPr>
      </w:pPr>
    </w:p>
    <w:p>
      <w:pPr>
        <w:ind w:left="820" w:right="200" w:hanging="819"/>
        <w:spacing w:after="0" w:line="259" w:lineRule="auto"/>
        <w:tabs>
          <w:tab w:leader="none" w:pos="800" w:val="left"/>
        </w:tabs>
        <w:rPr>
          <w:sz w:val="20"/>
          <w:szCs w:val="20"/>
          <w:color w:val="auto"/>
        </w:rPr>
      </w:pPr>
      <w:r>
        <w:rPr>
          <w:rFonts w:ascii="Arial" w:cs="Arial" w:eastAsia="Arial" w:hAnsi="Arial"/>
          <w:sz w:val="18"/>
          <w:szCs w:val="18"/>
          <w:color w:val="auto"/>
        </w:rPr>
        <w:t>10.14*</w:t>
      </w:r>
      <w:r>
        <w:rPr>
          <w:sz w:val="20"/>
          <w:szCs w:val="20"/>
          <w:color w:val="auto"/>
        </w:rPr>
        <w:tab/>
      </w:r>
      <w:r>
        <w:rPr>
          <w:rFonts w:ascii="Arial" w:cs="Arial" w:eastAsia="Arial" w:hAnsi="Arial"/>
          <w:sz w:val="18"/>
          <w:szCs w:val="18"/>
          <w:color w:val="auto"/>
        </w:rPr>
        <w:t>Volume Supply Requirements Agreement dated as of December 2,2002, by and among Marvell Asia Pte Ltd. and Seagate Technology LLC incorporated by reference to Exhibit 10.18 of the registrant's annual report on Form 10-K for the year ended February 1, 2003 as filed on May 2,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-7620</wp:posOffset>
            </wp:positionV>
            <wp:extent cx="7246620" cy="411480"/>
            <wp:wrapNone/>
            <wp:docPr id="1220" name="Picture 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pic:cNvPicPr>
                      <a:picLocks noChangeAspect="1" noChangeArrowheads="1"/>
                    </pic:cNvPicPr>
                  </pic:nvPicPr>
                  <pic:blipFill>
                    <a:blip r:embed="rId1227">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74" w:lineRule="exact"/>
        <w:rPr>
          <w:sz w:val="20"/>
          <w:szCs w:val="20"/>
          <w:color w:val="auto"/>
        </w:rPr>
      </w:pPr>
    </w:p>
    <w:p>
      <w:pPr>
        <w:ind w:left="820" w:right="80" w:hanging="819"/>
        <w:spacing w:after="0" w:line="268" w:lineRule="auto"/>
        <w:tabs>
          <w:tab w:leader="none" w:pos="80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8"/>
          <w:szCs w:val="18"/>
          <w:color w:val="auto"/>
        </w:rPr>
        <w:t>Amended 2000 Employee Stock Purchase Plan, incorporated by reference to Exhibit 10.19 of the registrant's quarterly report on 10-Q for the period ended August 2, 2003 as filed on September 15, 2003</w:t>
      </w:r>
    </w:p>
    <w:p>
      <w:pPr>
        <w:spacing w:after="0" w:line="186" w:lineRule="exact"/>
        <w:rPr>
          <w:sz w:val="20"/>
          <w:szCs w:val="20"/>
          <w:color w:val="auto"/>
        </w:rPr>
      </w:pPr>
    </w:p>
    <w:p>
      <w:pPr>
        <w:ind w:left="820" w:right="40" w:hanging="819"/>
        <w:spacing w:after="0" w:line="268" w:lineRule="auto"/>
        <w:tabs>
          <w:tab w:leader="none" w:pos="80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Amended and Restated 1995 Stock Option Plan, incorporated by reference to Exhibit 10.20 of the registrant's quarterly report on 10-Q for the period ended August 2, 2003 as filed on September 15,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-13335</wp:posOffset>
            </wp:positionV>
            <wp:extent cx="7246620" cy="411480"/>
            <wp:wrapNone/>
            <wp:docPr id="1221" name="Picture 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1"/>
                    <pic:cNvPicPr>
                      <a:picLocks noChangeAspect="1" noChangeArrowheads="1"/>
                    </pic:cNvPicPr>
                  </pic:nvPicPr>
                  <pic:blipFill>
                    <a:blip r:embed="rId1228">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820" w:right="700" w:hanging="732"/>
        <w:spacing w:after="0" w:line="332" w:lineRule="auto"/>
        <w:tabs>
          <w:tab w:leader="none" w:pos="80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6"/>
          <w:szCs w:val="16"/>
          <w:color w:val="auto"/>
        </w:rPr>
        <w:t>Purchase and Sale Agreement for 5400 Bayfront Plaza; Santa Clara, California, dated August 18, 2003, incorporated by reference to Exhibit 10.21 of the registrant's quarterly report on 10-Q for the period ended November 1, 2003 as filed on December 15, 2003</w:t>
      </w:r>
    </w:p>
    <w:p>
      <w:pPr>
        <w:spacing w:after="0" w:line="139" w:lineRule="exact"/>
        <w:rPr>
          <w:sz w:val="20"/>
          <w:szCs w:val="20"/>
          <w:color w:val="auto"/>
        </w:rPr>
      </w:pPr>
    </w:p>
    <w:p>
      <w:pPr>
        <w:ind w:left="820" w:right="460" w:hanging="732"/>
        <w:spacing w:after="0" w:line="268" w:lineRule="auto"/>
        <w:tabs>
          <w:tab w:leader="none" w:pos="80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8"/>
          <w:szCs w:val="18"/>
          <w:color w:val="auto"/>
        </w:rPr>
        <w:t>First Amendment to Purchase and Sale Agreement dated October15, 2003, incorporated by reference to Exhibit 10.22 of the registrant's quarterly report on 10-Q for the period ended November 1, 2003 as filed on December 15,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-13335</wp:posOffset>
            </wp:positionV>
            <wp:extent cx="7246620" cy="411480"/>
            <wp:wrapNone/>
            <wp:docPr id="1222" name="Picture 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2"/>
                    <pic:cNvPicPr>
                      <a:picLocks noChangeAspect="1" noChangeArrowheads="1"/>
                    </pic:cNvPicPr>
                  </pic:nvPicPr>
                  <pic:blipFill>
                    <a:blip r:embed="rId1229">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820" w:right="220" w:hanging="732"/>
        <w:spacing w:after="0" w:line="268" w:lineRule="auto"/>
        <w:tabs>
          <w:tab w:leader="none" w:pos="800"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Second Amendment to Purchase and Sale Agreement dated October 22, 2003, incorporated by reference to Exhibit 10.23 of the registrant's quarterly report on 10-Q for the period ended November 1, 2003 as filed on December 15, 2003</w:t>
      </w:r>
    </w:p>
    <w:p>
      <w:pPr>
        <w:spacing w:after="0" w:line="186" w:lineRule="exact"/>
        <w:rPr>
          <w:sz w:val="20"/>
          <w:szCs w:val="20"/>
          <w:color w:val="auto"/>
        </w:rPr>
      </w:pPr>
    </w:p>
    <w:p>
      <w:pPr>
        <w:ind w:left="180"/>
        <w:spacing w:after="0"/>
        <w:tabs>
          <w:tab w:leader="none" w:pos="800" w:val="left"/>
        </w:tabs>
        <w:rPr>
          <w:sz w:val="20"/>
          <w:szCs w:val="20"/>
          <w:color w:val="auto"/>
        </w:rPr>
      </w:pPr>
      <w:r>
        <w:rPr>
          <w:rFonts w:ascii="Arial" w:cs="Arial" w:eastAsia="Arial" w:hAnsi="Arial"/>
          <w:sz w:val="18"/>
          <w:szCs w:val="18"/>
          <w:color w:val="auto"/>
        </w:rPr>
        <w:t>21.1</w:t>
      </w:r>
      <w:r>
        <w:rPr>
          <w:sz w:val="20"/>
          <w:szCs w:val="20"/>
          <w:color w:val="auto"/>
        </w:rPr>
        <w:tab/>
      </w:r>
      <w:r>
        <w:rPr>
          <w:rFonts w:ascii="Arial" w:cs="Arial" w:eastAsia="Arial" w:hAnsi="Arial"/>
          <w:sz w:val="15"/>
          <w:szCs w:val="15"/>
          <w:color w:val="auto"/>
        </w:rPr>
        <w:t>Subsidiaries of the registrant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10795</wp:posOffset>
            </wp:positionV>
            <wp:extent cx="7246620" cy="274320"/>
            <wp:wrapNone/>
            <wp:docPr id="1223" name="Picture 1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
                    <pic:cNvPicPr>
                      <a:picLocks noChangeAspect="1" noChangeArrowheads="1"/>
                    </pic:cNvPicPr>
                  </pic:nvPicPr>
                  <pic:blipFill>
                    <a:blip r:embed="rId1230">
                      <a:extLst>
                        <a:ext uri="{28A0092B-C50C-407E-A947-70E740481C1C}"/>
                      </a:extLst>
                    </a:blip>
                    <a:srcRect/>
                    <a:stretch>
                      <a:fillRect/>
                    </a:stretch>
                  </pic:blipFill>
                  <pic:spPr bwMode="auto">
                    <a:xfrm>
                      <a:off x="0" y="0"/>
                      <a:ext cx="7246620" cy="274320"/>
                    </a:xfrm>
                    <a:prstGeom prst="rect">
                      <a:avLst/>
                    </a:prstGeom>
                    <a:noFill/>
                  </pic:spPr>
                </pic:pic>
              </a:graphicData>
            </a:graphic>
          </wp:anchor>
        </w:drawing>
      </w:r>
    </w:p>
    <w:p>
      <w:pPr>
        <w:spacing w:after="0" w:line="205" w:lineRule="exact"/>
        <w:rPr>
          <w:sz w:val="20"/>
          <w:szCs w:val="20"/>
          <w:color w:val="auto"/>
        </w:rPr>
      </w:pPr>
    </w:p>
    <w:p>
      <w:pPr>
        <w:ind w:left="180"/>
        <w:spacing w:after="0"/>
        <w:tabs>
          <w:tab w:leader="none" w:pos="80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5"/>
          <w:szCs w:val="15"/>
          <w:color w:val="auto"/>
        </w:rPr>
        <w:t>Consent of PricewaterhouseCoopers LLP, Independent Registered Public Accounting Firm</w:t>
      </w:r>
    </w:p>
    <w:p>
      <w:pPr>
        <w:spacing w:after="0" w:line="225" w:lineRule="exact"/>
        <w:rPr>
          <w:sz w:val="20"/>
          <w:szCs w:val="20"/>
          <w:color w:val="auto"/>
        </w:rPr>
      </w:pPr>
    </w:p>
    <w:p>
      <w:pPr>
        <w:ind w:left="180"/>
        <w:spacing w:after="0"/>
        <w:tabs>
          <w:tab w:leader="none" w:pos="80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5"/>
          <w:szCs w:val="15"/>
          <w:color w:val="auto"/>
        </w:rPr>
        <w:t>Power of Attorney (see page 114 of this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10795</wp:posOffset>
            </wp:positionV>
            <wp:extent cx="7246620" cy="411480"/>
            <wp:wrapNone/>
            <wp:docPr id="1224" name="Picture 1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pic:cNvPicPr>
                      <a:picLocks noChangeAspect="1" noChangeArrowheads="1"/>
                    </pic:cNvPicPr>
                  </pic:nvPicPr>
                  <pic:blipFill>
                    <a:blip r:embed="rId1231">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205" w:lineRule="exact"/>
        <w:rPr>
          <w:sz w:val="20"/>
          <w:szCs w:val="20"/>
          <w:color w:val="auto"/>
        </w:rPr>
      </w:pPr>
    </w:p>
    <w:p>
      <w:pPr>
        <w:ind w:left="820" w:right="580" w:hanging="644"/>
        <w:spacing w:after="0" w:line="268" w:lineRule="auto"/>
        <w:tabs>
          <w:tab w:leader="none" w:pos="8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Dr. Sehat Sutardja Ph.D., Chief Executive Officer</w:t>
      </w:r>
    </w:p>
    <w:p>
      <w:pPr>
        <w:spacing w:after="0" w:line="186" w:lineRule="exact"/>
        <w:rPr>
          <w:sz w:val="20"/>
          <w:szCs w:val="20"/>
          <w:color w:val="auto"/>
        </w:rPr>
      </w:pPr>
    </w:p>
    <w:p>
      <w:pPr>
        <w:ind w:left="820" w:right="500" w:hanging="644"/>
        <w:spacing w:after="0" w:line="268" w:lineRule="auto"/>
        <w:tabs>
          <w:tab w:leader="none" w:pos="8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-349885</wp:posOffset>
            </wp:positionH>
            <wp:positionV relativeFrom="paragraph">
              <wp:posOffset>-13335</wp:posOffset>
            </wp:positionV>
            <wp:extent cx="7246620" cy="411480"/>
            <wp:wrapNone/>
            <wp:docPr id="1225" name="Picture 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pic:cNvPicPr>
                      <a:picLocks noChangeAspect="1" noChangeArrowheads="1"/>
                    </pic:cNvPicPr>
                  </pic:nvPicPr>
                  <pic:blipFill>
                    <a:blip r:embed="rId1232">
                      <a:extLst>
                        <a:ext uri="{28A0092B-C50C-407E-A947-70E740481C1C}"/>
                      </a:extLst>
                    </a:blip>
                    <a:srcRect/>
                    <a:stretch>
                      <a:fillRect/>
                    </a:stretch>
                  </pic:blipFill>
                  <pic:spPr bwMode="auto">
                    <a:xfrm>
                      <a:off x="0" y="0"/>
                      <a:ext cx="7246620" cy="411480"/>
                    </a:xfrm>
                    <a:prstGeom prst="rect">
                      <a:avLst/>
                    </a:prstGeom>
                    <a:noFill/>
                  </pic:spPr>
                </pic:pic>
              </a:graphicData>
            </a:graphic>
          </wp:anchor>
        </w:drawing>
      </w:r>
    </w:p>
    <w:p>
      <w:pPr>
        <w:spacing w:after="0" w:line="166" w:lineRule="exact"/>
        <w:rPr>
          <w:sz w:val="20"/>
          <w:szCs w:val="20"/>
          <w:color w:val="auto"/>
        </w:rPr>
      </w:pPr>
    </w:p>
    <w:p>
      <w:pPr>
        <w:ind w:left="820" w:right="580" w:hanging="739"/>
        <w:spacing w:after="0" w:line="268" w:lineRule="auto"/>
        <w:tabs>
          <w:tab w:leader="none" w:pos="8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Dr. Sehat Sutardja Ph.D., Chief Executive Officer</w:t>
      </w:r>
    </w:p>
    <w:p>
      <w:pPr>
        <w:spacing w:after="0" w:line="200" w:lineRule="exact"/>
        <w:rPr>
          <w:sz w:val="20"/>
          <w:szCs w:val="20"/>
          <w:color w:val="auto"/>
        </w:rPr>
      </w:pPr>
    </w:p>
    <w:p>
      <w:pPr>
        <w:spacing w:after="0" w:line="202" w:lineRule="exact"/>
        <w:rPr>
          <w:sz w:val="20"/>
          <w:szCs w:val="20"/>
          <w:color w:val="auto"/>
        </w:rPr>
      </w:pPr>
    </w:p>
    <w:p>
      <w:pPr>
        <w:jc w:val="center"/>
        <w:ind w:right="520"/>
        <w:spacing w:after="0"/>
        <w:rPr>
          <w:sz w:val="20"/>
          <w:szCs w:val="20"/>
          <w:color w:val="auto"/>
        </w:rPr>
      </w:pPr>
      <w:r>
        <w:rPr>
          <w:rFonts w:ascii="Arial" w:cs="Arial" w:eastAsia="Arial" w:hAnsi="Arial"/>
          <w:sz w:val="18"/>
          <w:szCs w:val="18"/>
          <w:color w:val="auto"/>
        </w:rPr>
        <w:t>116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-351790</wp:posOffset>
            </wp:positionH>
            <wp:positionV relativeFrom="paragraph">
              <wp:posOffset>146050</wp:posOffset>
            </wp:positionV>
            <wp:extent cx="7250430" cy="21590"/>
            <wp:wrapNone/>
            <wp:docPr id="1226" name="Picture 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pic:cNvPicPr>
                      <a:picLocks noChangeAspect="1" noChangeArrowheads="1"/>
                    </pic:cNvPicPr>
                  </pic:nvPicPr>
                  <pic:blipFill>
                    <a:blip r:embed="rId12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20"/>
          </w:cols>
          <w:pgMar w:left="800" w:top="347" w:right="279" w:bottom="1440" w:gutter="0" w:footer="0" w:header="0"/>
        </w:sectPr>
      </w:pPr>
    </w:p>
    <w:bookmarkStart w:id="117" w:name="page118"/>
    <w:bookmarkEnd w:id="117"/>
    <w:p>
      <w:pPr>
        <w:ind w:left="1372" w:right="460" w:hanging="739"/>
        <w:spacing w:after="0" w:line="268" w:lineRule="auto"/>
        <w:tabs>
          <w:tab w:leader="none" w:pos="1352"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411480"/>
            <wp:wrapNone/>
            <wp:docPr id="1227" name="Picture 1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7"/>
                    <pic:cNvPicPr>
                      <a:picLocks noChangeAspect="1" noChangeArrowheads="1"/>
                    </pic:cNvPicPr>
                  </pic:nvPicPr>
                  <pic:blipFill>
                    <a:blip r:embed="rId1234">
                      <a:extLst>
                        <a:ext uri="{28A0092B-C50C-407E-A947-70E740481C1C}"/>
                      </a:extLst>
                    </a:blip>
                    <a:srcRect/>
                    <a:stretch>
                      <a:fillRect/>
                    </a:stretch>
                  </pic:blipFill>
                  <pic:spPr bwMode="auto">
                    <a:xfrm>
                      <a:off x="0" y="0"/>
                      <a:ext cx="7246620" cy="411480"/>
                    </a:xfrm>
                    <a:prstGeom prst="rect">
                      <a:avLst/>
                    </a:prstGeom>
                    <a:noFill/>
                  </pic:spPr>
                </pic:pic>
              </a:graphicData>
            </a:graphic>
          </wp:anchor>
        </w:drawing>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52705</wp:posOffset>
            </wp:positionV>
            <wp:extent cx="535940" cy="21590"/>
            <wp:wrapNone/>
            <wp:docPr id="1228" name="Picture 1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pic:cNvPicPr>
                      <a:picLocks noChangeAspect="1" noChangeArrowheads="1"/>
                    </pic:cNvPicPr>
                  </pic:nvPicPr>
                  <pic:blipFill>
                    <a:blip r:embed="rId1235">
                      <a:extLst>
                        <a:ext uri="{28A0092B-C50C-407E-A947-70E740481C1C}"/>
                      </a:extLst>
                    </a:blip>
                    <a:srcRect/>
                    <a:stretch>
                      <a:fillRect/>
                    </a:stretch>
                  </pic:blipFill>
                  <pic:spPr bwMode="auto">
                    <a:xfrm>
                      <a:off x="0" y="0"/>
                      <a:ext cx="535940" cy="21590"/>
                    </a:xfrm>
                    <a:prstGeom prst="rect">
                      <a:avLst/>
                    </a:prstGeom>
                    <a:noFill/>
                  </pic:spPr>
                </pic:pic>
              </a:graphicData>
            </a:graphic>
          </wp:anchor>
        </w:drawing>
      </w:r>
    </w:p>
    <w:p>
      <w:pPr>
        <w:spacing w:after="0" w:line="315" w:lineRule="exact"/>
        <w:rPr>
          <w:sz w:val="20"/>
          <w:szCs w:val="20"/>
          <w:color w:val="auto"/>
        </w:rPr>
      </w:pPr>
    </w:p>
    <w:p>
      <w:pPr>
        <w:ind w:left="532" w:hanging="532"/>
        <w:spacing w:after="0"/>
        <w:tabs>
          <w:tab w:leader="none" w:pos="532"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52" w:lineRule="exact"/>
        <w:rPr>
          <w:sz w:val="20"/>
          <w:szCs w:val="20"/>
          <w:color w:val="auto"/>
        </w:rPr>
      </w:pPr>
    </w:p>
    <w:p>
      <w:pPr>
        <w:ind w:left="532" w:hanging="532"/>
        <w:spacing w:after="0"/>
        <w:tabs>
          <w:tab w:leader="none" w:pos="532" w:val="left"/>
        </w:tabs>
        <w:numPr>
          <w:ilvl w:val="0"/>
          <w:numId w:val="41"/>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w:t>
      </w:r>
    </w:p>
    <w:p>
      <w:pPr>
        <w:spacing w:after="0" w:line="262" w:lineRule="exact"/>
        <w:rPr>
          <w:sz w:val="20"/>
          <w:szCs w:val="20"/>
          <w:color w:val="auto"/>
        </w:rPr>
      </w:pPr>
    </w:p>
    <w:p>
      <w:pPr>
        <w:ind w:left="532" w:hanging="532"/>
        <w:spacing w:after="0" w:line="255" w:lineRule="auto"/>
        <w:tabs>
          <w:tab w:leader="none" w:pos="532" w:val="left"/>
        </w:tabs>
        <w:numPr>
          <w:ilvl w:val="0"/>
          <w:numId w:val="42"/>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97"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117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229" name="Picture 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
                    <pic:cNvPicPr>
                      <a:picLocks noChangeAspect="1" noChangeArrowheads="1"/>
                    </pic:cNvPicPr>
                  </pic:nvPicPr>
                  <pic:blipFill>
                    <a:blip r:embed="rId12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32"/>
          </w:cols>
          <w:pgMar w:left="248" w:top="347" w:right="319" w:bottom="1440" w:gutter="0" w:footer="0" w:header="0"/>
        </w:sectPr>
      </w:pPr>
    </w:p>
    <w:bookmarkStart w:id="118" w:name="page119"/>
    <w:bookmarkEnd w:id="118"/>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MARVELL TECHNOLOGY GROUP LTD. Forward-Looking Statements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PART I</w:t>
        </w:r>
      </w:hyperlink>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Item 1. Business</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27">
        <w:r>
          <w:rPr>
            <w:rFonts w:ascii="Arial" w:cs="Arial" w:eastAsia="Arial" w:hAnsi="Arial"/>
            <w:sz w:val="18"/>
            <w:szCs w:val="18"/>
            <w:u w:val="single" w:color="auto"/>
            <w:color w:val="0000EE"/>
          </w:rPr>
          <w:t>Item 2. Properties</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Item 3. Legal Proceedings</w:t>
        </w:r>
      </w:hyperlink>
    </w:p>
    <w:p>
      <w:pPr>
        <w:spacing w:after="0" w:line="15" w:lineRule="exact"/>
        <w:rPr>
          <w:sz w:val="20"/>
          <w:szCs w:val="20"/>
          <w:color w:val="auto"/>
        </w:rPr>
      </w:pPr>
    </w:p>
    <w:p>
      <w:pPr>
        <w:ind w:left="540"/>
        <w:spacing w:after="0"/>
        <w:rPr>
          <w:rFonts w:ascii="Arial" w:cs="Arial" w:eastAsia="Arial" w:hAnsi="Arial"/>
          <w:sz w:val="18"/>
          <w:szCs w:val="18"/>
          <w:u w:val="single" w:color="auto"/>
          <w:color w:val="0000EE"/>
        </w:rPr>
      </w:pPr>
      <w:hyperlink w:anchor="page29">
        <w:r>
          <w:rPr>
            <w:rFonts w:ascii="Arial" w:cs="Arial" w:eastAsia="Arial" w:hAnsi="Arial"/>
            <w:sz w:val="18"/>
            <w:szCs w:val="18"/>
            <w:u w:val="single" w:color="auto"/>
            <w:color w:val="0000EE"/>
          </w:rPr>
          <w:t>Item 4. Submission of Matters to a Vote of Security Holders</w:t>
        </w:r>
      </w:hyperlink>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PART II</w:t>
        </w:r>
      </w:hyperlink>
    </w:p>
    <w:p>
      <w:pPr>
        <w:spacing w:after="0" w:line="225" w:lineRule="exact"/>
        <w:rPr>
          <w:sz w:val="20"/>
          <w:szCs w:val="20"/>
          <w:color w:val="auto"/>
        </w:rPr>
      </w:pPr>
    </w:p>
    <w:p>
      <w:pPr>
        <w:ind w:left="540" w:right="1259"/>
        <w:spacing w:after="0" w:line="254" w:lineRule="auto"/>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Item 5. Market for Registrant's Common Equity, Related Stockholder Matters and Issuer Purchases of Equity Securities</w:t>
        </w:r>
      </w:hyperlink>
      <w:r>
        <w:rPr>
          <w:rFonts w:ascii="Arial" w:cs="Arial" w:eastAsia="Arial" w:hAnsi="Arial"/>
          <w:sz w:val="18"/>
          <w:szCs w:val="18"/>
          <w:u w:val="single" w:color="auto"/>
          <w:color w:val="0000EE"/>
        </w:rPr>
        <w:t xml:space="preserve"> </w:t>
      </w:r>
      <w:hyperlink w:anchor="page31">
        <w:r>
          <w:rPr>
            <w:rFonts w:ascii="Arial" w:cs="Arial" w:eastAsia="Arial" w:hAnsi="Arial"/>
            <w:sz w:val="18"/>
            <w:szCs w:val="18"/>
            <w:u w:val="single" w:color="auto"/>
            <w:color w:val="0000EE"/>
          </w:rPr>
          <w:t>Item 6. Selected Consolidated Financial Data</w:t>
        </w:r>
      </w:hyperlink>
    </w:p>
    <w:p>
      <w:pPr>
        <w:ind w:left="540"/>
        <w:spacing w:after="0"/>
        <w:rPr>
          <w:rFonts w:ascii="Arial" w:cs="Arial" w:eastAsia="Arial" w:hAnsi="Arial"/>
          <w:sz w:val="18"/>
          <w:szCs w:val="18"/>
          <w:u w:val="single" w:color="auto"/>
          <w:color w:val="0000EE"/>
        </w:rPr>
      </w:pPr>
      <w:hyperlink w:anchor="page32">
        <w:r>
          <w:rPr>
            <w:rFonts w:ascii="Arial" w:cs="Arial" w:eastAsia="Arial" w:hAnsi="Arial"/>
            <w:sz w:val="18"/>
            <w:szCs w:val="18"/>
            <w:u w:val="single" w:color="auto"/>
            <w:color w:val="0000EE"/>
          </w:rPr>
          <w:t>Item 7. Management's Discussion and Analysis of Financial Condition and Results of Operations</w:t>
        </w:r>
      </w:hyperlink>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Item 7A. Quantitative and Qualitative Disclosures About Market Risk</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Item 8. Consolidated Financial Statements and Supplementary Data</w:t>
        </w:r>
      </w:hyperlink>
    </w:p>
    <w:p>
      <w:pPr>
        <w:spacing w:after="0" w:line="225" w:lineRule="exact"/>
        <w:rPr>
          <w:sz w:val="20"/>
          <w:szCs w:val="20"/>
          <w:color w:val="auto"/>
        </w:rPr>
      </w:pPr>
    </w:p>
    <w:p>
      <w:pPr>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INDEX TO CONSOLIDATED FINANCIAL STATEMENTS</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71">
        <w:r>
          <w:rPr>
            <w:rFonts w:ascii="Arial" w:cs="Arial" w:eastAsia="Arial" w:hAnsi="Arial"/>
            <w:sz w:val="18"/>
            <w:szCs w:val="18"/>
            <w:u w:val="single" w:color="auto"/>
            <w:color w:val="0000EE"/>
          </w:rPr>
          <w:t>Management's Report on Internal Control Over Financial Reporting</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72">
        <w:r>
          <w:rPr>
            <w:rFonts w:ascii="Arial" w:cs="Arial" w:eastAsia="Arial" w:hAnsi="Arial"/>
            <w:sz w:val="18"/>
            <w:szCs w:val="18"/>
            <w:u w:val="single" w:color="auto"/>
            <w:color w:val="0000EE"/>
          </w:rPr>
          <w:t>Report of Independent Registered Public Accounting Firm</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74">
        <w:r>
          <w:rPr>
            <w:rFonts w:ascii="Arial" w:cs="Arial" w:eastAsia="Arial" w:hAnsi="Arial"/>
            <w:sz w:val="18"/>
            <w:szCs w:val="18"/>
            <w:u w:val="single" w:color="auto"/>
            <w:color w:val="0000EE"/>
          </w:rPr>
          <w:t>MARVELL TECHNOLOGY GROUP LTD. CONSOLIDATED BALANCE SHEETS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75">
        <w:r>
          <w:rPr>
            <w:rFonts w:ascii="Arial" w:cs="Arial" w:eastAsia="Arial" w:hAnsi="Arial"/>
            <w:sz w:val="18"/>
            <w:szCs w:val="18"/>
            <w:u w:val="single" w:color="auto"/>
            <w:color w:val="0000EE"/>
          </w:rPr>
          <w:t>MARVELL TECHNOLOGY GROUP LTD. CONSOLIDATED STATEMENTS OF OPERATIONS</w:t>
        </w:r>
      </w:hyperlink>
    </w:p>
    <w:p>
      <w:pPr>
        <w:spacing w:after="0" w:line="9" w:lineRule="exact"/>
        <w:rPr>
          <w:sz w:val="20"/>
          <w:szCs w:val="20"/>
          <w:color w:val="auto"/>
        </w:rPr>
      </w:pPr>
    </w:p>
    <w:p>
      <w:pPr>
        <w:ind w:right="2119"/>
        <w:spacing w:after="0" w:line="302" w:lineRule="auto"/>
        <w:rPr>
          <w:rFonts w:ascii="Arial" w:cs="Arial" w:eastAsia="Arial" w:hAnsi="Arial"/>
          <w:sz w:val="16"/>
          <w:szCs w:val="16"/>
          <w:u w:val="single" w:color="auto"/>
          <w:color w:val="0000EE"/>
        </w:rPr>
      </w:pPr>
      <w:hyperlink w:anchor="page76">
        <w:r>
          <w:rPr>
            <w:rFonts w:ascii="Arial" w:cs="Arial" w:eastAsia="Arial" w:hAnsi="Arial"/>
            <w:sz w:val="16"/>
            <w:szCs w:val="16"/>
            <w:u w:val="single" w:color="auto"/>
            <w:color w:val="0000EE"/>
          </w:rPr>
          <w:t>MARVELL TECHNOLOGY GROUP LTD. CONSOLIDATED STATEMENTS OF SHAREHOLDERS' EQUITY</w:t>
        </w:r>
      </w:hyperlink>
      <w:r>
        <w:rPr>
          <w:rFonts w:ascii="Arial" w:cs="Arial" w:eastAsia="Arial" w:hAnsi="Arial"/>
          <w:sz w:val="16"/>
          <w:szCs w:val="16"/>
          <w:u w:val="single" w:color="auto"/>
          <w:color w:val="0000EE"/>
        </w:rPr>
        <w:t xml:space="preserve"> </w:t>
      </w:r>
      <w:hyperlink w:anchor="page77">
        <w:r>
          <w:rPr>
            <w:rFonts w:ascii="Arial" w:cs="Arial" w:eastAsia="Arial" w:hAnsi="Arial"/>
            <w:sz w:val="16"/>
            <w:szCs w:val="16"/>
            <w:u w:val="single" w:color="auto"/>
            <w:color w:val="0000EE"/>
          </w:rPr>
          <w:t>MARVELL TECHNOLOGY GROUP LTD. CONSOLIDATED STATEMENTS OF CASH FLOWS</w:t>
        </w:r>
      </w:hyperlink>
      <w:r>
        <w:rPr>
          <w:rFonts w:ascii="Arial" w:cs="Arial" w:eastAsia="Arial" w:hAnsi="Arial"/>
          <w:sz w:val="16"/>
          <w:szCs w:val="16"/>
          <w:u w:val="single" w:color="auto"/>
          <w:color w:val="0000EE"/>
        </w:rPr>
        <w:t xml:space="preserve"> </w:t>
      </w:r>
      <w:hyperlink w:anchor="page78">
        <w:r>
          <w:rPr>
            <w:rFonts w:ascii="Arial" w:cs="Arial" w:eastAsia="Arial" w:hAnsi="Arial"/>
            <w:sz w:val="16"/>
            <w:szCs w:val="16"/>
            <w:u w:val="single" w:color="auto"/>
            <w:color w:val="0000EE"/>
          </w:rPr>
          <w:t>MARVELL TECHNOLOGY GROUP LTD. NOTES TO CONSOLIDATED FINANCIAL STATEMENTS</w:t>
        </w:r>
      </w:hyperlink>
    </w:p>
    <w:p>
      <w:pPr>
        <w:spacing w:after="0" w:line="163"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Item 9. Changes in and Disagreements with Accountants on Accounting and Financial Disclosure</w:t>
        </w:r>
      </w:hyperlink>
    </w:p>
    <w:p>
      <w:pPr>
        <w:spacing w:after="0" w:line="1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Item 9A. Controls and Procedures</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Item 9B. Other Information</w:t>
        </w:r>
      </w:hyperlink>
    </w:p>
    <w:p>
      <w:pPr>
        <w:spacing w:after="0" w:line="21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0">
        <w:r>
          <w:rPr>
            <w:rFonts w:ascii="Arial" w:cs="Arial" w:eastAsia="Arial" w:hAnsi="Arial"/>
            <w:sz w:val="18"/>
            <w:szCs w:val="18"/>
            <w:u w:val="single" w:color="auto"/>
            <w:color w:val="0000EE"/>
          </w:rPr>
          <w:t>PART III</w:t>
        </w:r>
      </w:hyperlink>
    </w:p>
    <w:p>
      <w:pPr>
        <w:spacing w:after="0" w:line="22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10">
        <w:r>
          <w:rPr>
            <w:rFonts w:ascii="Arial" w:cs="Arial" w:eastAsia="Arial" w:hAnsi="Arial"/>
            <w:sz w:val="18"/>
            <w:szCs w:val="18"/>
            <w:u w:val="single" w:color="auto"/>
            <w:color w:val="0000EE"/>
          </w:rPr>
          <w:t>Item 10. Directors and Executive Officers of the Registrant</w:t>
        </w:r>
      </w:hyperlink>
    </w:p>
    <w:p>
      <w:pPr>
        <w:spacing w:after="0" w:line="1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10">
        <w:r>
          <w:rPr>
            <w:rFonts w:ascii="Arial" w:cs="Arial" w:eastAsia="Arial" w:hAnsi="Arial"/>
            <w:sz w:val="18"/>
            <w:szCs w:val="18"/>
            <w:u w:val="single" w:color="auto"/>
            <w:color w:val="0000EE"/>
          </w:rPr>
          <w:t>Item 11. Executive Compensation</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6"/>
          <w:szCs w:val="16"/>
          <w:u w:val="single" w:color="auto"/>
          <w:color w:val="0000EE"/>
        </w:rPr>
      </w:pPr>
      <w:hyperlink w:anchor="page110">
        <w:r>
          <w:rPr>
            <w:rFonts w:ascii="Arial" w:cs="Arial" w:eastAsia="Arial" w:hAnsi="Arial"/>
            <w:sz w:val="16"/>
            <w:szCs w:val="16"/>
            <w:u w:val="single" w:color="auto"/>
            <w:color w:val="0000EE"/>
          </w:rPr>
          <w:t>Item 12. Security Ownership of Certain Beneficial Owners and Management and Related Stockholders Matters</w:t>
        </w:r>
      </w:hyperlink>
    </w:p>
    <w:p>
      <w:pPr>
        <w:spacing w:after="0" w:line="242"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1">
        <w:r>
          <w:rPr>
            <w:rFonts w:ascii="Arial" w:cs="Arial" w:eastAsia="Arial" w:hAnsi="Arial"/>
            <w:sz w:val="18"/>
            <w:szCs w:val="18"/>
            <w:u w:val="single" w:color="auto"/>
            <w:color w:val="0000EE"/>
          </w:rPr>
          <w:t>Equity Compensation Plan Information</w:t>
        </w:r>
      </w:hyperlink>
    </w:p>
    <w:p>
      <w:pPr>
        <w:spacing w:after="0" w:line="22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11">
        <w:r>
          <w:rPr>
            <w:rFonts w:ascii="Arial" w:cs="Arial" w:eastAsia="Arial" w:hAnsi="Arial"/>
            <w:sz w:val="18"/>
            <w:szCs w:val="18"/>
            <w:u w:val="single" w:color="auto"/>
            <w:color w:val="0000EE"/>
          </w:rPr>
          <w:t>Item 13. Certain Relationships and Related Transactions</w:t>
        </w:r>
      </w:hyperlink>
    </w:p>
    <w:p>
      <w:pPr>
        <w:spacing w:after="0" w:line="1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11">
        <w:r>
          <w:rPr>
            <w:rFonts w:ascii="Arial" w:cs="Arial" w:eastAsia="Arial" w:hAnsi="Arial"/>
            <w:sz w:val="18"/>
            <w:szCs w:val="18"/>
            <w:u w:val="single" w:color="auto"/>
            <w:color w:val="0000EE"/>
          </w:rPr>
          <w:t>Item 14. Principal Accountant Fees and Services</w:t>
        </w:r>
      </w:hyperlink>
    </w:p>
    <w:p>
      <w:pPr>
        <w:spacing w:after="0" w:line="21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2">
        <w:r>
          <w:rPr>
            <w:rFonts w:ascii="Arial" w:cs="Arial" w:eastAsia="Arial" w:hAnsi="Arial"/>
            <w:sz w:val="18"/>
            <w:szCs w:val="18"/>
            <w:u w:val="single" w:color="auto"/>
            <w:color w:val="0000EE"/>
          </w:rPr>
          <w:t>PART IV</w:t>
        </w:r>
      </w:hyperlink>
    </w:p>
    <w:p>
      <w:pPr>
        <w:spacing w:after="0" w:line="22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12">
        <w:r>
          <w:rPr>
            <w:rFonts w:ascii="Arial" w:cs="Arial" w:eastAsia="Arial" w:hAnsi="Arial"/>
            <w:sz w:val="18"/>
            <w:szCs w:val="18"/>
            <w:u w:val="single" w:color="auto"/>
            <w:color w:val="0000EE"/>
          </w:rPr>
          <w:t>Item 15. Exhibits and Financial Statement Schedules</w:t>
        </w:r>
      </w:hyperlink>
    </w:p>
    <w:p>
      <w:pPr>
        <w:spacing w:after="0" w:line="225"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5">
        <w:r>
          <w:rPr>
            <w:rFonts w:ascii="Arial" w:cs="Arial" w:eastAsia="Arial" w:hAnsi="Arial"/>
            <w:sz w:val="18"/>
            <w:szCs w:val="18"/>
            <w:u w:val="single" w:color="auto"/>
            <w:color w:val="0000EE"/>
          </w:rPr>
          <w:t>SIGNATURES</w:t>
        </w:r>
      </w:hyperlink>
    </w:p>
    <w:p>
      <w:pPr>
        <w:spacing w:after="0" w:line="15"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5">
        <w:r>
          <w:rPr>
            <w:rFonts w:ascii="Arial" w:cs="Arial" w:eastAsia="Arial" w:hAnsi="Arial"/>
            <w:sz w:val="18"/>
            <w:szCs w:val="18"/>
            <w:u w:val="single" w:color="auto"/>
            <w:color w:val="0000EE"/>
          </w:rPr>
          <w:t>POWER OF ATTORNEY</w:t>
        </w:r>
      </w:hyperlink>
    </w:p>
    <w:p>
      <w:pPr>
        <w:spacing w:after="0" w:line="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16">
        <w:r>
          <w:rPr>
            <w:rFonts w:ascii="Arial" w:cs="Arial" w:eastAsia="Arial" w:hAnsi="Arial"/>
            <w:sz w:val="18"/>
            <w:szCs w:val="18"/>
            <w:u w:val="single" w:color="auto"/>
            <w:color w:val="0000EE"/>
          </w:rPr>
          <w:t>INDEX TO EXHIBITS</w:t>
        </w:r>
      </w:hyperlink>
    </w:p>
    <w:p>
      <w:pPr>
        <w:sectPr>
          <w:pgSz w:w="11900" w:h="16838" w:orient="portrait"/>
          <w:cols w:equalWidth="0" w:num="1">
            <w:col w:w="10219"/>
          </w:cols>
          <w:pgMar w:left="240" w:top="820" w:right="1440" w:bottom="1440" w:gutter="0" w:footer="0" w:header="0"/>
        </w:sectPr>
      </w:pPr>
    </w:p>
    <w:bookmarkStart w:id="119" w:name="page120"/>
    <w:bookmarkEnd w:id="119"/>
    <w:p>
      <w:pPr>
        <w:spacing w:after="0"/>
        <w:rPr>
          <w:rFonts w:ascii="Arial" w:cs="Arial" w:eastAsia="Arial" w:hAnsi="Arial"/>
          <w:sz w:val="22"/>
          <w:szCs w:val="22"/>
          <w:color w:val="0000EE"/>
        </w:rPr>
      </w:pPr>
      <w:hyperlink w:anchor="page121">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ind w:left="10460"/>
        <w:spacing w:after="0"/>
        <w:rPr>
          <w:sz w:val="20"/>
          <w:szCs w:val="20"/>
          <w:color w:val="auto"/>
        </w:rPr>
      </w:pPr>
      <w:r>
        <w:rPr>
          <w:rFonts w:ascii="Arial" w:cs="Arial" w:eastAsia="Arial" w:hAnsi="Arial"/>
          <w:sz w:val="16"/>
          <w:szCs w:val="16"/>
          <w:b w:val="1"/>
          <w:bCs w:val="1"/>
          <w:color w:val="auto"/>
        </w:rPr>
        <w:t>Exhibit 21.1</w:t>
      </w: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4000" w:type="dxa"/>
            <w:vAlign w:val="bottom"/>
          </w:tcPr>
          <w:p>
            <w:pPr>
              <w:spacing w:after="0"/>
              <w:rPr>
                <w:sz w:val="19"/>
                <w:szCs w:val="19"/>
                <w:color w:val="auto"/>
              </w:rPr>
            </w:pPr>
          </w:p>
        </w:tc>
        <w:tc>
          <w:tcPr>
            <w:tcW w:w="7400" w:type="dxa"/>
            <w:vAlign w:val="bottom"/>
            <w:gridSpan w:val="3"/>
          </w:tcPr>
          <w:p>
            <w:pPr>
              <w:ind w:left="440"/>
              <w:spacing w:after="0"/>
              <w:rPr>
                <w:sz w:val="20"/>
                <w:szCs w:val="20"/>
                <w:color w:val="auto"/>
              </w:rPr>
            </w:pPr>
            <w:r>
              <w:rPr>
                <w:rFonts w:ascii="Arial" w:cs="Arial" w:eastAsia="Arial" w:hAnsi="Arial"/>
                <w:sz w:val="18"/>
                <w:szCs w:val="18"/>
                <w:b w:val="1"/>
                <w:bCs w:val="1"/>
                <w:color w:val="auto"/>
              </w:rPr>
              <w:t>SUBSIDIARIES OF MARVELL</w:t>
            </w:r>
          </w:p>
        </w:tc>
        <w:tc>
          <w:tcPr>
            <w:tcW w:w="0" w:type="dxa"/>
            <w:vAlign w:val="bottom"/>
          </w:tcPr>
          <w:p>
            <w:pPr>
              <w:spacing w:after="0"/>
              <w:rPr>
                <w:sz w:val="1"/>
                <w:szCs w:val="1"/>
                <w:color w:val="auto"/>
              </w:rPr>
            </w:pPr>
          </w:p>
        </w:tc>
      </w:tr>
      <w:tr>
        <w:trPr>
          <w:trHeight w:val="432"/>
        </w:trPr>
        <w:tc>
          <w:tcPr>
            <w:tcW w:w="4020" w:type="dxa"/>
            <w:vAlign w:val="bottom"/>
            <w:gridSpan w:val="2"/>
          </w:tcPr>
          <w:p>
            <w:pPr>
              <w:spacing w:after="0"/>
              <w:rPr>
                <w:sz w:val="20"/>
                <w:szCs w:val="20"/>
                <w:color w:val="auto"/>
              </w:rPr>
            </w:pPr>
            <w:r>
              <w:rPr>
                <w:rFonts w:ascii="Arial" w:cs="Arial" w:eastAsia="Arial" w:hAnsi="Arial"/>
                <w:sz w:val="18"/>
                <w:szCs w:val="18"/>
                <w:b w:val="1"/>
                <w:bCs w:val="1"/>
                <w:color w:val="auto"/>
              </w:rPr>
              <w:t>Subsidiary</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b w:val="1"/>
                <w:bCs w:val="1"/>
                <w:color w:val="auto"/>
              </w:rPr>
              <w:t>Jurisdiction of Organization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400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548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000" w:type="dxa"/>
            <w:vAlign w:val="bottom"/>
          </w:tcPr>
          <w:p>
            <w:pPr>
              <w:spacing w:after="0"/>
              <w:rPr>
                <w:sz w:val="9"/>
                <w:szCs w:val="9"/>
                <w:color w:val="auto"/>
              </w:rPr>
            </w:pPr>
          </w:p>
        </w:tc>
        <w:tc>
          <w:tcPr>
            <w:tcW w:w="1580" w:type="dxa"/>
            <w:vAlign w:val="bottom"/>
          </w:tcPr>
          <w:p>
            <w:pPr>
              <w:spacing w:after="0"/>
              <w:rPr>
                <w:sz w:val="9"/>
                <w:szCs w:val="9"/>
                <w:color w:val="auto"/>
              </w:rPr>
            </w:pPr>
          </w:p>
        </w:tc>
        <w:tc>
          <w:tcPr>
            <w:tcW w:w="340" w:type="dxa"/>
            <w:vAlign w:val="bottom"/>
          </w:tcPr>
          <w:p>
            <w:pPr>
              <w:spacing w:after="0"/>
              <w:rPr>
                <w:sz w:val="9"/>
                <w:szCs w:val="9"/>
                <w:color w:val="auto"/>
              </w:rPr>
            </w:pPr>
          </w:p>
        </w:tc>
        <w:tc>
          <w:tcPr>
            <w:tcW w:w="5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UK Limited</w:t>
            </w:r>
          </w:p>
        </w:tc>
        <w:tc>
          <w:tcPr>
            <w:tcW w:w="1580" w:type="dxa"/>
            <w:vAlign w:val="bottom"/>
            <w:shd w:val="clear" w:color="auto" w:fill="CCEEFF"/>
          </w:tcPr>
          <w:p>
            <w:pPr>
              <w:spacing w:after="0"/>
              <w:rPr>
                <w:sz w:val="18"/>
                <w:szCs w:val="18"/>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United Kingdom</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Singapore</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GmbH</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Hong Kong</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International Ltd.</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Japan</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Semiconductor, Inc.</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California, United States</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Semiconductor Israel Ltd.</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Israel</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Semiconductor Korea, Ltd.</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Korea</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T.I. Ltd.</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Israel</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Taiwan Ltd.</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Taiwan</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Delaware, United States</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World Trade Ltd.</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Barbados</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Radlan Computer Communications Ltd.</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Israel</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Radlan, Inc.</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New Jersey, United States</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Schneider &amp; Koch Training and Consulting GmbH</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SysKonnect Inc.</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California, United States</w:t>
            </w:r>
          </w:p>
        </w:tc>
        <w:tc>
          <w:tcPr>
            <w:tcW w:w="0" w:type="dxa"/>
            <w:vAlign w:val="bottom"/>
          </w:tcPr>
          <w:p>
            <w:pPr>
              <w:spacing w:after="0"/>
              <w:rPr>
                <w:sz w:val="1"/>
                <w:szCs w:val="1"/>
                <w:color w:val="auto"/>
              </w:rPr>
            </w:pPr>
          </w:p>
        </w:tc>
      </w:tr>
      <w:tr>
        <w:trPr>
          <w:trHeight w:val="431"/>
        </w:trPr>
        <w:tc>
          <w:tcPr>
            <w:tcW w:w="4020" w:type="dxa"/>
            <w:vAlign w:val="bottom"/>
            <w:gridSpan w:val="2"/>
          </w:tcPr>
          <w:p>
            <w:pPr>
              <w:spacing w:after="0"/>
              <w:rPr>
                <w:sz w:val="20"/>
                <w:szCs w:val="20"/>
                <w:color w:val="auto"/>
              </w:rPr>
            </w:pPr>
            <w:r>
              <w:rPr>
                <w:rFonts w:ascii="Arial" w:cs="Arial" w:eastAsia="Arial" w:hAnsi="Arial"/>
                <w:sz w:val="18"/>
                <w:szCs w:val="18"/>
                <w:color w:val="auto"/>
              </w:rPr>
              <w:t>SysKonnect GmhH</w:t>
            </w:r>
          </w:p>
        </w:tc>
        <w:tc>
          <w:tcPr>
            <w:tcW w:w="1580" w:type="dxa"/>
            <w:vAlign w:val="bottom"/>
          </w:tcPr>
          <w:p>
            <w:pPr>
              <w:spacing w:after="0"/>
              <w:rPr>
                <w:sz w:val="24"/>
                <w:szCs w:val="24"/>
                <w:color w:val="auto"/>
              </w:rPr>
            </w:pPr>
          </w:p>
        </w:tc>
        <w:tc>
          <w:tcPr>
            <w:tcW w:w="5820" w:type="dxa"/>
            <w:vAlign w:val="bottom"/>
            <w:gridSpan w:val="2"/>
          </w:tcPr>
          <w:p>
            <w:pPr>
              <w:ind w:left="340"/>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Marvell Technology (Beijing) Ltd.</w:t>
            </w:r>
          </w:p>
        </w:tc>
        <w:tc>
          <w:tcPr>
            <w:tcW w:w="1580" w:type="dxa"/>
            <w:vAlign w:val="bottom"/>
            <w:shd w:val="clear" w:color="auto" w:fill="CCEEFF"/>
          </w:tcPr>
          <w:p>
            <w:pPr>
              <w:spacing w:after="0"/>
              <w:rPr>
                <w:sz w:val="24"/>
                <w:szCs w:val="24"/>
                <w:color w:val="auto"/>
              </w:rPr>
            </w:pPr>
          </w:p>
        </w:tc>
        <w:tc>
          <w:tcPr>
            <w:tcW w:w="58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China</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400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548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3544570</wp:posOffset>
            </wp:positionH>
            <wp:positionV relativeFrom="paragraph">
              <wp:posOffset>-5245735</wp:posOffset>
            </wp:positionV>
            <wp:extent cx="12700" cy="8890"/>
            <wp:wrapNone/>
            <wp:docPr id="1230" name="Picture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pic:cNvPicPr>
                      <a:picLocks noChangeAspect="1" noChangeArrowheads="1"/>
                    </pic:cNvPicPr>
                  </pic:nvPicPr>
                  <pic:blipFill>
                    <a:blip r:embed="rId12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-5245735</wp:posOffset>
            </wp:positionV>
            <wp:extent cx="12700" cy="8890"/>
            <wp:wrapNone/>
            <wp:docPr id="1231" name="Picture 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1"/>
                    <pic:cNvPicPr>
                      <a:picLocks noChangeAspect="1" noChangeArrowheads="1"/>
                    </pic:cNvPicPr>
                  </pic:nvPicPr>
                  <pic:blipFill>
                    <a:blip r:embed="rId12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-5245735</wp:posOffset>
            </wp:positionV>
            <wp:extent cx="12700" cy="8890"/>
            <wp:wrapNone/>
            <wp:docPr id="1232" name="Picture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2"/>
                    <pic:cNvPicPr>
                      <a:picLocks noChangeAspect="1" noChangeArrowheads="1"/>
                    </pic:cNvPicPr>
                  </pic:nvPicPr>
                  <pic:blipFill>
                    <a:blip r:embed="rId12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3768090</wp:posOffset>
            </wp:positionH>
            <wp:positionV relativeFrom="paragraph">
              <wp:posOffset>-5245735</wp:posOffset>
            </wp:positionV>
            <wp:extent cx="12700" cy="8890"/>
            <wp:wrapNone/>
            <wp:docPr id="1233" name="Picture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12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34" name="Picture 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pic:cNvPicPr>
                      <a:picLocks noChangeAspect="1" noChangeArrowheads="1"/>
                    </pic:cNvPicPr>
                  </pic:nvPicPr>
                  <pic:blipFill>
                    <a:blip r:embed="rId12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35" name="Picture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pic:cNvPicPr>
                      <a:picLocks noChangeAspect="1" noChangeArrowheads="1"/>
                    </pic:cNvPicPr>
                  </pic:nvPicPr>
                  <pic:blipFill>
                    <a:blip r:embed="rId124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1" w:right="239" w:bottom="1440" w:gutter="0" w:footer="0" w:header="0"/>
        </w:sectPr>
      </w:pPr>
    </w:p>
    <w:bookmarkStart w:id="120" w:name="page121"/>
    <w:bookmarkEnd w:id="120"/>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20">
        <w:r>
          <w:rPr>
            <w:rFonts w:ascii="Arial" w:cs="Arial" w:eastAsia="Arial" w:hAnsi="Arial"/>
            <w:sz w:val="18"/>
            <w:szCs w:val="18"/>
            <w:u w:val="single" w:color="auto"/>
            <w:color w:val="0000EE"/>
          </w:rPr>
          <w:t>Exhibit 21.1</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20">
        <w:r>
          <w:rPr>
            <w:rFonts w:ascii="Arial" w:cs="Arial" w:eastAsia="Arial" w:hAnsi="Arial"/>
            <w:sz w:val="16"/>
            <w:szCs w:val="16"/>
            <w:u w:val="single" w:color="auto"/>
            <w:color w:val="0000EE"/>
          </w:rPr>
          <w:t>SUBSIDIARIES OF MARVELL</w:t>
        </w:r>
      </w:hyperlink>
    </w:p>
    <w:p>
      <w:pPr>
        <w:sectPr>
          <w:pgSz w:w="11900" w:h="16838" w:orient="portrait"/>
          <w:cols w:equalWidth="0" w:num="1">
            <w:col w:w="10219"/>
          </w:cols>
          <w:pgMar w:left="240" w:top="820" w:right="1440" w:bottom="1440" w:gutter="0" w:footer="0" w:header="0"/>
        </w:sectPr>
      </w:pPr>
    </w:p>
    <w:bookmarkStart w:id="121" w:name="page122"/>
    <w:bookmarkEnd w:id="121"/>
    <w:p>
      <w:pPr>
        <w:spacing w:after="0"/>
        <w:rPr>
          <w:rFonts w:ascii="Arial" w:cs="Arial" w:eastAsia="Arial" w:hAnsi="Arial"/>
          <w:sz w:val="22"/>
          <w:szCs w:val="22"/>
          <w:color w:val="0000EE"/>
        </w:rPr>
      </w:pPr>
      <w:hyperlink w:anchor="page123">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31" w:lineRule="exact"/>
        <w:rPr>
          <w:sz w:val="20"/>
          <w:szCs w:val="20"/>
          <w:color w:val="auto"/>
        </w:rPr>
      </w:pPr>
    </w:p>
    <w:p>
      <w:pPr>
        <w:ind w:right="140" w:firstLine="348"/>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 on Forms S-3 (No. 333-106833) and S-8 (No. 333-56322, 333-55974, 333-54188, 333-40154, 333-40152, 333-87322, 333-91124, 333-104925, 333-106683, 333-108334, 333-111133 and 333-114434) of Marvell Technology Group Ltd. of our report dated April 14, 2005 relating to the consolidated financial statements, management's assessment of the effectiveness of internal control over financial reporting and the effectiveness of internal control over financial reporting, which appears in this Form 10-K.</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14,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1236" name="Picture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pic:cNvPicPr>
                      <a:picLocks noChangeAspect="1" noChangeArrowheads="1"/>
                    </pic:cNvPicPr>
                  </pic:nvPicPr>
                  <pic:blipFill>
                    <a:blip r:embed="rId12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61" w:right="279" w:bottom="1440" w:gutter="0" w:footer="0" w:header="0"/>
        </w:sectPr>
      </w:pPr>
    </w:p>
    <w:bookmarkStart w:id="122" w:name="page123"/>
    <w:bookmarkEnd w:id="122"/>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22">
        <w:r>
          <w:rPr>
            <w:rFonts w:ascii="Arial" w:cs="Arial" w:eastAsia="Arial" w:hAnsi="Arial"/>
            <w:sz w:val="18"/>
            <w:szCs w:val="18"/>
            <w:u w:val="single" w:color="auto"/>
            <w:color w:val="0000EE"/>
          </w:rPr>
          <w:t>Exhibit 23.1</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22">
        <w:r>
          <w:rPr>
            <w:rFonts w:ascii="Arial" w:cs="Arial" w:eastAsia="Arial" w:hAnsi="Arial"/>
            <w:sz w:val="16"/>
            <w:szCs w:val="16"/>
            <w:u w:val="single" w:color="auto"/>
            <w:color w:val="0000EE"/>
          </w:rPr>
          <w:t>CONSENT OF INDEPENDENT REGISTERED PUBLIC ACCOUNTING FIRM</w:t>
        </w:r>
      </w:hyperlink>
    </w:p>
    <w:p>
      <w:pPr>
        <w:sectPr>
          <w:pgSz w:w="11900" w:h="16838" w:orient="portrait"/>
          <w:cols w:equalWidth="0" w:num="1">
            <w:col w:w="10219"/>
          </w:cols>
          <w:pgMar w:left="240" w:top="820" w:right="1440" w:bottom="1440" w:gutter="0" w:footer="0" w:header="0"/>
        </w:sectPr>
      </w:pPr>
    </w:p>
    <w:bookmarkStart w:id="123" w:name="page124"/>
    <w:bookmarkEnd w:id="123"/>
    <w:p>
      <w:pPr>
        <w:spacing w:after="0"/>
        <w:rPr>
          <w:rFonts w:ascii="Arial" w:cs="Arial" w:eastAsia="Arial" w:hAnsi="Arial"/>
          <w:sz w:val="22"/>
          <w:szCs w:val="22"/>
          <w:color w:val="0000EE"/>
        </w:rPr>
      </w:pPr>
      <w:hyperlink w:anchor="page125">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ind w:left="204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239" w:lineRule="exact"/>
        <w:rPr>
          <w:sz w:val="20"/>
          <w:szCs w:val="20"/>
          <w:color w:val="auto"/>
        </w:rPr>
      </w:pPr>
    </w:p>
    <w:p>
      <w:pPr>
        <w:ind w:left="540" w:hanging="532"/>
        <w:spacing w:after="0"/>
        <w:tabs>
          <w:tab w:leader="none" w:pos="54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ind w:left="540" w:right="120" w:hanging="532"/>
        <w:spacing w:after="0" w:line="370" w:lineRule="auto"/>
        <w:tabs>
          <w:tab w:leader="none" w:pos="540" w:val="left"/>
        </w:tabs>
        <w:numPr>
          <w:ilvl w:val="0"/>
          <w:numId w:val="43"/>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9" w:lineRule="exact"/>
        <w:rPr>
          <w:rFonts w:ascii="Arial" w:cs="Arial" w:eastAsia="Arial" w:hAnsi="Arial"/>
          <w:sz w:val="15"/>
          <w:szCs w:val="15"/>
          <w:color w:val="auto"/>
        </w:rPr>
      </w:pPr>
    </w:p>
    <w:p>
      <w:pPr>
        <w:ind w:left="540" w:right="580" w:hanging="532"/>
        <w:spacing w:after="0" w:line="332" w:lineRule="auto"/>
        <w:tabs>
          <w:tab w:leader="none" w:pos="540" w:val="left"/>
        </w:tabs>
        <w:numPr>
          <w:ilvl w:val="0"/>
          <w:numId w:val="43"/>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52" w:lineRule="exact"/>
        <w:rPr>
          <w:rFonts w:ascii="Arial" w:cs="Arial" w:eastAsia="Arial" w:hAnsi="Arial"/>
          <w:sz w:val="16"/>
          <w:szCs w:val="16"/>
          <w:color w:val="auto"/>
        </w:rPr>
      </w:pPr>
    </w:p>
    <w:p>
      <w:pPr>
        <w:ind w:left="540" w:right="80" w:hanging="532"/>
        <w:spacing w:after="0" w:line="259" w:lineRule="auto"/>
        <w:tabs>
          <w:tab w:leader="none" w:pos="54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200" w:lineRule="exact"/>
        <w:rPr>
          <w:rFonts w:ascii="Arial" w:cs="Arial" w:eastAsia="Arial" w:hAnsi="Arial"/>
          <w:sz w:val="18"/>
          <w:szCs w:val="18"/>
          <w:color w:val="auto"/>
        </w:rPr>
      </w:pPr>
    </w:p>
    <w:p>
      <w:pPr>
        <w:spacing w:after="0" w:line="237" w:lineRule="exact"/>
        <w:rPr>
          <w:rFonts w:ascii="Arial" w:cs="Arial" w:eastAsia="Arial" w:hAnsi="Arial"/>
          <w:sz w:val="18"/>
          <w:szCs w:val="18"/>
          <w:color w:val="auto"/>
        </w:rPr>
      </w:pPr>
    </w:p>
    <w:p>
      <w:pPr>
        <w:ind w:left="1080" w:right="320" w:hanging="532"/>
        <w:spacing w:after="0" w:line="259" w:lineRule="auto"/>
        <w:tabs>
          <w:tab w:leader="none" w:pos="10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07" w:lineRule="exact"/>
        <w:rPr>
          <w:rFonts w:ascii="Arial" w:cs="Arial" w:eastAsia="Arial" w:hAnsi="Arial"/>
          <w:sz w:val="18"/>
          <w:szCs w:val="18"/>
          <w:color w:val="auto"/>
        </w:rPr>
      </w:pPr>
    </w:p>
    <w:p>
      <w:pPr>
        <w:ind w:left="1080" w:right="20" w:hanging="532"/>
        <w:spacing w:after="0" w:line="259" w:lineRule="auto"/>
        <w:tabs>
          <w:tab w:leader="none" w:pos="10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207" w:lineRule="exact"/>
        <w:rPr>
          <w:rFonts w:ascii="Arial" w:cs="Arial" w:eastAsia="Arial" w:hAnsi="Arial"/>
          <w:sz w:val="18"/>
          <w:szCs w:val="18"/>
          <w:color w:val="auto"/>
        </w:rPr>
      </w:pPr>
    </w:p>
    <w:p>
      <w:pPr>
        <w:jc w:val="both"/>
        <w:ind w:left="1080" w:right="800" w:hanging="532"/>
        <w:spacing w:after="0" w:line="370" w:lineRule="auto"/>
        <w:tabs>
          <w:tab w:leader="none" w:pos="1080" w:val="left"/>
        </w:tabs>
        <w:numPr>
          <w:ilvl w:val="1"/>
          <w:numId w:val="43"/>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3" w:lineRule="exact"/>
        <w:rPr>
          <w:rFonts w:ascii="Arial" w:cs="Arial" w:eastAsia="Arial" w:hAnsi="Arial"/>
          <w:sz w:val="15"/>
          <w:szCs w:val="15"/>
          <w:color w:val="auto"/>
        </w:rPr>
      </w:pPr>
    </w:p>
    <w:p>
      <w:pPr>
        <w:ind w:left="1080" w:right="60" w:hanging="532"/>
        <w:spacing w:after="0" w:line="259" w:lineRule="auto"/>
        <w:tabs>
          <w:tab w:leader="none" w:pos="10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00" w:lineRule="exact"/>
        <w:rPr>
          <w:rFonts w:ascii="Arial" w:cs="Arial" w:eastAsia="Arial" w:hAnsi="Arial"/>
          <w:sz w:val="18"/>
          <w:szCs w:val="18"/>
          <w:color w:val="auto"/>
        </w:rPr>
      </w:pPr>
    </w:p>
    <w:p>
      <w:pPr>
        <w:spacing w:after="0" w:line="223" w:lineRule="exact"/>
        <w:rPr>
          <w:rFonts w:ascii="Arial" w:cs="Arial" w:eastAsia="Arial" w:hAnsi="Arial"/>
          <w:sz w:val="18"/>
          <w:szCs w:val="18"/>
          <w:color w:val="auto"/>
        </w:rPr>
      </w:pPr>
    </w:p>
    <w:p>
      <w:pPr>
        <w:ind w:left="540" w:right="520" w:hanging="532"/>
        <w:spacing w:after="0" w:line="332" w:lineRule="auto"/>
        <w:tabs>
          <w:tab w:leader="none" w:pos="540" w:val="left"/>
        </w:tabs>
        <w:numPr>
          <w:ilvl w:val="0"/>
          <w:numId w:val="43"/>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368" w:lineRule="exact"/>
        <w:rPr>
          <w:rFonts w:ascii="Arial" w:cs="Arial" w:eastAsia="Arial" w:hAnsi="Arial"/>
          <w:sz w:val="16"/>
          <w:szCs w:val="16"/>
          <w:color w:val="auto"/>
        </w:rPr>
      </w:pPr>
    </w:p>
    <w:p>
      <w:pPr>
        <w:ind w:left="1080" w:right="160" w:hanging="532"/>
        <w:spacing w:after="0" w:line="332" w:lineRule="auto"/>
        <w:tabs>
          <w:tab w:leader="none" w:pos="1080" w:val="left"/>
        </w:tabs>
        <w:numPr>
          <w:ilvl w:val="1"/>
          <w:numId w:val="43"/>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66" w:lineRule="exact"/>
        <w:rPr>
          <w:rFonts w:ascii="Arial" w:cs="Arial" w:eastAsia="Arial" w:hAnsi="Arial"/>
          <w:sz w:val="16"/>
          <w:szCs w:val="16"/>
          <w:color w:val="auto"/>
        </w:rPr>
      </w:pPr>
    </w:p>
    <w:p>
      <w:pPr>
        <w:ind w:left="1080" w:right="220" w:hanging="532"/>
        <w:spacing w:after="0" w:line="268" w:lineRule="auto"/>
        <w:tabs>
          <w:tab w:leader="none" w:pos="10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229" w:lineRule="exact"/>
        <w:rPr>
          <w:sz w:val="20"/>
          <w:szCs w:val="20"/>
          <w:color w:val="auto"/>
        </w:rPr>
      </w:pPr>
    </w:p>
    <w:p>
      <w:pPr>
        <w:spacing w:after="0"/>
        <w:tabs>
          <w:tab w:leader="none" w:pos="5940" w:val="left"/>
          <w:tab w:leader="none" w:pos="684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April 14, 2005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4351020</wp:posOffset>
            </wp:positionH>
            <wp:positionV relativeFrom="paragraph">
              <wp:posOffset>77470</wp:posOffset>
            </wp:positionV>
            <wp:extent cx="2902585" cy="21590"/>
            <wp:wrapNone/>
            <wp:docPr id="1237" name="Picture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pic:cNvPicPr>
                      <a:picLocks noChangeAspect="1" noChangeArrowheads="1"/>
                    </pic:cNvPicPr>
                  </pic:nvPicPr>
                  <pic:blipFill>
                    <a:blip r:embed="rId1244">
                      <a:extLst>
                        <a:ext uri="{28A0092B-C50C-407E-A947-70E740481C1C}"/>
                      </a:extLst>
                    </a:blip>
                    <a:srcRect/>
                    <a:stretch>
                      <a:fillRect/>
                    </a:stretch>
                  </pic:blipFill>
                  <pic:spPr bwMode="auto">
                    <a:xfrm>
                      <a:off x="0" y="0"/>
                      <a:ext cx="2902585" cy="21590"/>
                    </a:xfrm>
                    <a:prstGeom prst="rect">
                      <a:avLst/>
                    </a:prstGeom>
                    <a:noFill/>
                  </pic:spPr>
                </pic:pic>
              </a:graphicData>
            </a:graphic>
          </wp:anchor>
        </w:drawing>
      </w:r>
    </w:p>
    <w:p>
      <w:pPr>
        <w:spacing w:after="0" w:line="2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238" name="Picture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pic:cNvPicPr>
                      <a:picLocks noChangeAspect="1" noChangeArrowheads="1"/>
                    </pic:cNvPicPr>
                  </pic:nvPicPr>
                  <pic:blipFill>
                    <a:blip r:embed="rId12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61" w:right="279" w:bottom="1440" w:gutter="0" w:footer="0" w:header="0"/>
        </w:sectPr>
      </w:pPr>
    </w:p>
    <w:bookmarkStart w:id="124" w:name="page125"/>
    <w:bookmarkEnd w:id="124"/>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24">
        <w:r>
          <w:rPr>
            <w:rFonts w:ascii="Arial" w:cs="Arial" w:eastAsia="Arial" w:hAnsi="Arial"/>
            <w:sz w:val="18"/>
            <w:szCs w:val="18"/>
            <w:u w:val="single" w:color="auto"/>
            <w:color w:val="0000EE"/>
          </w:rPr>
          <w:t>Exhibit 31.1</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24">
        <w:r>
          <w:rPr>
            <w:rFonts w:ascii="Arial" w:cs="Arial" w:eastAsia="Arial" w:hAnsi="Arial"/>
            <w:sz w:val="16"/>
            <w:szCs w:val="16"/>
            <w:u w:val="single" w:color="auto"/>
            <w:color w:val="0000EE"/>
          </w:rPr>
          <w:t>CERTIFICATION PURSUANT TO SECTION 302 OF THE SARBANES-OXLEY ACT OF 2002</w:t>
        </w:r>
      </w:hyperlink>
    </w:p>
    <w:p>
      <w:pPr>
        <w:sectPr>
          <w:pgSz w:w="11900" w:h="16838" w:orient="portrait"/>
          <w:cols w:equalWidth="0" w:num="1">
            <w:col w:w="10219"/>
          </w:cols>
          <w:pgMar w:left="240" w:top="820" w:right="1440" w:bottom="1440" w:gutter="0" w:footer="0" w:header="0"/>
        </w:sectPr>
      </w:pPr>
    </w:p>
    <w:bookmarkStart w:id="125" w:name="page126"/>
    <w:bookmarkEnd w:id="125"/>
    <w:p>
      <w:pPr>
        <w:spacing w:after="0"/>
        <w:rPr>
          <w:rFonts w:ascii="Arial" w:cs="Arial" w:eastAsia="Arial" w:hAnsi="Arial"/>
          <w:sz w:val="22"/>
          <w:szCs w:val="22"/>
          <w:color w:val="0000EE"/>
        </w:rPr>
      </w:pPr>
      <w:hyperlink w:anchor="page127">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ind w:left="204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39" w:lineRule="exact"/>
        <w:rPr>
          <w:sz w:val="20"/>
          <w:szCs w:val="20"/>
          <w:color w:val="auto"/>
        </w:rPr>
      </w:pPr>
    </w:p>
    <w:p>
      <w:pPr>
        <w:ind w:left="540" w:hanging="532"/>
        <w:spacing w:after="0"/>
        <w:tabs>
          <w:tab w:leader="none" w:pos="54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ind w:left="540" w:right="120" w:hanging="532"/>
        <w:spacing w:after="0" w:line="370" w:lineRule="auto"/>
        <w:tabs>
          <w:tab w:leader="none" w:pos="540" w:val="left"/>
        </w:tabs>
        <w:numPr>
          <w:ilvl w:val="0"/>
          <w:numId w:val="44"/>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9" w:lineRule="exact"/>
        <w:rPr>
          <w:rFonts w:ascii="Arial" w:cs="Arial" w:eastAsia="Arial" w:hAnsi="Arial"/>
          <w:sz w:val="15"/>
          <w:szCs w:val="15"/>
          <w:color w:val="auto"/>
        </w:rPr>
      </w:pPr>
    </w:p>
    <w:p>
      <w:pPr>
        <w:ind w:left="540" w:right="580" w:hanging="532"/>
        <w:spacing w:after="0" w:line="332" w:lineRule="auto"/>
        <w:tabs>
          <w:tab w:leader="none" w:pos="540" w:val="left"/>
        </w:tabs>
        <w:numPr>
          <w:ilvl w:val="0"/>
          <w:numId w:val="44"/>
        </w:numPr>
        <w:rPr>
          <w:rFonts w:ascii="Arial" w:cs="Arial" w:eastAsia="Arial" w:hAnsi="Arial"/>
          <w:sz w:val="16"/>
          <w:szCs w:val="16"/>
          <w:color w:val="auto"/>
        </w:rPr>
      </w:pPr>
      <w:r>
        <w:rPr>
          <w:rFonts w:ascii="Arial" w:cs="Arial" w:eastAsia="Arial" w:hAnsi="Arial"/>
          <w:sz w:val="16"/>
          <w:szCs w:val="16"/>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52" w:lineRule="exact"/>
        <w:rPr>
          <w:rFonts w:ascii="Arial" w:cs="Arial" w:eastAsia="Arial" w:hAnsi="Arial"/>
          <w:sz w:val="16"/>
          <w:szCs w:val="16"/>
          <w:color w:val="auto"/>
        </w:rPr>
      </w:pPr>
    </w:p>
    <w:p>
      <w:pPr>
        <w:ind w:left="540" w:right="80" w:hanging="532"/>
        <w:spacing w:after="0" w:line="259" w:lineRule="auto"/>
        <w:tabs>
          <w:tab w:leader="none" w:pos="54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200" w:lineRule="exact"/>
        <w:rPr>
          <w:rFonts w:ascii="Arial" w:cs="Arial" w:eastAsia="Arial" w:hAnsi="Arial"/>
          <w:sz w:val="18"/>
          <w:szCs w:val="18"/>
          <w:color w:val="auto"/>
        </w:rPr>
      </w:pPr>
    </w:p>
    <w:p>
      <w:pPr>
        <w:spacing w:after="0" w:line="237" w:lineRule="exact"/>
        <w:rPr>
          <w:rFonts w:ascii="Arial" w:cs="Arial" w:eastAsia="Arial" w:hAnsi="Arial"/>
          <w:sz w:val="18"/>
          <w:szCs w:val="18"/>
          <w:color w:val="auto"/>
        </w:rPr>
      </w:pPr>
    </w:p>
    <w:p>
      <w:pPr>
        <w:ind w:left="1080" w:right="320" w:hanging="532"/>
        <w:spacing w:after="0" w:line="259" w:lineRule="auto"/>
        <w:tabs>
          <w:tab w:leader="none" w:pos="10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07" w:lineRule="exact"/>
        <w:rPr>
          <w:rFonts w:ascii="Arial" w:cs="Arial" w:eastAsia="Arial" w:hAnsi="Arial"/>
          <w:sz w:val="18"/>
          <w:szCs w:val="18"/>
          <w:color w:val="auto"/>
        </w:rPr>
      </w:pPr>
    </w:p>
    <w:p>
      <w:pPr>
        <w:ind w:left="1080" w:right="20" w:hanging="532"/>
        <w:spacing w:after="0" w:line="259" w:lineRule="auto"/>
        <w:tabs>
          <w:tab w:leader="none" w:pos="10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207" w:lineRule="exact"/>
        <w:rPr>
          <w:rFonts w:ascii="Arial" w:cs="Arial" w:eastAsia="Arial" w:hAnsi="Arial"/>
          <w:sz w:val="18"/>
          <w:szCs w:val="18"/>
          <w:color w:val="auto"/>
        </w:rPr>
      </w:pPr>
    </w:p>
    <w:p>
      <w:pPr>
        <w:jc w:val="both"/>
        <w:ind w:left="1080" w:right="800" w:hanging="532"/>
        <w:spacing w:after="0" w:line="370" w:lineRule="auto"/>
        <w:tabs>
          <w:tab w:leader="none" w:pos="1080" w:val="left"/>
        </w:tabs>
        <w:numPr>
          <w:ilvl w:val="1"/>
          <w:numId w:val="44"/>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3" w:lineRule="exact"/>
        <w:rPr>
          <w:rFonts w:ascii="Arial" w:cs="Arial" w:eastAsia="Arial" w:hAnsi="Arial"/>
          <w:sz w:val="15"/>
          <w:szCs w:val="15"/>
          <w:color w:val="auto"/>
        </w:rPr>
      </w:pPr>
    </w:p>
    <w:p>
      <w:pPr>
        <w:ind w:left="1080" w:right="60" w:hanging="532"/>
        <w:spacing w:after="0" w:line="259" w:lineRule="auto"/>
        <w:tabs>
          <w:tab w:leader="none" w:pos="10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00" w:lineRule="exact"/>
        <w:rPr>
          <w:rFonts w:ascii="Arial" w:cs="Arial" w:eastAsia="Arial" w:hAnsi="Arial"/>
          <w:sz w:val="18"/>
          <w:szCs w:val="18"/>
          <w:color w:val="auto"/>
        </w:rPr>
      </w:pPr>
    </w:p>
    <w:p>
      <w:pPr>
        <w:spacing w:after="0" w:line="223" w:lineRule="exact"/>
        <w:rPr>
          <w:rFonts w:ascii="Arial" w:cs="Arial" w:eastAsia="Arial" w:hAnsi="Arial"/>
          <w:sz w:val="18"/>
          <w:szCs w:val="18"/>
          <w:color w:val="auto"/>
        </w:rPr>
      </w:pPr>
    </w:p>
    <w:p>
      <w:pPr>
        <w:ind w:left="540" w:right="520" w:hanging="532"/>
        <w:spacing w:after="0" w:line="332" w:lineRule="auto"/>
        <w:tabs>
          <w:tab w:leader="none" w:pos="54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368" w:lineRule="exact"/>
        <w:rPr>
          <w:rFonts w:ascii="Arial" w:cs="Arial" w:eastAsia="Arial" w:hAnsi="Arial"/>
          <w:sz w:val="16"/>
          <w:szCs w:val="16"/>
          <w:color w:val="auto"/>
        </w:rPr>
      </w:pPr>
    </w:p>
    <w:p>
      <w:pPr>
        <w:ind w:left="1080" w:right="160" w:hanging="532"/>
        <w:spacing w:after="0" w:line="332" w:lineRule="auto"/>
        <w:tabs>
          <w:tab w:leader="none" w:pos="1080" w:val="left"/>
        </w:tabs>
        <w:numPr>
          <w:ilvl w:val="1"/>
          <w:numId w:val="44"/>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66" w:lineRule="exact"/>
        <w:rPr>
          <w:rFonts w:ascii="Arial" w:cs="Arial" w:eastAsia="Arial" w:hAnsi="Arial"/>
          <w:sz w:val="16"/>
          <w:szCs w:val="16"/>
          <w:color w:val="auto"/>
        </w:rPr>
      </w:pPr>
    </w:p>
    <w:p>
      <w:pPr>
        <w:ind w:left="1080" w:right="220" w:hanging="532"/>
        <w:spacing w:after="0" w:line="268" w:lineRule="auto"/>
        <w:tabs>
          <w:tab w:leader="none" w:pos="10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229" w:lineRule="exact"/>
        <w:rPr>
          <w:sz w:val="20"/>
          <w:szCs w:val="20"/>
          <w:color w:val="auto"/>
        </w:rPr>
      </w:pPr>
    </w:p>
    <w:p>
      <w:pPr>
        <w:spacing w:after="0"/>
        <w:tabs>
          <w:tab w:leader="none" w:pos="5940" w:val="left"/>
          <w:tab w:leader="none" w:pos="684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April 14, 2005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4351020</wp:posOffset>
            </wp:positionH>
            <wp:positionV relativeFrom="paragraph">
              <wp:posOffset>77470</wp:posOffset>
            </wp:positionV>
            <wp:extent cx="2902585" cy="21590"/>
            <wp:wrapNone/>
            <wp:docPr id="1239" name="Picture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pic:cNvPicPr>
                      <a:picLocks noChangeAspect="1" noChangeArrowheads="1"/>
                    </pic:cNvPicPr>
                  </pic:nvPicPr>
                  <pic:blipFill>
                    <a:blip r:embed="rId1246">
                      <a:extLst>
                        <a:ext uri="{28A0092B-C50C-407E-A947-70E740481C1C}"/>
                      </a:extLst>
                    </a:blip>
                    <a:srcRect/>
                    <a:stretch>
                      <a:fillRect/>
                    </a:stretch>
                  </pic:blipFill>
                  <pic:spPr bwMode="auto">
                    <a:xfrm>
                      <a:off x="0" y="0"/>
                      <a:ext cx="2902585" cy="21590"/>
                    </a:xfrm>
                    <a:prstGeom prst="rect">
                      <a:avLst/>
                    </a:prstGeom>
                    <a:noFill/>
                  </pic:spPr>
                </pic:pic>
              </a:graphicData>
            </a:graphic>
          </wp:anchor>
        </w:drawing>
      </w:r>
    </w:p>
    <w:p>
      <w:pPr>
        <w:spacing w:after="0" w:line="2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Vice President and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240" name="Picture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pic:cNvPicPr>
                      <a:picLocks noChangeAspect="1" noChangeArrowheads="1"/>
                    </pic:cNvPicPr>
                  </pic:nvPicPr>
                  <pic:blipFill>
                    <a:blip r:embed="rId12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61" w:right="279" w:bottom="1440" w:gutter="0" w:footer="0" w:header="0"/>
        </w:sectPr>
      </w:pPr>
    </w:p>
    <w:bookmarkStart w:id="126" w:name="page127"/>
    <w:bookmarkEnd w:id="126"/>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26">
        <w:r>
          <w:rPr>
            <w:rFonts w:ascii="Arial" w:cs="Arial" w:eastAsia="Arial" w:hAnsi="Arial"/>
            <w:sz w:val="18"/>
            <w:szCs w:val="18"/>
            <w:u w:val="single" w:color="auto"/>
            <w:color w:val="0000EE"/>
          </w:rPr>
          <w:t>Exhibit 31.2</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26">
        <w:r>
          <w:rPr>
            <w:rFonts w:ascii="Arial" w:cs="Arial" w:eastAsia="Arial" w:hAnsi="Arial"/>
            <w:sz w:val="16"/>
            <w:szCs w:val="16"/>
            <w:u w:val="single" w:color="auto"/>
            <w:color w:val="0000EE"/>
          </w:rPr>
          <w:t>CERTIFICATION PURSUANT TO SECTION 302 OF THE SARBANES-OXLEY ACT OF 2002</w:t>
        </w:r>
      </w:hyperlink>
    </w:p>
    <w:p>
      <w:pPr>
        <w:sectPr>
          <w:pgSz w:w="11900" w:h="16838" w:orient="portrait"/>
          <w:cols w:equalWidth="0" w:num="1">
            <w:col w:w="10219"/>
          </w:cols>
          <w:pgMar w:left="240" w:top="820" w:right="1440" w:bottom="1440" w:gutter="0" w:footer="0" w:header="0"/>
        </w:sectPr>
      </w:pPr>
    </w:p>
    <w:bookmarkStart w:id="127" w:name="page128"/>
    <w:bookmarkEnd w:id="127"/>
    <w:p>
      <w:pPr>
        <w:spacing w:after="0"/>
        <w:rPr>
          <w:rFonts w:ascii="Arial" w:cs="Arial" w:eastAsia="Arial" w:hAnsi="Arial"/>
          <w:sz w:val="22"/>
          <w:szCs w:val="22"/>
          <w:color w:val="0000EE"/>
        </w:rPr>
      </w:pPr>
      <w:hyperlink w:anchor="page129">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ind w:left="10460"/>
        <w:spacing w:after="0"/>
        <w:rPr>
          <w:sz w:val="20"/>
          <w:szCs w:val="20"/>
          <w:color w:val="auto"/>
        </w:rPr>
      </w:pPr>
      <w:r>
        <w:rPr>
          <w:rFonts w:ascii="Arial" w:cs="Arial" w:eastAsia="Arial" w:hAnsi="Arial"/>
          <w:sz w:val="16"/>
          <w:szCs w:val="16"/>
          <w:b w:val="1"/>
          <w:bCs w:val="1"/>
          <w:color w:val="auto"/>
        </w:rPr>
        <w:t>Exhibit 32.1</w:t>
      </w:r>
    </w:p>
    <w:p>
      <w:pPr>
        <w:spacing w:after="0" w:line="200" w:lineRule="exact"/>
        <w:rPr>
          <w:sz w:val="20"/>
          <w:szCs w:val="20"/>
          <w:color w:val="auto"/>
        </w:rPr>
      </w:pPr>
    </w:p>
    <w:p>
      <w:pPr>
        <w:spacing w:after="0" w:line="264"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STATEMENT OF CHIEF EXECUTIVE OFFICER UNDER 18 U.S.C. § 1350</w:t>
      </w:r>
    </w:p>
    <w:p>
      <w:pPr>
        <w:spacing w:after="0" w:line="231"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section 1350 of chapter 63 of title 18 of the United States Code that, to the best of my knowledge,</w:t>
      </w:r>
    </w:p>
    <w:p>
      <w:pPr>
        <w:spacing w:after="0" w:line="199" w:lineRule="exact"/>
        <w:rPr>
          <w:sz w:val="20"/>
          <w:szCs w:val="20"/>
          <w:color w:val="auto"/>
        </w:rPr>
      </w:pPr>
    </w:p>
    <w:p>
      <w:pPr>
        <w:ind w:left="1080" w:right="120" w:hanging="532"/>
        <w:spacing w:after="0" w:line="268"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2005 (the "Report"), fully complies with the requirements of section 13(a) of the Securities Exchange Act of 1934, and</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91"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3768090</wp:posOffset>
            </wp:positionH>
            <wp:positionV relativeFrom="paragraph">
              <wp:posOffset>77470</wp:posOffset>
            </wp:positionV>
            <wp:extent cx="3486150" cy="21590"/>
            <wp:wrapNone/>
            <wp:docPr id="1241"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1248">
                      <a:extLst>
                        <a:ext uri="{28A0092B-C50C-407E-A947-70E740481C1C}"/>
                      </a:extLst>
                    </a:blip>
                    <a:srcRect/>
                    <a:stretch>
                      <a:fillRect/>
                    </a:stretch>
                  </pic:blipFill>
                  <pic:spPr bwMode="auto">
                    <a:xfrm>
                      <a:off x="0" y="0"/>
                      <a:ext cx="3486150" cy="21590"/>
                    </a:xfrm>
                    <a:prstGeom prst="rect">
                      <a:avLst/>
                    </a:prstGeom>
                    <a:noFill/>
                  </pic:spPr>
                </pic:pic>
              </a:graphicData>
            </a:graphic>
          </wp:anchor>
        </w:drawing>
      </w:r>
    </w:p>
    <w:p>
      <w:pPr>
        <w:spacing w:after="0" w:line="232"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Date: April 14,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77470</wp:posOffset>
            </wp:positionV>
            <wp:extent cx="7250430" cy="21590"/>
            <wp:wrapNone/>
            <wp:docPr id="1242" name="Picture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12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1" w:right="239" w:bottom="1440" w:gutter="0" w:footer="0" w:header="0"/>
        </w:sectPr>
      </w:pPr>
    </w:p>
    <w:bookmarkStart w:id="128" w:name="page129"/>
    <w:bookmarkEnd w:id="128"/>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28">
        <w:r>
          <w:rPr>
            <w:rFonts w:ascii="Arial" w:cs="Arial" w:eastAsia="Arial" w:hAnsi="Arial"/>
            <w:sz w:val="18"/>
            <w:szCs w:val="18"/>
            <w:u w:val="single" w:color="auto"/>
            <w:color w:val="0000EE"/>
          </w:rPr>
          <w:t>Exhibit 32.1</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28">
        <w:r>
          <w:rPr>
            <w:rFonts w:ascii="Arial" w:cs="Arial" w:eastAsia="Arial" w:hAnsi="Arial"/>
            <w:sz w:val="16"/>
            <w:szCs w:val="16"/>
            <w:u w:val="single" w:color="auto"/>
            <w:color w:val="0000EE"/>
          </w:rPr>
          <w:t>STATEMENT OF CHIEF EXECUTIVE OFFICER UNDER 18 U.S.C. § 1350</w:t>
        </w:r>
      </w:hyperlink>
    </w:p>
    <w:p>
      <w:pPr>
        <w:sectPr>
          <w:pgSz w:w="11900" w:h="16838" w:orient="portrait"/>
          <w:cols w:equalWidth="0" w:num="1">
            <w:col w:w="10219"/>
          </w:cols>
          <w:pgMar w:left="240" w:top="820" w:right="1440" w:bottom="1440" w:gutter="0" w:footer="0" w:header="0"/>
        </w:sectPr>
      </w:pPr>
    </w:p>
    <w:bookmarkStart w:id="129" w:name="page130"/>
    <w:bookmarkEnd w:id="129"/>
    <w:p>
      <w:pPr>
        <w:spacing w:after="0"/>
        <w:rPr>
          <w:rFonts w:ascii="Arial" w:cs="Arial" w:eastAsia="Arial" w:hAnsi="Arial"/>
          <w:sz w:val="22"/>
          <w:szCs w:val="22"/>
          <w:color w:val="0000EE"/>
        </w:rPr>
      </w:pPr>
      <w:hyperlink w:anchor="page131">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sz w:val="20"/>
          <w:szCs w:val="20"/>
          <w:color w:val="auto"/>
        </w:rPr>
      </w:pP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UNDER 18 U.S.C. § 1350</w:t>
      </w:r>
    </w:p>
    <w:p>
      <w:pPr>
        <w:spacing w:after="0" w:line="231"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199" w:lineRule="exact"/>
        <w:rPr>
          <w:sz w:val="20"/>
          <w:szCs w:val="20"/>
          <w:color w:val="auto"/>
        </w:rPr>
      </w:pPr>
    </w:p>
    <w:p>
      <w:pPr>
        <w:ind w:left="1080" w:right="80" w:hanging="532"/>
        <w:spacing w:after="0" w:line="268"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2005 (the "Report"), fully complies with the requirements of section 13(a) of the Securities Exchange Act of 1934, and</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91"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3768090</wp:posOffset>
            </wp:positionH>
            <wp:positionV relativeFrom="paragraph">
              <wp:posOffset>77470</wp:posOffset>
            </wp:positionV>
            <wp:extent cx="3486150" cy="21590"/>
            <wp:wrapNone/>
            <wp:docPr id="1243" name="Picture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1250">
                      <a:extLst>
                        <a:ext uri="{28A0092B-C50C-407E-A947-70E740481C1C}"/>
                      </a:extLst>
                    </a:blip>
                    <a:srcRect/>
                    <a:stretch>
                      <a:fillRect/>
                    </a:stretch>
                  </pic:blipFill>
                  <pic:spPr bwMode="auto">
                    <a:xfrm>
                      <a:off x="0" y="0"/>
                      <a:ext cx="3486150" cy="21590"/>
                    </a:xfrm>
                    <a:prstGeom prst="rect">
                      <a:avLst/>
                    </a:prstGeom>
                    <a:noFill/>
                  </pic:spPr>
                </pic:pic>
              </a:graphicData>
            </a:graphic>
          </wp:anchor>
        </w:drawing>
      </w:r>
    </w:p>
    <w:p>
      <w:pPr>
        <w:spacing w:after="0" w:line="232"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Vice President and Chief Financial Officer</w:t>
      </w:r>
    </w:p>
    <w:p>
      <w:pPr>
        <w:spacing w:after="0" w:line="21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Date: April 14,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77470</wp:posOffset>
            </wp:positionV>
            <wp:extent cx="7250430" cy="21590"/>
            <wp:wrapNone/>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12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61" w:right="279" w:bottom="1440" w:gutter="0" w:footer="0" w:header="0"/>
        </w:sectPr>
      </w:pPr>
    </w:p>
    <w:bookmarkStart w:id="130" w:name="page131"/>
    <w:bookmarkEnd w:id="130"/>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130">
        <w:r>
          <w:rPr>
            <w:rFonts w:ascii="Arial" w:cs="Arial" w:eastAsia="Arial" w:hAnsi="Arial"/>
            <w:sz w:val="18"/>
            <w:szCs w:val="18"/>
            <w:u w:val="single" w:color="auto"/>
            <w:color w:val="0000EE"/>
          </w:rPr>
          <w:t>Exhibit 32.2</w:t>
        </w:r>
      </w:hyperlink>
    </w:p>
    <w:p>
      <w:pPr>
        <w:spacing w:after="0" w:line="225" w:lineRule="exact"/>
        <w:rPr>
          <w:sz w:val="20"/>
          <w:szCs w:val="20"/>
          <w:color w:val="auto"/>
        </w:rPr>
      </w:pPr>
    </w:p>
    <w:p>
      <w:pPr>
        <w:spacing w:after="0"/>
        <w:rPr>
          <w:rFonts w:ascii="Arial" w:cs="Arial" w:eastAsia="Arial" w:hAnsi="Arial"/>
          <w:sz w:val="16"/>
          <w:szCs w:val="16"/>
          <w:u w:val="single" w:color="auto"/>
          <w:color w:val="0000EE"/>
        </w:rPr>
      </w:pPr>
      <w:hyperlink w:anchor="page130">
        <w:r>
          <w:rPr>
            <w:rFonts w:ascii="Arial" w:cs="Arial" w:eastAsia="Arial" w:hAnsi="Arial"/>
            <w:sz w:val="16"/>
            <w:szCs w:val="16"/>
            <w:u w:val="single" w:color="auto"/>
            <w:color w:val="0000EE"/>
          </w:rPr>
          <w:t>STATEMENT OF CHIEF FINANCIAL OFFICER UNDER 18 U.S.C. § 1350</w:t>
        </w:r>
      </w:hyperlink>
    </w:p>
    <w:sectPr>
      <w:pgSz w:w="11900" w:h="16838" w:orient="portrait"/>
      <w:cols w:equalWidth="0" w:num="1">
        <w:col w:w="10219"/>
      </w:cols>
      <w:pgMar w:left="240" w:top="82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763845E"/>
    <w:multiLevelType w:val="hybridMultilevel"/>
    <w:lvl w:ilvl="0">
      <w:lvlJc w:val="left"/>
      <w:lvlText w:val="☒"/>
      <w:numFmt w:val="bullet"/>
      <w:start w:val="1"/>
    </w:lvl>
  </w:abstractNum>
  <w:abstractNum w:abstractNumId="1">
    <w:nsid w:val="75A2A8D4"/>
    <w:multiLevelType w:val="hybridMultilevel"/>
    <w:lvl w:ilvl="0">
      <w:lvlJc w:val="left"/>
      <w:lvlText w:val="o"/>
      <w:numFmt w:val="bullet"/>
      <w:start w:val="1"/>
    </w:lvl>
  </w:abstractNum>
  <w:abstractNum w:abstractNumId="2">
    <w:nsid w:val="8EDBDAB"/>
    <w:multiLevelType w:val="hybridMultilevel"/>
    <w:lvl w:ilvl="0">
      <w:lvlJc w:val="left"/>
      <w:lvlText w:val="\emdash "/>
      <w:numFmt w:val="bullet"/>
      <w:start w:val="1"/>
    </w:lvl>
  </w:abstractNum>
  <w:abstractNum w:abstractNumId="3">
    <w:nsid w:val="79838CB2"/>
    <w:multiLevelType w:val="hybridMultilevel"/>
    <w:lvl w:ilvl="0">
      <w:lvlJc w:val="left"/>
      <w:lvlText w:val="•"/>
      <w:numFmt w:val="bullet"/>
      <w:start w:val="1"/>
    </w:lvl>
  </w:abstractNum>
  <w:abstractNum w:abstractNumId="4">
    <w:nsid w:val="4353D0CD"/>
    <w:multiLevelType w:val="hybridMultilevel"/>
    <w:lvl w:ilvl="0">
      <w:lvlJc w:val="left"/>
      <w:lvlText w:val="•"/>
      <w:numFmt w:val="bullet"/>
      <w:start w:val="1"/>
    </w:lvl>
  </w:abstractNum>
  <w:abstractNum w:abstractNumId="5">
    <w:nsid w:val="B03E0C6"/>
    <w:multiLevelType w:val="hybridMultilevel"/>
    <w:lvl w:ilvl="0">
      <w:lvlJc w:val="left"/>
      <w:lvlText w:val="•"/>
      <w:numFmt w:val="bullet"/>
      <w:start w:val="1"/>
    </w:lvl>
  </w:abstractNum>
  <w:abstractNum w:abstractNumId="6">
    <w:nsid w:val="189A769B"/>
    <w:multiLevelType w:val="hybridMultilevel"/>
    <w:lvl w:ilvl="0">
      <w:lvlJc w:val="left"/>
      <w:lvlText w:val="•"/>
      <w:numFmt w:val="bullet"/>
      <w:start w:val="1"/>
    </w:lvl>
  </w:abstractNum>
  <w:abstractNum w:abstractNumId="7">
    <w:nsid w:val="54E49EB4"/>
    <w:multiLevelType w:val="hybridMultilevel"/>
    <w:lvl w:ilvl="0">
      <w:lvlJc w:val="left"/>
      <w:lvlText w:val="•"/>
      <w:numFmt w:val="bullet"/>
      <w:start w:val="1"/>
    </w:lvl>
  </w:abstractNum>
  <w:abstractNum w:abstractNumId="8">
    <w:nsid w:val="71F32454"/>
    <w:multiLevelType w:val="hybridMultilevel"/>
    <w:lvl w:ilvl="0">
      <w:lvlJc w:val="left"/>
      <w:lvlText w:val="•"/>
      <w:numFmt w:val="bullet"/>
      <w:start w:val="1"/>
    </w:lvl>
  </w:abstractNum>
  <w:abstractNum w:abstractNumId="9">
    <w:nsid w:val="2CA88611"/>
    <w:multiLevelType w:val="hybridMultilevel"/>
    <w:lvl w:ilvl="0">
      <w:lvlJc w:val="left"/>
      <w:lvlText w:val="(%1)"/>
      <w:numFmt w:val="decimal"/>
      <w:start w:val="1"/>
    </w:lvl>
  </w:abstractNum>
  <w:abstractNum w:abstractNumId="10">
    <w:nsid w:val="836C40E"/>
    <w:multiLevelType w:val="hybridMultilevel"/>
    <w:lvl w:ilvl="0">
      <w:lvlJc w:val="left"/>
      <w:lvlText w:val="*"/>
      <w:numFmt w:val="bullet"/>
      <w:start w:val="1"/>
    </w:lvl>
  </w:abstractNum>
  <w:abstractNum w:abstractNumId="11">
    <w:nsid w:val="2901D82"/>
    <w:multiLevelType w:val="hybridMultilevel"/>
    <w:lvl w:ilvl="0">
      <w:lvlJc w:val="left"/>
      <w:lvlText w:val="•"/>
      <w:numFmt w:val="bullet"/>
      <w:start w:val="1"/>
    </w:lvl>
  </w:abstractNum>
  <w:abstractNum w:abstractNumId="12">
    <w:nsid w:val="3A95F874"/>
    <w:multiLevelType w:val="hybridMultilevel"/>
    <w:lvl w:ilvl="0">
      <w:lvlJc w:val="left"/>
      <w:lvlText w:val="(%1)"/>
      <w:numFmt w:val="lowerLetter"/>
      <w:start w:val="2"/>
    </w:lvl>
  </w:abstractNum>
  <w:abstractNum w:abstractNumId="13">
    <w:nsid w:val="8138641"/>
    <w:multiLevelType w:val="hybridMultilevel"/>
    <w:lvl w:ilvl="0">
      <w:lvlJc w:val="left"/>
      <w:lvlText w:val="(%1)"/>
      <w:numFmt w:val="decimal"/>
      <w:start w:val="1"/>
    </w:lvl>
  </w:abstractNum>
  <w:abstractNum w:abstractNumId="14">
    <w:nsid w:val="1E7FF521"/>
    <w:multiLevelType w:val="hybridMultilevel"/>
    <w:lvl w:ilvl="0">
      <w:lvlJc w:val="left"/>
      <w:lvlText w:val="(%1)"/>
      <w:numFmt w:val="decimal"/>
      <w:start w:val="6"/>
    </w:lvl>
  </w:abstractNum>
  <w:abstractNum w:abstractNumId="15">
    <w:nsid w:val="7C3DBD3D"/>
    <w:multiLevelType w:val="hybridMultilevel"/>
    <w:lvl w:ilvl="0">
      <w:lvlJc w:val="left"/>
      <w:lvlText w:val="(%1)"/>
      <w:numFmt w:val="lowerRoman"/>
      <w:start w:val="1"/>
    </w:lvl>
  </w:abstractNum>
  <w:abstractNum w:abstractNumId="16">
    <w:nsid w:val="737B8DDC"/>
    <w:multiLevelType w:val="hybridMultilevel"/>
    <w:lvl w:ilvl="0">
      <w:lvlJc w:val="left"/>
      <w:lvlText w:val="•"/>
      <w:numFmt w:val="bullet"/>
      <w:start w:val="1"/>
    </w:lvl>
  </w:abstractNum>
  <w:abstractNum w:abstractNumId="17">
    <w:nsid w:val="6CEAF087"/>
    <w:multiLevelType w:val="hybridMultilevel"/>
    <w:lvl w:ilvl="0">
      <w:lvlJc w:val="left"/>
      <w:lvlText w:val="•"/>
      <w:numFmt w:val="bullet"/>
      <w:start w:val="1"/>
    </w:lvl>
  </w:abstractNum>
  <w:abstractNum w:abstractNumId="18">
    <w:nsid w:val="22221A70"/>
    <w:multiLevelType w:val="hybridMultilevel"/>
    <w:lvl w:ilvl="0">
      <w:lvlJc w:val="left"/>
      <w:lvlText w:val="•"/>
      <w:numFmt w:val="bullet"/>
      <w:start w:val="1"/>
    </w:lvl>
  </w:abstractNum>
  <w:abstractNum w:abstractNumId="19">
    <w:nsid w:val="4516DDE9"/>
    <w:multiLevelType w:val="hybridMultilevel"/>
    <w:lvl w:ilvl="0">
      <w:lvlJc w:val="left"/>
      <w:lvlText w:val="•"/>
      <w:numFmt w:val="bullet"/>
      <w:start w:val="1"/>
    </w:lvl>
  </w:abstractNum>
  <w:abstractNum w:abstractNumId="20">
    <w:nsid w:val="3006C83E"/>
    <w:multiLevelType w:val="hybridMultilevel"/>
    <w:lvl w:ilvl="0">
      <w:lvlJc w:val="left"/>
      <w:lvlText w:val="•"/>
      <w:numFmt w:val="bullet"/>
      <w:start w:val="1"/>
    </w:lvl>
  </w:abstractNum>
  <w:abstractNum w:abstractNumId="21">
    <w:nsid w:val="614FD4A1"/>
    <w:multiLevelType w:val="hybridMultilevel"/>
    <w:lvl w:ilvl="0">
      <w:lvlJc w:val="left"/>
      <w:lvlText w:val="•"/>
      <w:numFmt w:val="bullet"/>
      <w:start w:val="1"/>
    </w:lvl>
  </w:abstractNum>
  <w:abstractNum w:abstractNumId="22">
    <w:nsid w:val="419AC241"/>
    <w:multiLevelType w:val="hybridMultilevel"/>
    <w:lvl w:ilvl="0">
      <w:lvlJc w:val="left"/>
      <w:lvlText w:val="•"/>
      <w:numFmt w:val="bullet"/>
      <w:start w:val="1"/>
    </w:lvl>
  </w:abstractNum>
  <w:abstractNum w:abstractNumId="23">
    <w:nsid w:val="5577F8E1"/>
    <w:multiLevelType w:val="hybridMultilevel"/>
    <w:lvl w:ilvl="0">
      <w:lvlJc w:val="left"/>
      <w:lvlText w:val="•"/>
      <w:numFmt w:val="bullet"/>
      <w:start w:val="1"/>
    </w:lvl>
  </w:abstractNum>
  <w:abstractNum w:abstractNumId="24">
    <w:nsid w:val="440BADFC"/>
    <w:multiLevelType w:val="hybridMultilevel"/>
    <w:lvl w:ilvl="0">
      <w:lvlJc w:val="left"/>
      <w:lvlText w:val="(%1)"/>
      <w:numFmt w:val="lowerLetter"/>
      <w:start w:val="2"/>
    </w:lvl>
  </w:abstractNum>
  <w:abstractNum w:abstractNumId="25">
    <w:nsid w:val="5072367"/>
    <w:multiLevelType w:val="hybridMultilevel"/>
    <w:lvl w:ilvl="0">
      <w:lvlJc w:val="left"/>
      <w:lvlText w:val="•"/>
      <w:numFmt w:val="bullet"/>
      <w:start w:val="1"/>
    </w:lvl>
  </w:abstractNum>
  <w:abstractNum w:abstractNumId="26">
    <w:nsid w:val="3804823E"/>
    <w:multiLevelType w:val="hybridMultilevel"/>
    <w:lvl w:ilvl="0">
      <w:lvlJc w:val="left"/>
      <w:lvlText w:val="(%1)"/>
      <w:numFmt w:val="decimal"/>
      <w:start w:val="1"/>
    </w:lvl>
  </w:abstractNum>
  <w:abstractNum w:abstractNumId="27">
    <w:nsid w:val="77465F01"/>
    <w:multiLevelType w:val="hybridMultilevel"/>
    <w:lvl w:ilvl="0">
      <w:lvlJc w:val="left"/>
      <w:lvlText w:val="*"/>
      <w:numFmt w:val="bullet"/>
      <w:start w:val="1"/>
    </w:lvl>
  </w:abstractNum>
  <w:abstractNum w:abstractNumId="28">
    <w:nsid w:val="7724C67E"/>
    <w:multiLevelType w:val="hybridMultilevel"/>
    <w:lvl w:ilvl="0">
      <w:lvlJc w:val="left"/>
      <w:lvlText w:val="$"/>
      <w:numFmt w:val="bullet"/>
      <w:start w:val="1"/>
    </w:lvl>
  </w:abstractNum>
  <w:abstractNum w:abstractNumId="29">
    <w:nsid w:val="5C482A97"/>
    <w:multiLevelType w:val="hybridMultilevel"/>
    <w:lvl w:ilvl="0">
      <w:lvlJc w:val="left"/>
      <w:lvlText w:val="$"/>
      <w:numFmt w:val="bullet"/>
      <w:start w:val="1"/>
    </w:lvl>
  </w:abstractNum>
  <w:abstractNum w:abstractNumId="30">
    <w:nsid w:val="2463B9EA"/>
    <w:multiLevelType w:val="hybridMultilevel"/>
    <w:lvl w:ilvl="0">
      <w:lvlJc w:val="left"/>
      <w:lvlText w:val="(%1)"/>
      <w:numFmt w:val="lowerRoman"/>
      <w:start w:val="1"/>
    </w:lvl>
  </w:abstractNum>
  <w:abstractNum w:abstractNumId="31">
    <w:nsid w:val="5E884ADC"/>
    <w:multiLevelType w:val="hybridMultilevel"/>
    <w:lvl w:ilvl="0">
      <w:lvlJc w:val="left"/>
      <w:lvlText w:val="(%1)"/>
      <w:numFmt w:val="decimal"/>
      <w:start w:val="1"/>
    </w:lvl>
  </w:abstractNum>
  <w:abstractNum w:abstractNumId="32">
    <w:nsid w:val="51EAD36B"/>
    <w:multiLevelType w:val="hybridMultilevel"/>
    <w:lvl w:ilvl="0">
      <w:lvlJc w:val="left"/>
      <w:lvlText w:val="(%1)"/>
      <w:numFmt w:val="lowerLetter"/>
      <w:start w:val="1"/>
    </w:lvl>
  </w:abstractNum>
  <w:abstractNum w:abstractNumId="33">
    <w:nsid w:val="2D517796"/>
    <w:multiLevelType w:val="hybridMultilevel"/>
    <w:lvl w:ilvl="0">
      <w:lvlJc w:val="left"/>
      <w:lvlText w:val="%1."/>
      <w:numFmt w:val="decimal"/>
      <w:start w:val="1"/>
    </w:lvl>
  </w:abstractNum>
  <w:abstractNum w:abstractNumId="34">
    <w:nsid w:val="580BD78F"/>
    <w:multiLevelType w:val="hybridMultilevel"/>
    <w:lvl w:ilvl="0">
      <w:lvlJc w:val="left"/>
      <w:lvlText w:val="%1."/>
      <w:numFmt w:val="decimal"/>
      <w:start w:val="3"/>
    </w:lvl>
  </w:abstractNum>
  <w:abstractNum w:abstractNumId="35">
    <w:nsid w:val="153EA438"/>
    <w:multiLevelType w:val="hybridMultilevel"/>
    <w:lvl w:ilvl="0">
      <w:lvlJc w:val="left"/>
      <w:lvlText w:val="(%1)"/>
      <w:numFmt w:val="lowerLetter"/>
      <w:start w:val="2"/>
    </w:lvl>
  </w:abstractNum>
  <w:abstractNum w:abstractNumId="36">
    <w:nsid w:val="3855585C"/>
    <w:multiLevelType w:val="hybridMultilevel"/>
    <w:lvl w:ilvl="0">
      <w:lvlJc w:val="left"/>
      <w:lvlText w:val="#"/>
      <w:numFmt w:val="bullet"/>
      <w:start w:val="1"/>
    </w:lvl>
  </w:abstractNum>
  <w:abstractNum w:abstractNumId="37">
    <w:nsid w:val="70A64E2A"/>
    <w:multiLevelType w:val="hybridMultilevel"/>
    <w:lvl w:ilvl="0">
      <w:lvlJc w:val="left"/>
      <w:lvlText w:val="*"/>
      <w:numFmt w:val="bullet"/>
      <w:start w:val="1"/>
    </w:lvl>
  </w:abstractNum>
  <w:abstractNum w:abstractNumId="38">
    <w:nsid w:val="6A2342EC"/>
    <w:multiLevelType w:val="hybridMultilevel"/>
    <w:lvl w:ilvl="0">
      <w:lvlJc w:val="left"/>
      <w:lvlText w:val="~"/>
      <w:numFmt w:val="bullet"/>
      <w:start w:val="1"/>
    </w:lvl>
    <w:lvl w:ilvl="1">
      <w:lvlJc w:val="left"/>
      <w:lvlText w:val="(%2)"/>
      <w:numFmt w:val="lowerLetter"/>
      <w:start w:val="3"/>
    </w:lvl>
  </w:abstractNum>
  <w:abstractNum w:abstractNumId="39">
    <w:nsid w:val="2A487CB0"/>
    <w:multiLevelType w:val="hybridMultilevel"/>
    <w:lvl w:ilvl="0">
      <w:lvlJc w:val="left"/>
      <w:lvlText w:val="#"/>
      <w:numFmt w:val="bullet"/>
      <w:start w:val="1"/>
    </w:lvl>
  </w:abstractNum>
  <w:abstractNum w:abstractNumId="40">
    <w:nsid w:val="1D4ED43B"/>
    <w:multiLevelType w:val="hybridMultilevel"/>
    <w:lvl w:ilvl="0">
      <w:lvlJc w:val="left"/>
      <w:lvlText w:val="*"/>
      <w:numFmt w:val="bullet"/>
      <w:start w:val="1"/>
    </w:lvl>
  </w:abstractNum>
  <w:abstractNum w:abstractNumId="41">
    <w:nsid w:val="725A06FB"/>
    <w:multiLevelType w:val="hybridMultilevel"/>
    <w:lvl w:ilvl="0">
      <w:lvlJc w:val="left"/>
      <w:lvlText w:val="~"/>
      <w:numFmt w:val="bullet"/>
      <w:start w:val="1"/>
    </w:lvl>
  </w:abstractNum>
  <w:abstractNum w:abstractNumId="42">
    <w:nsid w:val="2CD89A32"/>
    <w:multiLevelType w:val="hybridMultilevel"/>
    <w:lvl w:ilvl="0">
      <w:lvlJc w:val="left"/>
      <w:lvlText w:val="%1."/>
      <w:numFmt w:val="decimal"/>
      <w:start w:val="1"/>
    </w:lvl>
    <w:lvl w:ilvl="1">
      <w:lvlJc w:val="left"/>
      <w:lvlText w:val="%2)"/>
      <w:numFmt w:val="lowerLetter"/>
      <w:start w:val="1"/>
    </w:lvl>
  </w:abstractNum>
  <w:abstractNum w:abstractNumId="43">
    <w:nsid w:val="57E4CCAF"/>
    <w:multiLevelType w:val="hybridMultilevel"/>
    <w:lvl w:ilvl="0">
      <w:lvlJc w:val="left"/>
      <w:lvlText w:val="%1."/>
      <w:numFmt w:val="decimal"/>
      <w:start w:val="1"/>
    </w:lvl>
    <w:lvl w:ilvl="1">
      <w:lvlJc w:val="left"/>
      <w:lvlText w:val="%2)"/>
      <w:numFmt w:val="lowerLetter"/>
      <w:start w:val="1"/>
    </w:lvl>
  </w:abstractNum>
  <w:abstractNum w:abstractNumId="44">
    <w:nsid w:val="7A6D8D3C"/>
    <w:multiLevelType w:val="hybridMultilevel"/>
    <w:lvl w:ilvl="0">
      <w:lvlJc w:val="left"/>
      <w:lvlText w:val="(%1)"/>
      <w:numFmt w:val="lowerRoman"/>
      <w:start w:val="1"/>
    </w:lvl>
  </w:abstractNum>
  <w:abstractNum w:abstractNumId="45">
    <w:nsid w:val="4B588F5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pn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pn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png"/><Relationship Id="rId394" Type="http://schemas.openxmlformats.org/officeDocument/2006/relationships/image" Target="media/image387.png"/><Relationship Id="rId395" Type="http://schemas.openxmlformats.org/officeDocument/2006/relationships/image" Target="media/image388.png"/><Relationship Id="rId396" Type="http://schemas.openxmlformats.org/officeDocument/2006/relationships/image" Target="media/image389.png"/><Relationship Id="rId397" Type="http://schemas.openxmlformats.org/officeDocument/2006/relationships/image" Target="media/image390.png"/><Relationship Id="rId398" Type="http://schemas.openxmlformats.org/officeDocument/2006/relationships/image" Target="media/image391.png"/><Relationship Id="rId399" Type="http://schemas.openxmlformats.org/officeDocument/2006/relationships/image" Target="media/image392.png"/><Relationship Id="rId400" Type="http://schemas.openxmlformats.org/officeDocument/2006/relationships/image" Target="media/image393.png"/><Relationship Id="rId401" Type="http://schemas.openxmlformats.org/officeDocument/2006/relationships/image" Target="media/image394.png"/><Relationship Id="rId402" Type="http://schemas.openxmlformats.org/officeDocument/2006/relationships/image" Target="media/image395.png"/><Relationship Id="rId403" Type="http://schemas.openxmlformats.org/officeDocument/2006/relationships/image" Target="media/image396.png"/><Relationship Id="rId404" Type="http://schemas.openxmlformats.org/officeDocument/2006/relationships/image" Target="media/image397.png"/><Relationship Id="rId405" Type="http://schemas.openxmlformats.org/officeDocument/2006/relationships/image" Target="media/image398.png"/><Relationship Id="rId406" Type="http://schemas.openxmlformats.org/officeDocument/2006/relationships/image" Target="media/image399.png"/><Relationship Id="rId407" Type="http://schemas.openxmlformats.org/officeDocument/2006/relationships/image" Target="media/image400.png"/><Relationship Id="rId408" Type="http://schemas.openxmlformats.org/officeDocument/2006/relationships/image" Target="media/image401.png"/><Relationship Id="rId409" Type="http://schemas.openxmlformats.org/officeDocument/2006/relationships/image" Target="media/image402.png"/><Relationship Id="rId410" Type="http://schemas.openxmlformats.org/officeDocument/2006/relationships/image" Target="media/image403.png"/><Relationship Id="rId411" Type="http://schemas.openxmlformats.org/officeDocument/2006/relationships/image" Target="media/image404.png"/><Relationship Id="rId412" Type="http://schemas.openxmlformats.org/officeDocument/2006/relationships/image" Target="media/image405.png"/><Relationship Id="rId413" Type="http://schemas.openxmlformats.org/officeDocument/2006/relationships/image" Target="media/image406.png"/><Relationship Id="rId414" Type="http://schemas.openxmlformats.org/officeDocument/2006/relationships/image" Target="media/image407.png"/><Relationship Id="rId415" Type="http://schemas.openxmlformats.org/officeDocument/2006/relationships/image" Target="media/image408.png"/><Relationship Id="rId416" Type="http://schemas.openxmlformats.org/officeDocument/2006/relationships/image" Target="media/image409.png"/><Relationship Id="rId417" Type="http://schemas.openxmlformats.org/officeDocument/2006/relationships/image" Target="media/image410.png"/><Relationship Id="rId418" Type="http://schemas.openxmlformats.org/officeDocument/2006/relationships/image" Target="media/image411.png"/><Relationship Id="rId419" Type="http://schemas.openxmlformats.org/officeDocument/2006/relationships/image" Target="media/image412.png"/><Relationship Id="rId420" Type="http://schemas.openxmlformats.org/officeDocument/2006/relationships/image" Target="media/image413.png"/><Relationship Id="rId421" Type="http://schemas.openxmlformats.org/officeDocument/2006/relationships/image" Target="media/image414.png"/><Relationship Id="rId422" Type="http://schemas.openxmlformats.org/officeDocument/2006/relationships/image" Target="media/image415.png"/><Relationship Id="rId423" Type="http://schemas.openxmlformats.org/officeDocument/2006/relationships/image" Target="media/image416.png"/><Relationship Id="rId424" Type="http://schemas.openxmlformats.org/officeDocument/2006/relationships/image" Target="media/image417.png"/><Relationship Id="rId425" Type="http://schemas.openxmlformats.org/officeDocument/2006/relationships/image" Target="media/image418.png"/><Relationship Id="rId426" Type="http://schemas.openxmlformats.org/officeDocument/2006/relationships/image" Target="media/image419.png"/><Relationship Id="rId427" Type="http://schemas.openxmlformats.org/officeDocument/2006/relationships/image" Target="media/image420.png"/><Relationship Id="rId428" Type="http://schemas.openxmlformats.org/officeDocument/2006/relationships/image" Target="media/image421.png"/><Relationship Id="rId429" Type="http://schemas.openxmlformats.org/officeDocument/2006/relationships/image" Target="media/image422.png"/><Relationship Id="rId430" Type="http://schemas.openxmlformats.org/officeDocument/2006/relationships/image" Target="media/image423.png"/><Relationship Id="rId431" Type="http://schemas.openxmlformats.org/officeDocument/2006/relationships/image" Target="media/image424.png"/><Relationship Id="rId432" Type="http://schemas.openxmlformats.org/officeDocument/2006/relationships/image" Target="media/image425.png"/><Relationship Id="rId433" Type="http://schemas.openxmlformats.org/officeDocument/2006/relationships/image" Target="media/image426.png"/><Relationship Id="rId434" Type="http://schemas.openxmlformats.org/officeDocument/2006/relationships/image" Target="media/image427.png"/><Relationship Id="rId435" Type="http://schemas.openxmlformats.org/officeDocument/2006/relationships/image" Target="media/image428.png"/><Relationship Id="rId436" Type="http://schemas.openxmlformats.org/officeDocument/2006/relationships/image" Target="media/image429.png"/><Relationship Id="rId437" Type="http://schemas.openxmlformats.org/officeDocument/2006/relationships/image" Target="media/image430.png"/><Relationship Id="rId438" Type="http://schemas.openxmlformats.org/officeDocument/2006/relationships/image" Target="media/image431.png"/><Relationship Id="rId439" Type="http://schemas.openxmlformats.org/officeDocument/2006/relationships/image" Target="media/image432.png"/><Relationship Id="rId440" Type="http://schemas.openxmlformats.org/officeDocument/2006/relationships/image" Target="media/image433.png"/><Relationship Id="rId441" Type="http://schemas.openxmlformats.org/officeDocument/2006/relationships/image" Target="media/image434.png"/><Relationship Id="rId442" Type="http://schemas.openxmlformats.org/officeDocument/2006/relationships/image" Target="media/image435.png"/><Relationship Id="rId443" Type="http://schemas.openxmlformats.org/officeDocument/2006/relationships/image" Target="media/image436.png"/><Relationship Id="rId444" Type="http://schemas.openxmlformats.org/officeDocument/2006/relationships/image" Target="media/image437.png"/><Relationship Id="rId445" Type="http://schemas.openxmlformats.org/officeDocument/2006/relationships/image" Target="media/image438.png"/><Relationship Id="rId446" Type="http://schemas.openxmlformats.org/officeDocument/2006/relationships/image" Target="media/image439.png"/><Relationship Id="rId447" Type="http://schemas.openxmlformats.org/officeDocument/2006/relationships/image" Target="media/image440.png"/><Relationship Id="rId448" Type="http://schemas.openxmlformats.org/officeDocument/2006/relationships/image" Target="media/image441.png"/><Relationship Id="rId449" Type="http://schemas.openxmlformats.org/officeDocument/2006/relationships/image" Target="media/image442.png"/><Relationship Id="rId450" Type="http://schemas.openxmlformats.org/officeDocument/2006/relationships/image" Target="media/image443.png"/><Relationship Id="rId451" Type="http://schemas.openxmlformats.org/officeDocument/2006/relationships/image" Target="media/image444.png"/><Relationship Id="rId452" Type="http://schemas.openxmlformats.org/officeDocument/2006/relationships/image" Target="media/image445.png"/><Relationship Id="rId453" Type="http://schemas.openxmlformats.org/officeDocument/2006/relationships/image" Target="media/image446.png"/><Relationship Id="rId454" Type="http://schemas.openxmlformats.org/officeDocument/2006/relationships/image" Target="media/image447.png"/><Relationship Id="rId455" Type="http://schemas.openxmlformats.org/officeDocument/2006/relationships/image" Target="media/image448.png"/><Relationship Id="rId456" Type="http://schemas.openxmlformats.org/officeDocument/2006/relationships/image" Target="media/image449.png"/><Relationship Id="rId457" Type="http://schemas.openxmlformats.org/officeDocument/2006/relationships/image" Target="media/image450.png"/><Relationship Id="rId458" Type="http://schemas.openxmlformats.org/officeDocument/2006/relationships/image" Target="media/image451.png"/><Relationship Id="rId459" Type="http://schemas.openxmlformats.org/officeDocument/2006/relationships/image" Target="media/image452.png"/><Relationship Id="rId460" Type="http://schemas.openxmlformats.org/officeDocument/2006/relationships/image" Target="media/image453.png"/><Relationship Id="rId461" Type="http://schemas.openxmlformats.org/officeDocument/2006/relationships/image" Target="media/image454.png"/><Relationship Id="rId462" Type="http://schemas.openxmlformats.org/officeDocument/2006/relationships/image" Target="media/image455.png"/><Relationship Id="rId463" Type="http://schemas.openxmlformats.org/officeDocument/2006/relationships/image" Target="media/image456.png"/><Relationship Id="rId464" Type="http://schemas.openxmlformats.org/officeDocument/2006/relationships/image" Target="media/image457.png"/><Relationship Id="rId465" Type="http://schemas.openxmlformats.org/officeDocument/2006/relationships/image" Target="media/image458.png"/><Relationship Id="rId466" Type="http://schemas.openxmlformats.org/officeDocument/2006/relationships/image" Target="media/image459.png"/><Relationship Id="rId467" Type="http://schemas.openxmlformats.org/officeDocument/2006/relationships/image" Target="media/image460.png"/><Relationship Id="rId468" Type="http://schemas.openxmlformats.org/officeDocument/2006/relationships/image" Target="media/image461.png"/><Relationship Id="rId469" Type="http://schemas.openxmlformats.org/officeDocument/2006/relationships/image" Target="media/image462.png"/><Relationship Id="rId470" Type="http://schemas.openxmlformats.org/officeDocument/2006/relationships/image" Target="media/image463.png"/><Relationship Id="rId471" Type="http://schemas.openxmlformats.org/officeDocument/2006/relationships/image" Target="media/image464.png"/><Relationship Id="rId472" Type="http://schemas.openxmlformats.org/officeDocument/2006/relationships/image" Target="media/image465.png"/><Relationship Id="rId473" Type="http://schemas.openxmlformats.org/officeDocument/2006/relationships/image" Target="media/image466.png"/><Relationship Id="rId474" Type="http://schemas.openxmlformats.org/officeDocument/2006/relationships/image" Target="media/image467.png"/><Relationship Id="rId475" Type="http://schemas.openxmlformats.org/officeDocument/2006/relationships/image" Target="media/image468.png"/><Relationship Id="rId476" Type="http://schemas.openxmlformats.org/officeDocument/2006/relationships/image" Target="media/image469.png"/><Relationship Id="rId477" Type="http://schemas.openxmlformats.org/officeDocument/2006/relationships/image" Target="media/image470.png"/><Relationship Id="rId478" Type="http://schemas.openxmlformats.org/officeDocument/2006/relationships/image" Target="media/image471.png"/><Relationship Id="rId479" Type="http://schemas.openxmlformats.org/officeDocument/2006/relationships/image" Target="media/image472.png"/><Relationship Id="rId480" Type="http://schemas.openxmlformats.org/officeDocument/2006/relationships/image" Target="media/image473.png"/><Relationship Id="rId481" Type="http://schemas.openxmlformats.org/officeDocument/2006/relationships/image" Target="media/image474.png"/><Relationship Id="rId482" Type="http://schemas.openxmlformats.org/officeDocument/2006/relationships/image" Target="media/image475.png"/><Relationship Id="rId483" Type="http://schemas.openxmlformats.org/officeDocument/2006/relationships/image" Target="media/image476.png"/><Relationship Id="rId484" Type="http://schemas.openxmlformats.org/officeDocument/2006/relationships/image" Target="media/image477.png"/><Relationship Id="rId485" Type="http://schemas.openxmlformats.org/officeDocument/2006/relationships/image" Target="media/image478.png"/><Relationship Id="rId486" Type="http://schemas.openxmlformats.org/officeDocument/2006/relationships/image" Target="media/image479.png"/><Relationship Id="rId487" Type="http://schemas.openxmlformats.org/officeDocument/2006/relationships/image" Target="media/image480.png"/><Relationship Id="rId488" Type="http://schemas.openxmlformats.org/officeDocument/2006/relationships/image" Target="media/image481.png"/><Relationship Id="rId489" Type="http://schemas.openxmlformats.org/officeDocument/2006/relationships/image" Target="media/image482.png"/><Relationship Id="rId490" Type="http://schemas.openxmlformats.org/officeDocument/2006/relationships/image" Target="media/image483.png"/><Relationship Id="rId491" Type="http://schemas.openxmlformats.org/officeDocument/2006/relationships/image" Target="media/image484.png"/><Relationship Id="rId492" Type="http://schemas.openxmlformats.org/officeDocument/2006/relationships/image" Target="media/image485.png"/><Relationship Id="rId493" Type="http://schemas.openxmlformats.org/officeDocument/2006/relationships/image" Target="media/image486.png"/><Relationship Id="rId494" Type="http://schemas.openxmlformats.org/officeDocument/2006/relationships/image" Target="media/image487.png"/><Relationship Id="rId495" Type="http://schemas.openxmlformats.org/officeDocument/2006/relationships/image" Target="media/image488.png"/><Relationship Id="rId496" Type="http://schemas.openxmlformats.org/officeDocument/2006/relationships/image" Target="media/image489.png"/><Relationship Id="rId497" Type="http://schemas.openxmlformats.org/officeDocument/2006/relationships/image" Target="media/image490.png"/><Relationship Id="rId498" Type="http://schemas.openxmlformats.org/officeDocument/2006/relationships/image" Target="media/image491.png"/><Relationship Id="rId499" Type="http://schemas.openxmlformats.org/officeDocument/2006/relationships/image" Target="media/image492.png"/><Relationship Id="rId500" Type="http://schemas.openxmlformats.org/officeDocument/2006/relationships/image" Target="media/image493.png"/><Relationship Id="rId501" Type="http://schemas.openxmlformats.org/officeDocument/2006/relationships/image" Target="media/image494.png"/><Relationship Id="rId502" Type="http://schemas.openxmlformats.org/officeDocument/2006/relationships/image" Target="media/image495.png"/><Relationship Id="rId503" Type="http://schemas.openxmlformats.org/officeDocument/2006/relationships/image" Target="media/image496.png"/><Relationship Id="rId504" Type="http://schemas.openxmlformats.org/officeDocument/2006/relationships/image" Target="media/image497.png"/><Relationship Id="rId505" Type="http://schemas.openxmlformats.org/officeDocument/2006/relationships/image" Target="media/image498.png"/><Relationship Id="rId506" Type="http://schemas.openxmlformats.org/officeDocument/2006/relationships/image" Target="media/image499.png"/><Relationship Id="rId507" Type="http://schemas.openxmlformats.org/officeDocument/2006/relationships/image" Target="media/image500.png"/><Relationship Id="rId508" Type="http://schemas.openxmlformats.org/officeDocument/2006/relationships/image" Target="media/image501.png"/><Relationship Id="rId509" Type="http://schemas.openxmlformats.org/officeDocument/2006/relationships/image" Target="media/image502.png"/><Relationship Id="rId510" Type="http://schemas.openxmlformats.org/officeDocument/2006/relationships/image" Target="media/image503.png"/><Relationship Id="rId511" Type="http://schemas.openxmlformats.org/officeDocument/2006/relationships/image" Target="media/image504.png"/><Relationship Id="rId512" Type="http://schemas.openxmlformats.org/officeDocument/2006/relationships/image" Target="media/image505.png"/><Relationship Id="rId513" Type="http://schemas.openxmlformats.org/officeDocument/2006/relationships/image" Target="media/image506.png"/><Relationship Id="rId514" Type="http://schemas.openxmlformats.org/officeDocument/2006/relationships/image" Target="media/image507.png"/><Relationship Id="rId515" Type="http://schemas.openxmlformats.org/officeDocument/2006/relationships/image" Target="media/image508.png"/><Relationship Id="rId516" Type="http://schemas.openxmlformats.org/officeDocument/2006/relationships/image" Target="media/image509.png"/><Relationship Id="rId517" Type="http://schemas.openxmlformats.org/officeDocument/2006/relationships/image" Target="media/image510.png"/><Relationship Id="rId518" Type="http://schemas.openxmlformats.org/officeDocument/2006/relationships/image" Target="media/image511.png"/><Relationship Id="rId519" Type="http://schemas.openxmlformats.org/officeDocument/2006/relationships/image" Target="media/image512.png"/><Relationship Id="rId520" Type="http://schemas.openxmlformats.org/officeDocument/2006/relationships/image" Target="media/image513.png"/><Relationship Id="rId521" Type="http://schemas.openxmlformats.org/officeDocument/2006/relationships/image" Target="media/image514.png"/><Relationship Id="rId522" Type="http://schemas.openxmlformats.org/officeDocument/2006/relationships/image" Target="media/image515.png"/><Relationship Id="rId523" Type="http://schemas.openxmlformats.org/officeDocument/2006/relationships/image" Target="media/image516.png"/><Relationship Id="rId524" Type="http://schemas.openxmlformats.org/officeDocument/2006/relationships/image" Target="media/image517.png"/><Relationship Id="rId525" Type="http://schemas.openxmlformats.org/officeDocument/2006/relationships/image" Target="media/image518.png"/><Relationship Id="rId526" Type="http://schemas.openxmlformats.org/officeDocument/2006/relationships/image" Target="media/image519.png"/><Relationship Id="rId527" Type="http://schemas.openxmlformats.org/officeDocument/2006/relationships/image" Target="media/image520.png"/><Relationship Id="rId528" Type="http://schemas.openxmlformats.org/officeDocument/2006/relationships/image" Target="media/image521.png"/><Relationship Id="rId529" Type="http://schemas.openxmlformats.org/officeDocument/2006/relationships/image" Target="media/image522.png"/><Relationship Id="rId530" Type="http://schemas.openxmlformats.org/officeDocument/2006/relationships/image" Target="media/image523.png"/><Relationship Id="rId531" Type="http://schemas.openxmlformats.org/officeDocument/2006/relationships/image" Target="media/image524.png"/><Relationship Id="rId532" Type="http://schemas.openxmlformats.org/officeDocument/2006/relationships/image" Target="media/image525.png"/><Relationship Id="rId533" Type="http://schemas.openxmlformats.org/officeDocument/2006/relationships/image" Target="media/image526.png"/><Relationship Id="rId534" Type="http://schemas.openxmlformats.org/officeDocument/2006/relationships/image" Target="media/image527.png"/><Relationship Id="rId535" Type="http://schemas.openxmlformats.org/officeDocument/2006/relationships/image" Target="media/image528.png"/><Relationship Id="rId536" Type="http://schemas.openxmlformats.org/officeDocument/2006/relationships/image" Target="media/image529.png"/><Relationship Id="rId537" Type="http://schemas.openxmlformats.org/officeDocument/2006/relationships/image" Target="media/image530.png"/><Relationship Id="rId538" Type="http://schemas.openxmlformats.org/officeDocument/2006/relationships/image" Target="media/image531.png"/><Relationship Id="rId539" Type="http://schemas.openxmlformats.org/officeDocument/2006/relationships/image" Target="media/image532.png"/><Relationship Id="rId540" Type="http://schemas.openxmlformats.org/officeDocument/2006/relationships/image" Target="media/image533.png"/><Relationship Id="rId541" Type="http://schemas.openxmlformats.org/officeDocument/2006/relationships/image" Target="media/image534.png"/><Relationship Id="rId542" Type="http://schemas.openxmlformats.org/officeDocument/2006/relationships/image" Target="media/image535.png"/><Relationship Id="rId543" Type="http://schemas.openxmlformats.org/officeDocument/2006/relationships/image" Target="media/image536.png"/><Relationship Id="rId544" Type="http://schemas.openxmlformats.org/officeDocument/2006/relationships/image" Target="media/image537.png"/><Relationship Id="rId545" Type="http://schemas.openxmlformats.org/officeDocument/2006/relationships/image" Target="media/image538.png"/><Relationship Id="rId546" Type="http://schemas.openxmlformats.org/officeDocument/2006/relationships/image" Target="media/image539.png"/><Relationship Id="rId547" Type="http://schemas.openxmlformats.org/officeDocument/2006/relationships/image" Target="media/image540.png"/><Relationship Id="rId548" Type="http://schemas.openxmlformats.org/officeDocument/2006/relationships/image" Target="media/image541.png"/><Relationship Id="rId549" Type="http://schemas.openxmlformats.org/officeDocument/2006/relationships/image" Target="media/image542.png"/><Relationship Id="rId550" Type="http://schemas.openxmlformats.org/officeDocument/2006/relationships/image" Target="media/image543.png"/><Relationship Id="rId551" Type="http://schemas.openxmlformats.org/officeDocument/2006/relationships/image" Target="media/image544.png"/><Relationship Id="rId552" Type="http://schemas.openxmlformats.org/officeDocument/2006/relationships/image" Target="media/image545.png"/><Relationship Id="rId553" Type="http://schemas.openxmlformats.org/officeDocument/2006/relationships/image" Target="media/image546.png"/><Relationship Id="rId554" Type="http://schemas.openxmlformats.org/officeDocument/2006/relationships/image" Target="media/image547.png"/><Relationship Id="rId555" Type="http://schemas.openxmlformats.org/officeDocument/2006/relationships/image" Target="media/image548.png"/><Relationship Id="rId556" Type="http://schemas.openxmlformats.org/officeDocument/2006/relationships/image" Target="media/image549.png"/><Relationship Id="rId557" Type="http://schemas.openxmlformats.org/officeDocument/2006/relationships/image" Target="media/image550.png"/><Relationship Id="rId558" Type="http://schemas.openxmlformats.org/officeDocument/2006/relationships/image" Target="media/image551.png"/><Relationship Id="rId559" Type="http://schemas.openxmlformats.org/officeDocument/2006/relationships/image" Target="media/image552.png"/><Relationship Id="rId560" Type="http://schemas.openxmlformats.org/officeDocument/2006/relationships/image" Target="media/image553.png"/><Relationship Id="rId561" Type="http://schemas.openxmlformats.org/officeDocument/2006/relationships/image" Target="media/image554.png"/><Relationship Id="rId562" Type="http://schemas.openxmlformats.org/officeDocument/2006/relationships/image" Target="media/image555.png"/><Relationship Id="rId563" Type="http://schemas.openxmlformats.org/officeDocument/2006/relationships/image" Target="media/image556.png"/><Relationship Id="rId564" Type="http://schemas.openxmlformats.org/officeDocument/2006/relationships/image" Target="media/image557.png"/><Relationship Id="rId565" Type="http://schemas.openxmlformats.org/officeDocument/2006/relationships/image" Target="media/image558.png"/><Relationship Id="rId566" Type="http://schemas.openxmlformats.org/officeDocument/2006/relationships/image" Target="media/image559.png"/><Relationship Id="rId567" Type="http://schemas.openxmlformats.org/officeDocument/2006/relationships/image" Target="media/image560.png"/><Relationship Id="rId568" Type="http://schemas.openxmlformats.org/officeDocument/2006/relationships/image" Target="media/image561.png"/><Relationship Id="rId569" Type="http://schemas.openxmlformats.org/officeDocument/2006/relationships/image" Target="media/image562.png"/><Relationship Id="rId570" Type="http://schemas.openxmlformats.org/officeDocument/2006/relationships/image" Target="media/image563.png"/><Relationship Id="rId571" Type="http://schemas.openxmlformats.org/officeDocument/2006/relationships/image" Target="media/image564.png"/><Relationship Id="rId572" Type="http://schemas.openxmlformats.org/officeDocument/2006/relationships/image" Target="media/image565.png"/><Relationship Id="rId573" Type="http://schemas.openxmlformats.org/officeDocument/2006/relationships/image" Target="media/image566.png"/><Relationship Id="rId574" Type="http://schemas.openxmlformats.org/officeDocument/2006/relationships/image" Target="media/image567.png"/><Relationship Id="rId575" Type="http://schemas.openxmlformats.org/officeDocument/2006/relationships/image" Target="media/image568.png"/><Relationship Id="rId576" Type="http://schemas.openxmlformats.org/officeDocument/2006/relationships/image" Target="media/image569.png"/><Relationship Id="rId577" Type="http://schemas.openxmlformats.org/officeDocument/2006/relationships/image" Target="media/image570.png"/><Relationship Id="rId578" Type="http://schemas.openxmlformats.org/officeDocument/2006/relationships/image" Target="media/image571.png"/><Relationship Id="rId579" Type="http://schemas.openxmlformats.org/officeDocument/2006/relationships/image" Target="media/image572.png"/><Relationship Id="rId580" Type="http://schemas.openxmlformats.org/officeDocument/2006/relationships/image" Target="media/image573.png"/><Relationship Id="rId581" Type="http://schemas.openxmlformats.org/officeDocument/2006/relationships/image" Target="media/image574.png"/><Relationship Id="rId582" Type="http://schemas.openxmlformats.org/officeDocument/2006/relationships/image" Target="media/image575.png"/><Relationship Id="rId583" Type="http://schemas.openxmlformats.org/officeDocument/2006/relationships/image" Target="media/image576.png"/><Relationship Id="rId584" Type="http://schemas.openxmlformats.org/officeDocument/2006/relationships/image" Target="media/image577.png"/><Relationship Id="rId585" Type="http://schemas.openxmlformats.org/officeDocument/2006/relationships/image" Target="media/image578.png"/><Relationship Id="rId586" Type="http://schemas.openxmlformats.org/officeDocument/2006/relationships/image" Target="media/image579.png"/><Relationship Id="rId587" Type="http://schemas.openxmlformats.org/officeDocument/2006/relationships/image" Target="media/image580.png"/><Relationship Id="rId588" Type="http://schemas.openxmlformats.org/officeDocument/2006/relationships/image" Target="media/image581.png"/><Relationship Id="rId589" Type="http://schemas.openxmlformats.org/officeDocument/2006/relationships/image" Target="media/image582.png"/><Relationship Id="rId590" Type="http://schemas.openxmlformats.org/officeDocument/2006/relationships/image" Target="media/image583.png"/><Relationship Id="rId591" Type="http://schemas.openxmlformats.org/officeDocument/2006/relationships/image" Target="media/image584.png"/><Relationship Id="rId592" Type="http://schemas.openxmlformats.org/officeDocument/2006/relationships/image" Target="media/image585.png"/><Relationship Id="rId593" Type="http://schemas.openxmlformats.org/officeDocument/2006/relationships/image" Target="media/image586.png"/><Relationship Id="rId594" Type="http://schemas.openxmlformats.org/officeDocument/2006/relationships/image" Target="media/image587.png"/><Relationship Id="rId595" Type="http://schemas.openxmlformats.org/officeDocument/2006/relationships/image" Target="media/image588.png"/><Relationship Id="rId596" Type="http://schemas.openxmlformats.org/officeDocument/2006/relationships/image" Target="media/image589.png"/><Relationship Id="rId597" Type="http://schemas.openxmlformats.org/officeDocument/2006/relationships/image" Target="media/image590.png"/><Relationship Id="rId598" Type="http://schemas.openxmlformats.org/officeDocument/2006/relationships/image" Target="media/image591.png"/><Relationship Id="rId599" Type="http://schemas.openxmlformats.org/officeDocument/2006/relationships/image" Target="media/image592.png"/><Relationship Id="rId600" Type="http://schemas.openxmlformats.org/officeDocument/2006/relationships/image" Target="media/image593.png"/><Relationship Id="rId601" Type="http://schemas.openxmlformats.org/officeDocument/2006/relationships/image" Target="media/image594.png"/><Relationship Id="rId602" Type="http://schemas.openxmlformats.org/officeDocument/2006/relationships/image" Target="media/image595.png"/><Relationship Id="rId603" Type="http://schemas.openxmlformats.org/officeDocument/2006/relationships/image" Target="media/image596.png"/><Relationship Id="rId604" Type="http://schemas.openxmlformats.org/officeDocument/2006/relationships/image" Target="media/image597.png"/><Relationship Id="rId605" Type="http://schemas.openxmlformats.org/officeDocument/2006/relationships/image" Target="media/image598.png"/><Relationship Id="rId606" Type="http://schemas.openxmlformats.org/officeDocument/2006/relationships/image" Target="media/image599.png"/><Relationship Id="rId607" Type="http://schemas.openxmlformats.org/officeDocument/2006/relationships/image" Target="media/image600.png"/><Relationship Id="rId608" Type="http://schemas.openxmlformats.org/officeDocument/2006/relationships/image" Target="media/image601.png"/><Relationship Id="rId609" Type="http://schemas.openxmlformats.org/officeDocument/2006/relationships/image" Target="media/image602.png"/><Relationship Id="rId610" Type="http://schemas.openxmlformats.org/officeDocument/2006/relationships/image" Target="media/image603.png"/><Relationship Id="rId611" Type="http://schemas.openxmlformats.org/officeDocument/2006/relationships/image" Target="media/image604.png"/><Relationship Id="rId612" Type="http://schemas.openxmlformats.org/officeDocument/2006/relationships/image" Target="media/image605.png"/><Relationship Id="rId613" Type="http://schemas.openxmlformats.org/officeDocument/2006/relationships/image" Target="media/image606.png"/><Relationship Id="rId614" Type="http://schemas.openxmlformats.org/officeDocument/2006/relationships/image" Target="media/image607.png"/><Relationship Id="rId615" Type="http://schemas.openxmlformats.org/officeDocument/2006/relationships/image" Target="media/image608.png"/><Relationship Id="rId616" Type="http://schemas.openxmlformats.org/officeDocument/2006/relationships/image" Target="media/image609.png"/><Relationship Id="rId617" Type="http://schemas.openxmlformats.org/officeDocument/2006/relationships/image" Target="media/image610.png"/><Relationship Id="rId618" Type="http://schemas.openxmlformats.org/officeDocument/2006/relationships/image" Target="media/image611.png"/><Relationship Id="rId619" Type="http://schemas.openxmlformats.org/officeDocument/2006/relationships/image" Target="media/image612.png"/><Relationship Id="rId620" Type="http://schemas.openxmlformats.org/officeDocument/2006/relationships/image" Target="media/image613.png"/><Relationship Id="rId621" Type="http://schemas.openxmlformats.org/officeDocument/2006/relationships/image" Target="media/image614.png"/><Relationship Id="rId622" Type="http://schemas.openxmlformats.org/officeDocument/2006/relationships/image" Target="media/image615.png"/><Relationship Id="rId623" Type="http://schemas.openxmlformats.org/officeDocument/2006/relationships/image" Target="media/image616.png"/><Relationship Id="rId624" Type="http://schemas.openxmlformats.org/officeDocument/2006/relationships/image" Target="media/image617.png"/><Relationship Id="rId625" Type="http://schemas.openxmlformats.org/officeDocument/2006/relationships/image" Target="media/image618.png"/><Relationship Id="rId626" Type="http://schemas.openxmlformats.org/officeDocument/2006/relationships/image" Target="media/image619.png"/><Relationship Id="rId627" Type="http://schemas.openxmlformats.org/officeDocument/2006/relationships/image" Target="media/image620.png"/><Relationship Id="rId628" Type="http://schemas.openxmlformats.org/officeDocument/2006/relationships/image" Target="media/image621.png"/><Relationship Id="rId629" Type="http://schemas.openxmlformats.org/officeDocument/2006/relationships/image" Target="media/image622.png"/><Relationship Id="rId630" Type="http://schemas.openxmlformats.org/officeDocument/2006/relationships/image" Target="media/image623.png"/><Relationship Id="rId631" Type="http://schemas.openxmlformats.org/officeDocument/2006/relationships/image" Target="media/image624.png"/><Relationship Id="rId632" Type="http://schemas.openxmlformats.org/officeDocument/2006/relationships/image" Target="media/image625.png"/><Relationship Id="rId633" Type="http://schemas.openxmlformats.org/officeDocument/2006/relationships/image" Target="media/image626.png"/><Relationship Id="rId634" Type="http://schemas.openxmlformats.org/officeDocument/2006/relationships/image" Target="media/image627.png"/><Relationship Id="rId635" Type="http://schemas.openxmlformats.org/officeDocument/2006/relationships/image" Target="media/image628.png"/><Relationship Id="rId636" Type="http://schemas.openxmlformats.org/officeDocument/2006/relationships/image" Target="media/image629.png"/><Relationship Id="rId637" Type="http://schemas.openxmlformats.org/officeDocument/2006/relationships/image" Target="media/image630.png"/><Relationship Id="rId638" Type="http://schemas.openxmlformats.org/officeDocument/2006/relationships/image" Target="media/image631.png"/><Relationship Id="rId639" Type="http://schemas.openxmlformats.org/officeDocument/2006/relationships/image" Target="media/image632.png"/><Relationship Id="rId640" Type="http://schemas.openxmlformats.org/officeDocument/2006/relationships/image" Target="media/image633.png"/><Relationship Id="rId641" Type="http://schemas.openxmlformats.org/officeDocument/2006/relationships/image" Target="media/image634.png"/><Relationship Id="rId642" Type="http://schemas.openxmlformats.org/officeDocument/2006/relationships/image" Target="media/image635.png"/><Relationship Id="rId643" Type="http://schemas.openxmlformats.org/officeDocument/2006/relationships/image" Target="media/image636.png"/><Relationship Id="rId644" Type="http://schemas.openxmlformats.org/officeDocument/2006/relationships/image" Target="media/image637.png"/><Relationship Id="rId645" Type="http://schemas.openxmlformats.org/officeDocument/2006/relationships/image" Target="media/image638.png"/><Relationship Id="rId646" Type="http://schemas.openxmlformats.org/officeDocument/2006/relationships/image" Target="media/image639.png"/><Relationship Id="rId647" Type="http://schemas.openxmlformats.org/officeDocument/2006/relationships/image" Target="media/image640.png"/><Relationship Id="rId648" Type="http://schemas.openxmlformats.org/officeDocument/2006/relationships/image" Target="media/image641.png"/><Relationship Id="rId649" Type="http://schemas.openxmlformats.org/officeDocument/2006/relationships/image" Target="media/image642.png"/><Relationship Id="rId650" Type="http://schemas.openxmlformats.org/officeDocument/2006/relationships/image" Target="media/image643.png"/><Relationship Id="rId651" Type="http://schemas.openxmlformats.org/officeDocument/2006/relationships/image" Target="media/image644.png"/><Relationship Id="rId652" Type="http://schemas.openxmlformats.org/officeDocument/2006/relationships/image" Target="media/image645.png"/><Relationship Id="rId653" Type="http://schemas.openxmlformats.org/officeDocument/2006/relationships/image" Target="media/image646.png"/><Relationship Id="rId654" Type="http://schemas.openxmlformats.org/officeDocument/2006/relationships/image" Target="media/image647.png"/><Relationship Id="rId655" Type="http://schemas.openxmlformats.org/officeDocument/2006/relationships/image" Target="media/image648.png"/><Relationship Id="rId656" Type="http://schemas.openxmlformats.org/officeDocument/2006/relationships/image" Target="media/image649.png"/><Relationship Id="rId657" Type="http://schemas.openxmlformats.org/officeDocument/2006/relationships/image" Target="media/image650.png"/><Relationship Id="rId658" Type="http://schemas.openxmlformats.org/officeDocument/2006/relationships/image" Target="media/image651.png"/><Relationship Id="rId659" Type="http://schemas.openxmlformats.org/officeDocument/2006/relationships/image" Target="media/image652.png"/><Relationship Id="rId660" Type="http://schemas.openxmlformats.org/officeDocument/2006/relationships/image" Target="media/image653.png"/><Relationship Id="rId661" Type="http://schemas.openxmlformats.org/officeDocument/2006/relationships/image" Target="media/image654.png"/><Relationship Id="rId662" Type="http://schemas.openxmlformats.org/officeDocument/2006/relationships/image" Target="media/image655.png"/><Relationship Id="rId663" Type="http://schemas.openxmlformats.org/officeDocument/2006/relationships/image" Target="media/image656.png"/><Relationship Id="rId664" Type="http://schemas.openxmlformats.org/officeDocument/2006/relationships/image" Target="media/image657.png"/><Relationship Id="rId665" Type="http://schemas.openxmlformats.org/officeDocument/2006/relationships/image" Target="media/image658.png"/><Relationship Id="rId666" Type="http://schemas.openxmlformats.org/officeDocument/2006/relationships/image" Target="media/image659.png"/><Relationship Id="rId667" Type="http://schemas.openxmlformats.org/officeDocument/2006/relationships/image" Target="media/image660.png"/><Relationship Id="rId668" Type="http://schemas.openxmlformats.org/officeDocument/2006/relationships/image" Target="media/image661.png"/><Relationship Id="rId669" Type="http://schemas.openxmlformats.org/officeDocument/2006/relationships/image" Target="media/image662.png"/><Relationship Id="rId670" Type="http://schemas.openxmlformats.org/officeDocument/2006/relationships/image" Target="media/image663.png"/><Relationship Id="rId671" Type="http://schemas.openxmlformats.org/officeDocument/2006/relationships/image" Target="media/image664.png"/><Relationship Id="rId672" Type="http://schemas.openxmlformats.org/officeDocument/2006/relationships/image" Target="media/image665.png"/><Relationship Id="rId673" Type="http://schemas.openxmlformats.org/officeDocument/2006/relationships/image" Target="media/image666.png"/><Relationship Id="rId674" Type="http://schemas.openxmlformats.org/officeDocument/2006/relationships/image" Target="media/image667.png"/><Relationship Id="rId675" Type="http://schemas.openxmlformats.org/officeDocument/2006/relationships/image" Target="media/image668.png"/><Relationship Id="rId676" Type="http://schemas.openxmlformats.org/officeDocument/2006/relationships/image" Target="media/image669.png"/><Relationship Id="rId677" Type="http://schemas.openxmlformats.org/officeDocument/2006/relationships/image" Target="media/image670.png"/><Relationship Id="rId678" Type="http://schemas.openxmlformats.org/officeDocument/2006/relationships/image" Target="media/image671.png"/><Relationship Id="rId679" Type="http://schemas.openxmlformats.org/officeDocument/2006/relationships/image" Target="media/image672.png"/><Relationship Id="rId680" Type="http://schemas.openxmlformats.org/officeDocument/2006/relationships/image" Target="media/image673.png"/><Relationship Id="rId681" Type="http://schemas.openxmlformats.org/officeDocument/2006/relationships/image" Target="media/image674.png"/><Relationship Id="rId682" Type="http://schemas.openxmlformats.org/officeDocument/2006/relationships/image" Target="media/image675.png"/><Relationship Id="rId683" Type="http://schemas.openxmlformats.org/officeDocument/2006/relationships/image" Target="media/image676.png"/><Relationship Id="rId684" Type="http://schemas.openxmlformats.org/officeDocument/2006/relationships/image" Target="media/image677.png"/><Relationship Id="rId685" Type="http://schemas.openxmlformats.org/officeDocument/2006/relationships/image" Target="media/image678.png"/><Relationship Id="rId686" Type="http://schemas.openxmlformats.org/officeDocument/2006/relationships/image" Target="media/image679.png"/><Relationship Id="rId687" Type="http://schemas.openxmlformats.org/officeDocument/2006/relationships/image" Target="media/image680.png"/><Relationship Id="rId688" Type="http://schemas.openxmlformats.org/officeDocument/2006/relationships/image" Target="media/image681.png"/><Relationship Id="rId689" Type="http://schemas.openxmlformats.org/officeDocument/2006/relationships/image" Target="media/image682.png"/><Relationship Id="rId690" Type="http://schemas.openxmlformats.org/officeDocument/2006/relationships/image" Target="media/image683.png"/><Relationship Id="rId691" Type="http://schemas.openxmlformats.org/officeDocument/2006/relationships/image" Target="media/image684.png"/><Relationship Id="rId692" Type="http://schemas.openxmlformats.org/officeDocument/2006/relationships/image" Target="media/image685.png"/><Relationship Id="rId693" Type="http://schemas.openxmlformats.org/officeDocument/2006/relationships/image" Target="media/image686.png"/><Relationship Id="rId694" Type="http://schemas.openxmlformats.org/officeDocument/2006/relationships/image" Target="media/image687.png"/><Relationship Id="rId695" Type="http://schemas.openxmlformats.org/officeDocument/2006/relationships/image" Target="media/image688.png"/><Relationship Id="rId696" Type="http://schemas.openxmlformats.org/officeDocument/2006/relationships/image" Target="media/image689.png"/><Relationship Id="rId697" Type="http://schemas.openxmlformats.org/officeDocument/2006/relationships/image" Target="media/image690.png"/><Relationship Id="rId698" Type="http://schemas.openxmlformats.org/officeDocument/2006/relationships/image" Target="media/image691.png"/><Relationship Id="rId699" Type="http://schemas.openxmlformats.org/officeDocument/2006/relationships/image" Target="media/image692.png"/><Relationship Id="rId700" Type="http://schemas.openxmlformats.org/officeDocument/2006/relationships/image" Target="media/image693.png"/><Relationship Id="rId701" Type="http://schemas.openxmlformats.org/officeDocument/2006/relationships/image" Target="media/image694.png"/><Relationship Id="rId702" Type="http://schemas.openxmlformats.org/officeDocument/2006/relationships/image" Target="media/image695.png"/><Relationship Id="rId703" Type="http://schemas.openxmlformats.org/officeDocument/2006/relationships/image" Target="media/image696.png"/><Relationship Id="rId704" Type="http://schemas.openxmlformats.org/officeDocument/2006/relationships/image" Target="media/image697.png"/><Relationship Id="rId705" Type="http://schemas.openxmlformats.org/officeDocument/2006/relationships/image" Target="media/image698.png"/><Relationship Id="rId706" Type="http://schemas.openxmlformats.org/officeDocument/2006/relationships/image" Target="media/image699.png"/><Relationship Id="rId707" Type="http://schemas.openxmlformats.org/officeDocument/2006/relationships/image" Target="media/image700.png"/><Relationship Id="rId708" Type="http://schemas.openxmlformats.org/officeDocument/2006/relationships/image" Target="media/image701.png"/><Relationship Id="rId709" Type="http://schemas.openxmlformats.org/officeDocument/2006/relationships/image" Target="media/image702.png"/><Relationship Id="rId710" Type="http://schemas.openxmlformats.org/officeDocument/2006/relationships/image" Target="media/image703.png"/><Relationship Id="rId711" Type="http://schemas.openxmlformats.org/officeDocument/2006/relationships/image" Target="media/image704.png"/><Relationship Id="rId712" Type="http://schemas.openxmlformats.org/officeDocument/2006/relationships/image" Target="media/image705.png"/><Relationship Id="rId713" Type="http://schemas.openxmlformats.org/officeDocument/2006/relationships/image" Target="media/image706.png"/><Relationship Id="rId714" Type="http://schemas.openxmlformats.org/officeDocument/2006/relationships/image" Target="media/image707.png"/><Relationship Id="rId715" Type="http://schemas.openxmlformats.org/officeDocument/2006/relationships/image" Target="media/image708.png"/><Relationship Id="rId716" Type="http://schemas.openxmlformats.org/officeDocument/2006/relationships/image" Target="media/image709.png"/><Relationship Id="rId717" Type="http://schemas.openxmlformats.org/officeDocument/2006/relationships/image" Target="media/image710.png"/><Relationship Id="rId718" Type="http://schemas.openxmlformats.org/officeDocument/2006/relationships/image" Target="media/image711.png"/><Relationship Id="rId719" Type="http://schemas.openxmlformats.org/officeDocument/2006/relationships/image" Target="media/image712.png"/><Relationship Id="rId720" Type="http://schemas.openxmlformats.org/officeDocument/2006/relationships/image" Target="media/image713.png"/><Relationship Id="rId721" Type="http://schemas.openxmlformats.org/officeDocument/2006/relationships/image" Target="media/image714.png"/><Relationship Id="rId722" Type="http://schemas.openxmlformats.org/officeDocument/2006/relationships/image" Target="media/image715.png"/><Relationship Id="rId723" Type="http://schemas.openxmlformats.org/officeDocument/2006/relationships/image" Target="media/image716.png"/><Relationship Id="rId724" Type="http://schemas.openxmlformats.org/officeDocument/2006/relationships/image" Target="media/image717.png"/><Relationship Id="rId725" Type="http://schemas.openxmlformats.org/officeDocument/2006/relationships/image" Target="media/image718.png"/><Relationship Id="rId726" Type="http://schemas.openxmlformats.org/officeDocument/2006/relationships/image" Target="media/image719.png"/><Relationship Id="rId727" Type="http://schemas.openxmlformats.org/officeDocument/2006/relationships/image" Target="media/image720.png"/><Relationship Id="rId728" Type="http://schemas.openxmlformats.org/officeDocument/2006/relationships/image" Target="media/image721.png"/><Relationship Id="rId729" Type="http://schemas.openxmlformats.org/officeDocument/2006/relationships/image" Target="media/image722.png"/><Relationship Id="rId730" Type="http://schemas.openxmlformats.org/officeDocument/2006/relationships/image" Target="media/image723.png"/><Relationship Id="rId731" Type="http://schemas.openxmlformats.org/officeDocument/2006/relationships/image" Target="media/image724.png"/><Relationship Id="rId732" Type="http://schemas.openxmlformats.org/officeDocument/2006/relationships/image" Target="media/image725.png"/><Relationship Id="rId733" Type="http://schemas.openxmlformats.org/officeDocument/2006/relationships/image" Target="media/image726.png"/><Relationship Id="rId734" Type="http://schemas.openxmlformats.org/officeDocument/2006/relationships/image" Target="media/image727.png"/><Relationship Id="rId735" Type="http://schemas.openxmlformats.org/officeDocument/2006/relationships/image" Target="media/image728.png"/><Relationship Id="rId736" Type="http://schemas.openxmlformats.org/officeDocument/2006/relationships/image" Target="media/image729.png"/><Relationship Id="rId737" Type="http://schemas.openxmlformats.org/officeDocument/2006/relationships/image" Target="media/image730.png"/><Relationship Id="rId738" Type="http://schemas.openxmlformats.org/officeDocument/2006/relationships/image" Target="media/image731.png"/><Relationship Id="rId739" Type="http://schemas.openxmlformats.org/officeDocument/2006/relationships/image" Target="media/image732.png"/><Relationship Id="rId740" Type="http://schemas.openxmlformats.org/officeDocument/2006/relationships/image" Target="media/image733.png"/><Relationship Id="rId741" Type="http://schemas.openxmlformats.org/officeDocument/2006/relationships/image" Target="media/image734.png"/><Relationship Id="rId742" Type="http://schemas.openxmlformats.org/officeDocument/2006/relationships/image" Target="media/image735.png"/><Relationship Id="rId743" Type="http://schemas.openxmlformats.org/officeDocument/2006/relationships/image" Target="media/image736.png"/><Relationship Id="rId744" Type="http://schemas.openxmlformats.org/officeDocument/2006/relationships/image" Target="media/image737.png"/><Relationship Id="rId745" Type="http://schemas.openxmlformats.org/officeDocument/2006/relationships/image" Target="media/image738.png"/><Relationship Id="rId746" Type="http://schemas.openxmlformats.org/officeDocument/2006/relationships/image" Target="media/image739.png"/><Relationship Id="rId747" Type="http://schemas.openxmlformats.org/officeDocument/2006/relationships/image" Target="media/image740.png"/><Relationship Id="rId748" Type="http://schemas.openxmlformats.org/officeDocument/2006/relationships/image" Target="media/image741.png"/><Relationship Id="rId749" Type="http://schemas.openxmlformats.org/officeDocument/2006/relationships/image" Target="media/image742.png"/><Relationship Id="rId750" Type="http://schemas.openxmlformats.org/officeDocument/2006/relationships/image" Target="media/image743.png"/><Relationship Id="rId751" Type="http://schemas.openxmlformats.org/officeDocument/2006/relationships/image" Target="media/image744.png"/><Relationship Id="rId752" Type="http://schemas.openxmlformats.org/officeDocument/2006/relationships/image" Target="media/image745.png"/><Relationship Id="rId753" Type="http://schemas.openxmlformats.org/officeDocument/2006/relationships/image" Target="media/image746.png"/><Relationship Id="rId754" Type="http://schemas.openxmlformats.org/officeDocument/2006/relationships/image" Target="media/image747.png"/><Relationship Id="rId755" Type="http://schemas.openxmlformats.org/officeDocument/2006/relationships/image" Target="media/image748.png"/><Relationship Id="rId756" Type="http://schemas.openxmlformats.org/officeDocument/2006/relationships/image" Target="media/image749.png"/><Relationship Id="rId757" Type="http://schemas.openxmlformats.org/officeDocument/2006/relationships/image" Target="media/image750.png"/><Relationship Id="rId758" Type="http://schemas.openxmlformats.org/officeDocument/2006/relationships/image" Target="media/image751.png"/><Relationship Id="rId759" Type="http://schemas.openxmlformats.org/officeDocument/2006/relationships/image" Target="media/image752.png"/><Relationship Id="rId760" Type="http://schemas.openxmlformats.org/officeDocument/2006/relationships/image" Target="media/image753.png"/><Relationship Id="rId761" Type="http://schemas.openxmlformats.org/officeDocument/2006/relationships/image" Target="media/image754.png"/><Relationship Id="rId762" Type="http://schemas.openxmlformats.org/officeDocument/2006/relationships/image" Target="media/image755.png"/><Relationship Id="rId763" Type="http://schemas.openxmlformats.org/officeDocument/2006/relationships/image" Target="media/image756.png"/><Relationship Id="rId764" Type="http://schemas.openxmlformats.org/officeDocument/2006/relationships/image" Target="media/image757.png"/><Relationship Id="rId765" Type="http://schemas.openxmlformats.org/officeDocument/2006/relationships/image" Target="media/image758.png"/><Relationship Id="rId766" Type="http://schemas.openxmlformats.org/officeDocument/2006/relationships/image" Target="media/image759.png"/><Relationship Id="rId767" Type="http://schemas.openxmlformats.org/officeDocument/2006/relationships/image" Target="media/image760.png"/><Relationship Id="rId768" Type="http://schemas.openxmlformats.org/officeDocument/2006/relationships/image" Target="media/image761.png"/><Relationship Id="rId769" Type="http://schemas.openxmlformats.org/officeDocument/2006/relationships/image" Target="media/image762.png"/><Relationship Id="rId770" Type="http://schemas.openxmlformats.org/officeDocument/2006/relationships/image" Target="media/image763.png"/><Relationship Id="rId771" Type="http://schemas.openxmlformats.org/officeDocument/2006/relationships/image" Target="media/image764.png"/><Relationship Id="rId772" Type="http://schemas.openxmlformats.org/officeDocument/2006/relationships/image" Target="media/image765.png"/><Relationship Id="rId773" Type="http://schemas.openxmlformats.org/officeDocument/2006/relationships/image" Target="media/image766.png"/><Relationship Id="rId774" Type="http://schemas.openxmlformats.org/officeDocument/2006/relationships/image" Target="media/image767.png"/><Relationship Id="rId775" Type="http://schemas.openxmlformats.org/officeDocument/2006/relationships/image" Target="media/image768.png"/><Relationship Id="rId776" Type="http://schemas.openxmlformats.org/officeDocument/2006/relationships/image" Target="media/image769.png"/><Relationship Id="rId777" Type="http://schemas.openxmlformats.org/officeDocument/2006/relationships/image" Target="media/image770.png"/><Relationship Id="rId778" Type="http://schemas.openxmlformats.org/officeDocument/2006/relationships/image" Target="media/image771.png"/><Relationship Id="rId779" Type="http://schemas.openxmlformats.org/officeDocument/2006/relationships/image" Target="media/image772.png"/><Relationship Id="rId780" Type="http://schemas.openxmlformats.org/officeDocument/2006/relationships/image" Target="media/image773.png"/><Relationship Id="rId781" Type="http://schemas.openxmlformats.org/officeDocument/2006/relationships/image" Target="media/image774.png"/><Relationship Id="rId782" Type="http://schemas.openxmlformats.org/officeDocument/2006/relationships/image" Target="media/image775.png"/><Relationship Id="rId783" Type="http://schemas.openxmlformats.org/officeDocument/2006/relationships/image" Target="media/image776.png"/><Relationship Id="rId784" Type="http://schemas.openxmlformats.org/officeDocument/2006/relationships/image" Target="media/image777.png"/><Relationship Id="rId785" Type="http://schemas.openxmlformats.org/officeDocument/2006/relationships/image" Target="media/image778.png"/><Relationship Id="rId786" Type="http://schemas.openxmlformats.org/officeDocument/2006/relationships/image" Target="media/image779.png"/><Relationship Id="rId787" Type="http://schemas.openxmlformats.org/officeDocument/2006/relationships/image" Target="media/image780.png"/><Relationship Id="rId788" Type="http://schemas.openxmlformats.org/officeDocument/2006/relationships/image" Target="media/image781.png"/><Relationship Id="rId789" Type="http://schemas.openxmlformats.org/officeDocument/2006/relationships/image" Target="media/image782.png"/><Relationship Id="rId790" Type="http://schemas.openxmlformats.org/officeDocument/2006/relationships/image" Target="media/image783.png"/><Relationship Id="rId791" Type="http://schemas.openxmlformats.org/officeDocument/2006/relationships/image" Target="media/image784.png"/><Relationship Id="rId792" Type="http://schemas.openxmlformats.org/officeDocument/2006/relationships/image" Target="media/image785.png"/><Relationship Id="rId793" Type="http://schemas.openxmlformats.org/officeDocument/2006/relationships/image" Target="media/image786.png"/><Relationship Id="rId794" Type="http://schemas.openxmlformats.org/officeDocument/2006/relationships/image" Target="media/image787.png"/><Relationship Id="rId795" Type="http://schemas.openxmlformats.org/officeDocument/2006/relationships/image" Target="media/image788.png"/><Relationship Id="rId796" Type="http://schemas.openxmlformats.org/officeDocument/2006/relationships/image" Target="media/image789.png"/><Relationship Id="rId797" Type="http://schemas.openxmlformats.org/officeDocument/2006/relationships/image" Target="media/image790.png"/><Relationship Id="rId798" Type="http://schemas.openxmlformats.org/officeDocument/2006/relationships/image" Target="media/image791.png"/><Relationship Id="rId799" Type="http://schemas.openxmlformats.org/officeDocument/2006/relationships/image" Target="media/image792.png"/><Relationship Id="rId800" Type="http://schemas.openxmlformats.org/officeDocument/2006/relationships/image" Target="media/image793.png"/><Relationship Id="rId801" Type="http://schemas.openxmlformats.org/officeDocument/2006/relationships/image" Target="media/image794.png"/><Relationship Id="rId802" Type="http://schemas.openxmlformats.org/officeDocument/2006/relationships/image" Target="media/image795.png"/><Relationship Id="rId803" Type="http://schemas.openxmlformats.org/officeDocument/2006/relationships/image" Target="media/image796.png"/><Relationship Id="rId804" Type="http://schemas.openxmlformats.org/officeDocument/2006/relationships/image" Target="media/image797.png"/><Relationship Id="rId805" Type="http://schemas.openxmlformats.org/officeDocument/2006/relationships/image" Target="media/image798.png"/><Relationship Id="rId806" Type="http://schemas.openxmlformats.org/officeDocument/2006/relationships/image" Target="media/image799.png"/><Relationship Id="rId807" Type="http://schemas.openxmlformats.org/officeDocument/2006/relationships/image" Target="media/image800.png"/><Relationship Id="rId808" Type="http://schemas.openxmlformats.org/officeDocument/2006/relationships/image" Target="media/image801.png"/><Relationship Id="rId809" Type="http://schemas.openxmlformats.org/officeDocument/2006/relationships/image" Target="media/image802.png"/><Relationship Id="rId810" Type="http://schemas.openxmlformats.org/officeDocument/2006/relationships/image" Target="media/image803.png"/><Relationship Id="rId811" Type="http://schemas.openxmlformats.org/officeDocument/2006/relationships/image" Target="media/image804.png"/><Relationship Id="rId812" Type="http://schemas.openxmlformats.org/officeDocument/2006/relationships/image" Target="media/image805.png"/><Relationship Id="rId813" Type="http://schemas.openxmlformats.org/officeDocument/2006/relationships/image" Target="media/image806.png"/><Relationship Id="rId814" Type="http://schemas.openxmlformats.org/officeDocument/2006/relationships/image" Target="media/image807.png"/><Relationship Id="rId815" Type="http://schemas.openxmlformats.org/officeDocument/2006/relationships/image" Target="media/image808.png"/><Relationship Id="rId816" Type="http://schemas.openxmlformats.org/officeDocument/2006/relationships/image" Target="media/image809.png"/><Relationship Id="rId817" Type="http://schemas.openxmlformats.org/officeDocument/2006/relationships/image" Target="media/image810.png"/><Relationship Id="rId818" Type="http://schemas.openxmlformats.org/officeDocument/2006/relationships/image" Target="media/image811.png"/><Relationship Id="rId819" Type="http://schemas.openxmlformats.org/officeDocument/2006/relationships/image" Target="media/image812.png"/><Relationship Id="rId820" Type="http://schemas.openxmlformats.org/officeDocument/2006/relationships/image" Target="media/image813.png"/><Relationship Id="rId821" Type="http://schemas.openxmlformats.org/officeDocument/2006/relationships/image" Target="media/image814.png"/><Relationship Id="rId822" Type="http://schemas.openxmlformats.org/officeDocument/2006/relationships/image" Target="media/image815.png"/><Relationship Id="rId823" Type="http://schemas.openxmlformats.org/officeDocument/2006/relationships/image" Target="media/image816.png"/><Relationship Id="rId824" Type="http://schemas.openxmlformats.org/officeDocument/2006/relationships/image" Target="media/image817.png"/><Relationship Id="rId825" Type="http://schemas.openxmlformats.org/officeDocument/2006/relationships/image" Target="media/image818.png"/><Relationship Id="rId826" Type="http://schemas.openxmlformats.org/officeDocument/2006/relationships/image" Target="media/image819.png"/><Relationship Id="rId827" Type="http://schemas.openxmlformats.org/officeDocument/2006/relationships/image" Target="media/image820.png"/><Relationship Id="rId828" Type="http://schemas.openxmlformats.org/officeDocument/2006/relationships/image" Target="media/image821.png"/><Relationship Id="rId829" Type="http://schemas.openxmlformats.org/officeDocument/2006/relationships/image" Target="media/image822.png"/><Relationship Id="rId830" Type="http://schemas.openxmlformats.org/officeDocument/2006/relationships/image" Target="media/image823.png"/><Relationship Id="rId831" Type="http://schemas.openxmlformats.org/officeDocument/2006/relationships/image" Target="media/image824.png"/><Relationship Id="rId832" Type="http://schemas.openxmlformats.org/officeDocument/2006/relationships/image" Target="media/image825.png"/><Relationship Id="rId833" Type="http://schemas.openxmlformats.org/officeDocument/2006/relationships/image" Target="media/image826.png"/><Relationship Id="rId834" Type="http://schemas.openxmlformats.org/officeDocument/2006/relationships/image" Target="media/image827.png"/><Relationship Id="rId835" Type="http://schemas.openxmlformats.org/officeDocument/2006/relationships/image" Target="media/image828.png"/><Relationship Id="rId836" Type="http://schemas.openxmlformats.org/officeDocument/2006/relationships/image" Target="media/image829.png"/><Relationship Id="rId837" Type="http://schemas.openxmlformats.org/officeDocument/2006/relationships/image" Target="media/image830.png"/><Relationship Id="rId838" Type="http://schemas.openxmlformats.org/officeDocument/2006/relationships/image" Target="media/image831.png"/><Relationship Id="rId839" Type="http://schemas.openxmlformats.org/officeDocument/2006/relationships/image" Target="media/image832.png"/><Relationship Id="rId840" Type="http://schemas.openxmlformats.org/officeDocument/2006/relationships/image" Target="media/image833.png"/><Relationship Id="rId841" Type="http://schemas.openxmlformats.org/officeDocument/2006/relationships/image" Target="media/image834.png"/><Relationship Id="rId842" Type="http://schemas.openxmlformats.org/officeDocument/2006/relationships/image" Target="media/image835.png"/><Relationship Id="rId843" Type="http://schemas.openxmlformats.org/officeDocument/2006/relationships/image" Target="media/image836.png"/><Relationship Id="rId844" Type="http://schemas.openxmlformats.org/officeDocument/2006/relationships/image" Target="media/image837.png"/><Relationship Id="rId845" Type="http://schemas.openxmlformats.org/officeDocument/2006/relationships/image" Target="media/image838.png"/><Relationship Id="rId846" Type="http://schemas.openxmlformats.org/officeDocument/2006/relationships/image" Target="media/image839.png"/><Relationship Id="rId847" Type="http://schemas.openxmlformats.org/officeDocument/2006/relationships/image" Target="media/image840.png"/><Relationship Id="rId848" Type="http://schemas.openxmlformats.org/officeDocument/2006/relationships/image" Target="media/image841.png"/><Relationship Id="rId849" Type="http://schemas.openxmlformats.org/officeDocument/2006/relationships/image" Target="media/image842.png"/><Relationship Id="rId850" Type="http://schemas.openxmlformats.org/officeDocument/2006/relationships/image" Target="media/image843.png"/><Relationship Id="rId851" Type="http://schemas.openxmlformats.org/officeDocument/2006/relationships/image" Target="media/image844.png"/><Relationship Id="rId852" Type="http://schemas.openxmlformats.org/officeDocument/2006/relationships/image" Target="media/image845.png"/><Relationship Id="rId853" Type="http://schemas.openxmlformats.org/officeDocument/2006/relationships/image" Target="media/image846.png"/><Relationship Id="rId854" Type="http://schemas.openxmlformats.org/officeDocument/2006/relationships/image" Target="media/image847.png"/><Relationship Id="rId855" Type="http://schemas.openxmlformats.org/officeDocument/2006/relationships/image" Target="media/image848.png"/><Relationship Id="rId856" Type="http://schemas.openxmlformats.org/officeDocument/2006/relationships/image" Target="media/image849.png"/><Relationship Id="rId857" Type="http://schemas.openxmlformats.org/officeDocument/2006/relationships/image" Target="media/image850.png"/><Relationship Id="rId858" Type="http://schemas.openxmlformats.org/officeDocument/2006/relationships/image" Target="media/image851.png"/><Relationship Id="rId859" Type="http://schemas.openxmlformats.org/officeDocument/2006/relationships/image" Target="media/image852.png"/><Relationship Id="rId860" Type="http://schemas.openxmlformats.org/officeDocument/2006/relationships/image" Target="media/image853.png"/><Relationship Id="rId861" Type="http://schemas.openxmlformats.org/officeDocument/2006/relationships/image" Target="media/image854.png"/><Relationship Id="rId862" Type="http://schemas.openxmlformats.org/officeDocument/2006/relationships/image" Target="media/image855.png"/><Relationship Id="rId863" Type="http://schemas.openxmlformats.org/officeDocument/2006/relationships/image" Target="media/image856.png"/><Relationship Id="rId864" Type="http://schemas.openxmlformats.org/officeDocument/2006/relationships/image" Target="media/image857.png"/><Relationship Id="rId865" Type="http://schemas.openxmlformats.org/officeDocument/2006/relationships/image" Target="media/image858.png"/><Relationship Id="rId866" Type="http://schemas.openxmlformats.org/officeDocument/2006/relationships/image" Target="media/image859.png"/><Relationship Id="rId867" Type="http://schemas.openxmlformats.org/officeDocument/2006/relationships/image" Target="media/image860.png"/><Relationship Id="rId868" Type="http://schemas.openxmlformats.org/officeDocument/2006/relationships/image" Target="media/image861.png"/><Relationship Id="rId869" Type="http://schemas.openxmlformats.org/officeDocument/2006/relationships/image" Target="media/image862.png"/><Relationship Id="rId870" Type="http://schemas.openxmlformats.org/officeDocument/2006/relationships/image" Target="media/image863.png"/><Relationship Id="rId871" Type="http://schemas.openxmlformats.org/officeDocument/2006/relationships/image" Target="media/image864.png"/><Relationship Id="rId872" Type="http://schemas.openxmlformats.org/officeDocument/2006/relationships/image" Target="media/image865.png"/><Relationship Id="rId873" Type="http://schemas.openxmlformats.org/officeDocument/2006/relationships/image" Target="media/image866.png"/><Relationship Id="rId874" Type="http://schemas.openxmlformats.org/officeDocument/2006/relationships/image" Target="media/image867.png"/><Relationship Id="rId875" Type="http://schemas.openxmlformats.org/officeDocument/2006/relationships/image" Target="media/image868.png"/><Relationship Id="rId876" Type="http://schemas.openxmlformats.org/officeDocument/2006/relationships/image" Target="media/image869.png"/><Relationship Id="rId877" Type="http://schemas.openxmlformats.org/officeDocument/2006/relationships/image" Target="media/image870.png"/><Relationship Id="rId878" Type="http://schemas.openxmlformats.org/officeDocument/2006/relationships/image" Target="media/image871.png"/><Relationship Id="rId879" Type="http://schemas.openxmlformats.org/officeDocument/2006/relationships/image" Target="media/image872.png"/><Relationship Id="rId880" Type="http://schemas.openxmlformats.org/officeDocument/2006/relationships/image" Target="media/image873.png"/><Relationship Id="rId881" Type="http://schemas.openxmlformats.org/officeDocument/2006/relationships/image" Target="media/image874.png"/><Relationship Id="rId882" Type="http://schemas.openxmlformats.org/officeDocument/2006/relationships/image" Target="media/image875.png"/><Relationship Id="rId883" Type="http://schemas.openxmlformats.org/officeDocument/2006/relationships/image" Target="media/image876.png"/><Relationship Id="rId884" Type="http://schemas.openxmlformats.org/officeDocument/2006/relationships/image" Target="media/image877.png"/><Relationship Id="rId885" Type="http://schemas.openxmlformats.org/officeDocument/2006/relationships/image" Target="media/image878.png"/><Relationship Id="rId886" Type="http://schemas.openxmlformats.org/officeDocument/2006/relationships/image" Target="media/image879.png"/><Relationship Id="rId887" Type="http://schemas.openxmlformats.org/officeDocument/2006/relationships/image" Target="media/image880.png"/><Relationship Id="rId888" Type="http://schemas.openxmlformats.org/officeDocument/2006/relationships/image" Target="media/image881.png"/><Relationship Id="rId889" Type="http://schemas.openxmlformats.org/officeDocument/2006/relationships/image" Target="media/image882.png"/><Relationship Id="rId890" Type="http://schemas.openxmlformats.org/officeDocument/2006/relationships/image" Target="media/image883.png"/><Relationship Id="rId891" Type="http://schemas.openxmlformats.org/officeDocument/2006/relationships/image" Target="media/image884.png"/><Relationship Id="rId892" Type="http://schemas.openxmlformats.org/officeDocument/2006/relationships/image" Target="media/image885.png"/><Relationship Id="rId893" Type="http://schemas.openxmlformats.org/officeDocument/2006/relationships/image" Target="media/image886.png"/><Relationship Id="rId894" Type="http://schemas.openxmlformats.org/officeDocument/2006/relationships/image" Target="media/image887.png"/><Relationship Id="rId895" Type="http://schemas.openxmlformats.org/officeDocument/2006/relationships/image" Target="media/image888.png"/><Relationship Id="rId896" Type="http://schemas.openxmlformats.org/officeDocument/2006/relationships/image" Target="media/image889.png"/><Relationship Id="rId897" Type="http://schemas.openxmlformats.org/officeDocument/2006/relationships/image" Target="media/image890.png"/><Relationship Id="rId898" Type="http://schemas.openxmlformats.org/officeDocument/2006/relationships/image" Target="media/image891.png"/><Relationship Id="rId899" Type="http://schemas.openxmlformats.org/officeDocument/2006/relationships/image" Target="media/image892.png"/><Relationship Id="rId900" Type="http://schemas.openxmlformats.org/officeDocument/2006/relationships/image" Target="media/image893.png"/><Relationship Id="rId901" Type="http://schemas.openxmlformats.org/officeDocument/2006/relationships/image" Target="media/image894.png"/><Relationship Id="rId902" Type="http://schemas.openxmlformats.org/officeDocument/2006/relationships/image" Target="media/image895.png"/><Relationship Id="rId903" Type="http://schemas.openxmlformats.org/officeDocument/2006/relationships/image" Target="media/image896.png"/><Relationship Id="rId904" Type="http://schemas.openxmlformats.org/officeDocument/2006/relationships/image" Target="media/image897.png"/><Relationship Id="rId905" Type="http://schemas.openxmlformats.org/officeDocument/2006/relationships/image" Target="media/image898.png"/><Relationship Id="rId906" Type="http://schemas.openxmlformats.org/officeDocument/2006/relationships/image" Target="media/image899.png"/><Relationship Id="rId907" Type="http://schemas.openxmlformats.org/officeDocument/2006/relationships/image" Target="media/image900.png"/><Relationship Id="rId908" Type="http://schemas.openxmlformats.org/officeDocument/2006/relationships/image" Target="media/image901.png"/><Relationship Id="rId909" Type="http://schemas.openxmlformats.org/officeDocument/2006/relationships/image" Target="media/image902.png"/><Relationship Id="rId910" Type="http://schemas.openxmlformats.org/officeDocument/2006/relationships/image" Target="media/image903.png"/><Relationship Id="rId911" Type="http://schemas.openxmlformats.org/officeDocument/2006/relationships/image" Target="media/image904.png"/><Relationship Id="rId912" Type="http://schemas.openxmlformats.org/officeDocument/2006/relationships/image" Target="media/image905.png"/><Relationship Id="rId913" Type="http://schemas.openxmlformats.org/officeDocument/2006/relationships/image" Target="media/image906.png"/><Relationship Id="rId914" Type="http://schemas.openxmlformats.org/officeDocument/2006/relationships/image" Target="media/image907.png"/><Relationship Id="rId915" Type="http://schemas.openxmlformats.org/officeDocument/2006/relationships/image" Target="media/image908.png"/><Relationship Id="rId916" Type="http://schemas.openxmlformats.org/officeDocument/2006/relationships/image" Target="media/image909.png"/><Relationship Id="rId917" Type="http://schemas.openxmlformats.org/officeDocument/2006/relationships/image" Target="media/image910.png"/><Relationship Id="rId918" Type="http://schemas.openxmlformats.org/officeDocument/2006/relationships/image" Target="media/image911.png"/><Relationship Id="rId919" Type="http://schemas.openxmlformats.org/officeDocument/2006/relationships/image" Target="media/image912.png"/><Relationship Id="rId920" Type="http://schemas.openxmlformats.org/officeDocument/2006/relationships/image" Target="media/image913.png"/><Relationship Id="rId921" Type="http://schemas.openxmlformats.org/officeDocument/2006/relationships/image" Target="media/image914.png"/><Relationship Id="rId922" Type="http://schemas.openxmlformats.org/officeDocument/2006/relationships/image" Target="media/image915.png"/><Relationship Id="rId923" Type="http://schemas.openxmlformats.org/officeDocument/2006/relationships/image" Target="media/image916.png"/><Relationship Id="rId924" Type="http://schemas.openxmlformats.org/officeDocument/2006/relationships/image" Target="media/image917.png"/><Relationship Id="rId925" Type="http://schemas.openxmlformats.org/officeDocument/2006/relationships/image" Target="media/image918.png"/><Relationship Id="rId926" Type="http://schemas.openxmlformats.org/officeDocument/2006/relationships/image" Target="media/image919.png"/><Relationship Id="rId927" Type="http://schemas.openxmlformats.org/officeDocument/2006/relationships/image" Target="media/image920.png"/><Relationship Id="rId928" Type="http://schemas.openxmlformats.org/officeDocument/2006/relationships/image" Target="media/image921.png"/><Relationship Id="rId929" Type="http://schemas.openxmlformats.org/officeDocument/2006/relationships/image" Target="media/image922.png"/><Relationship Id="rId930" Type="http://schemas.openxmlformats.org/officeDocument/2006/relationships/image" Target="media/image923.png"/><Relationship Id="rId931" Type="http://schemas.openxmlformats.org/officeDocument/2006/relationships/image" Target="media/image924.png"/><Relationship Id="rId932" Type="http://schemas.openxmlformats.org/officeDocument/2006/relationships/image" Target="media/image925.png"/><Relationship Id="rId933" Type="http://schemas.openxmlformats.org/officeDocument/2006/relationships/image" Target="media/image926.png"/><Relationship Id="rId934" Type="http://schemas.openxmlformats.org/officeDocument/2006/relationships/image" Target="media/image927.png"/><Relationship Id="rId935" Type="http://schemas.openxmlformats.org/officeDocument/2006/relationships/image" Target="media/image928.png"/><Relationship Id="rId936" Type="http://schemas.openxmlformats.org/officeDocument/2006/relationships/image" Target="media/image929.png"/><Relationship Id="rId937" Type="http://schemas.openxmlformats.org/officeDocument/2006/relationships/image" Target="media/image930.png"/><Relationship Id="rId938" Type="http://schemas.openxmlformats.org/officeDocument/2006/relationships/image" Target="media/image931.png"/><Relationship Id="rId939" Type="http://schemas.openxmlformats.org/officeDocument/2006/relationships/image" Target="media/image932.png"/><Relationship Id="rId940" Type="http://schemas.openxmlformats.org/officeDocument/2006/relationships/image" Target="media/image933.png"/><Relationship Id="rId941" Type="http://schemas.openxmlformats.org/officeDocument/2006/relationships/image" Target="media/image934.png"/><Relationship Id="rId942" Type="http://schemas.openxmlformats.org/officeDocument/2006/relationships/image" Target="media/image935.png"/><Relationship Id="rId943" Type="http://schemas.openxmlformats.org/officeDocument/2006/relationships/image" Target="media/image936.png"/><Relationship Id="rId944" Type="http://schemas.openxmlformats.org/officeDocument/2006/relationships/image" Target="media/image937.png"/><Relationship Id="rId945" Type="http://schemas.openxmlformats.org/officeDocument/2006/relationships/image" Target="media/image938.png"/><Relationship Id="rId946" Type="http://schemas.openxmlformats.org/officeDocument/2006/relationships/image" Target="media/image939.png"/><Relationship Id="rId947" Type="http://schemas.openxmlformats.org/officeDocument/2006/relationships/image" Target="media/image940.png"/><Relationship Id="rId948" Type="http://schemas.openxmlformats.org/officeDocument/2006/relationships/image" Target="media/image941.png"/><Relationship Id="rId949" Type="http://schemas.openxmlformats.org/officeDocument/2006/relationships/image" Target="media/image942.png"/><Relationship Id="rId950" Type="http://schemas.openxmlformats.org/officeDocument/2006/relationships/image" Target="media/image943.png"/><Relationship Id="rId951" Type="http://schemas.openxmlformats.org/officeDocument/2006/relationships/image" Target="media/image944.png"/><Relationship Id="rId952" Type="http://schemas.openxmlformats.org/officeDocument/2006/relationships/image" Target="media/image945.png"/><Relationship Id="rId953" Type="http://schemas.openxmlformats.org/officeDocument/2006/relationships/image" Target="media/image946.png"/><Relationship Id="rId954" Type="http://schemas.openxmlformats.org/officeDocument/2006/relationships/image" Target="media/image947.png"/><Relationship Id="rId955" Type="http://schemas.openxmlformats.org/officeDocument/2006/relationships/image" Target="media/image948.png"/><Relationship Id="rId956" Type="http://schemas.openxmlformats.org/officeDocument/2006/relationships/image" Target="media/image949.png"/><Relationship Id="rId957" Type="http://schemas.openxmlformats.org/officeDocument/2006/relationships/image" Target="media/image950.png"/><Relationship Id="rId958" Type="http://schemas.openxmlformats.org/officeDocument/2006/relationships/image" Target="media/image951.png"/><Relationship Id="rId959" Type="http://schemas.openxmlformats.org/officeDocument/2006/relationships/image" Target="media/image952.png"/><Relationship Id="rId960" Type="http://schemas.openxmlformats.org/officeDocument/2006/relationships/image" Target="media/image953.png"/><Relationship Id="rId961" Type="http://schemas.openxmlformats.org/officeDocument/2006/relationships/image" Target="media/image954.png"/><Relationship Id="rId962" Type="http://schemas.openxmlformats.org/officeDocument/2006/relationships/image" Target="media/image955.png"/><Relationship Id="rId963" Type="http://schemas.openxmlformats.org/officeDocument/2006/relationships/image" Target="media/image956.png"/><Relationship Id="rId964" Type="http://schemas.openxmlformats.org/officeDocument/2006/relationships/image" Target="media/image957.png"/><Relationship Id="rId965" Type="http://schemas.openxmlformats.org/officeDocument/2006/relationships/image" Target="media/image958.png"/><Relationship Id="rId966" Type="http://schemas.openxmlformats.org/officeDocument/2006/relationships/image" Target="media/image959.png"/><Relationship Id="rId967" Type="http://schemas.openxmlformats.org/officeDocument/2006/relationships/image" Target="media/image960.png"/><Relationship Id="rId968" Type="http://schemas.openxmlformats.org/officeDocument/2006/relationships/image" Target="media/image961.png"/><Relationship Id="rId969" Type="http://schemas.openxmlformats.org/officeDocument/2006/relationships/image" Target="media/image962.png"/><Relationship Id="rId970" Type="http://schemas.openxmlformats.org/officeDocument/2006/relationships/image" Target="media/image963.png"/><Relationship Id="rId971" Type="http://schemas.openxmlformats.org/officeDocument/2006/relationships/image" Target="media/image964.png"/><Relationship Id="rId972" Type="http://schemas.openxmlformats.org/officeDocument/2006/relationships/image" Target="media/image965.png"/><Relationship Id="rId973" Type="http://schemas.openxmlformats.org/officeDocument/2006/relationships/image" Target="media/image966.png"/><Relationship Id="rId974" Type="http://schemas.openxmlformats.org/officeDocument/2006/relationships/image" Target="media/image967.png"/><Relationship Id="rId975" Type="http://schemas.openxmlformats.org/officeDocument/2006/relationships/image" Target="media/image968.png"/><Relationship Id="rId976" Type="http://schemas.openxmlformats.org/officeDocument/2006/relationships/image" Target="media/image969.png"/><Relationship Id="rId977" Type="http://schemas.openxmlformats.org/officeDocument/2006/relationships/image" Target="media/image970.png"/><Relationship Id="rId978" Type="http://schemas.openxmlformats.org/officeDocument/2006/relationships/image" Target="media/image971.png"/><Relationship Id="rId979" Type="http://schemas.openxmlformats.org/officeDocument/2006/relationships/image" Target="media/image972.png"/><Relationship Id="rId980" Type="http://schemas.openxmlformats.org/officeDocument/2006/relationships/image" Target="media/image973.png"/><Relationship Id="rId981" Type="http://schemas.openxmlformats.org/officeDocument/2006/relationships/image" Target="media/image974.png"/><Relationship Id="rId982" Type="http://schemas.openxmlformats.org/officeDocument/2006/relationships/image" Target="media/image975.png"/><Relationship Id="rId983" Type="http://schemas.openxmlformats.org/officeDocument/2006/relationships/image" Target="media/image976.png"/><Relationship Id="rId984" Type="http://schemas.openxmlformats.org/officeDocument/2006/relationships/image" Target="media/image977.png"/><Relationship Id="rId985" Type="http://schemas.openxmlformats.org/officeDocument/2006/relationships/image" Target="media/image978.png"/><Relationship Id="rId986" Type="http://schemas.openxmlformats.org/officeDocument/2006/relationships/image" Target="media/image979.png"/><Relationship Id="rId987" Type="http://schemas.openxmlformats.org/officeDocument/2006/relationships/image" Target="media/image980.png"/><Relationship Id="rId988" Type="http://schemas.openxmlformats.org/officeDocument/2006/relationships/image" Target="media/image981.png"/><Relationship Id="rId989" Type="http://schemas.openxmlformats.org/officeDocument/2006/relationships/image" Target="media/image982.png"/><Relationship Id="rId990" Type="http://schemas.openxmlformats.org/officeDocument/2006/relationships/image" Target="media/image983.png"/><Relationship Id="rId991" Type="http://schemas.openxmlformats.org/officeDocument/2006/relationships/image" Target="media/image984.png"/><Relationship Id="rId992" Type="http://schemas.openxmlformats.org/officeDocument/2006/relationships/image" Target="media/image985.png"/><Relationship Id="rId993" Type="http://schemas.openxmlformats.org/officeDocument/2006/relationships/image" Target="media/image986.png"/><Relationship Id="rId994" Type="http://schemas.openxmlformats.org/officeDocument/2006/relationships/image" Target="media/image987.png"/><Relationship Id="rId995" Type="http://schemas.openxmlformats.org/officeDocument/2006/relationships/image" Target="media/image988.png"/><Relationship Id="rId996" Type="http://schemas.openxmlformats.org/officeDocument/2006/relationships/image" Target="media/image989.png"/><Relationship Id="rId997" Type="http://schemas.openxmlformats.org/officeDocument/2006/relationships/image" Target="media/image990.png"/><Relationship Id="rId998" Type="http://schemas.openxmlformats.org/officeDocument/2006/relationships/image" Target="media/image991.png"/><Relationship Id="rId999" Type="http://schemas.openxmlformats.org/officeDocument/2006/relationships/image" Target="media/image992.png"/><Relationship Id="rId1000" Type="http://schemas.openxmlformats.org/officeDocument/2006/relationships/image" Target="media/image993.png"/><Relationship Id="rId1001" Type="http://schemas.openxmlformats.org/officeDocument/2006/relationships/image" Target="media/image994.png"/><Relationship Id="rId1002" Type="http://schemas.openxmlformats.org/officeDocument/2006/relationships/image" Target="media/image995.png"/><Relationship Id="rId1003" Type="http://schemas.openxmlformats.org/officeDocument/2006/relationships/image" Target="media/image996.png"/><Relationship Id="rId1004" Type="http://schemas.openxmlformats.org/officeDocument/2006/relationships/image" Target="media/image997.png"/><Relationship Id="rId1005" Type="http://schemas.openxmlformats.org/officeDocument/2006/relationships/image" Target="media/image998.png"/><Relationship Id="rId1006" Type="http://schemas.openxmlformats.org/officeDocument/2006/relationships/image" Target="media/image999.png"/><Relationship Id="rId1007" Type="http://schemas.openxmlformats.org/officeDocument/2006/relationships/image" Target="media/image1000.png"/><Relationship Id="rId1008" Type="http://schemas.openxmlformats.org/officeDocument/2006/relationships/image" Target="media/image1001.png"/><Relationship Id="rId1009" Type="http://schemas.openxmlformats.org/officeDocument/2006/relationships/image" Target="media/image1002.png"/><Relationship Id="rId1010" Type="http://schemas.openxmlformats.org/officeDocument/2006/relationships/image" Target="media/image1003.png"/><Relationship Id="rId1011" Type="http://schemas.openxmlformats.org/officeDocument/2006/relationships/image" Target="media/image1004.png"/><Relationship Id="rId1012" Type="http://schemas.openxmlformats.org/officeDocument/2006/relationships/image" Target="media/image1005.png"/><Relationship Id="rId1013" Type="http://schemas.openxmlformats.org/officeDocument/2006/relationships/image" Target="media/image1006.png"/><Relationship Id="rId1014" Type="http://schemas.openxmlformats.org/officeDocument/2006/relationships/image" Target="media/image1007.png"/><Relationship Id="rId1015" Type="http://schemas.openxmlformats.org/officeDocument/2006/relationships/image" Target="media/image1008.png"/><Relationship Id="rId1016" Type="http://schemas.openxmlformats.org/officeDocument/2006/relationships/image" Target="media/image1009.png"/><Relationship Id="rId1017" Type="http://schemas.openxmlformats.org/officeDocument/2006/relationships/image" Target="media/image1010.png"/><Relationship Id="rId1018" Type="http://schemas.openxmlformats.org/officeDocument/2006/relationships/image" Target="media/image1011.png"/><Relationship Id="rId1019" Type="http://schemas.openxmlformats.org/officeDocument/2006/relationships/image" Target="media/image1012.png"/><Relationship Id="rId1020" Type="http://schemas.openxmlformats.org/officeDocument/2006/relationships/image" Target="media/image1013.png"/><Relationship Id="rId1021" Type="http://schemas.openxmlformats.org/officeDocument/2006/relationships/image" Target="media/image1014.png"/><Relationship Id="rId1022" Type="http://schemas.openxmlformats.org/officeDocument/2006/relationships/image" Target="media/image1015.png"/><Relationship Id="rId1023" Type="http://schemas.openxmlformats.org/officeDocument/2006/relationships/image" Target="media/image1016.png"/><Relationship Id="rId1024" Type="http://schemas.openxmlformats.org/officeDocument/2006/relationships/image" Target="media/image1017.png"/><Relationship Id="rId1025" Type="http://schemas.openxmlformats.org/officeDocument/2006/relationships/image" Target="media/image1018.png"/><Relationship Id="rId1026" Type="http://schemas.openxmlformats.org/officeDocument/2006/relationships/image" Target="media/image1019.png"/><Relationship Id="rId1027" Type="http://schemas.openxmlformats.org/officeDocument/2006/relationships/image" Target="media/image1020.png"/><Relationship Id="rId1028" Type="http://schemas.openxmlformats.org/officeDocument/2006/relationships/image" Target="media/image1021.png"/><Relationship Id="rId1029" Type="http://schemas.openxmlformats.org/officeDocument/2006/relationships/image" Target="media/image1022.png"/><Relationship Id="rId1030" Type="http://schemas.openxmlformats.org/officeDocument/2006/relationships/image" Target="media/image1023.png"/><Relationship Id="rId1031" Type="http://schemas.openxmlformats.org/officeDocument/2006/relationships/image" Target="media/image1024.png"/><Relationship Id="rId1032" Type="http://schemas.openxmlformats.org/officeDocument/2006/relationships/image" Target="media/image1025.png"/><Relationship Id="rId1033" Type="http://schemas.openxmlformats.org/officeDocument/2006/relationships/image" Target="media/image1026.png"/><Relationship Id="rId1034" Type="http://schemas.openxmlformats.org/officeDocument/2006/relationships/image" Target="media/image1027.png"/><Relationship Id="rId1035" Type="http://schemas.openxmlformats.org/officeDocument/2006/relationships/image" Target="media/image1028.png"/><Relationship Id="rId1036" Type="http://schemas.openxmlformats.org/officeDocument/2006/relationships/image" Target="media/image1029.png"/><Relationship Id="rId1037" Type="http://schemas.openxmlformats.org/officeDocument/2006/relationships/image" Target="media/image1030.png"/><Relationship Id="rId1038" Type="http://schemas.openxmlformats.org/officeDocument/2006/relationships/image" Target="media/image1031.png"/><Relationship Id="rId1039" Type="http://schemas.openxmlformats.org/officeDocument/2006/relationships/image" Target="media/image1032.png"/><Relationship Id="rId1040" Type="http://schemas.openxmlformats.org/officeDocument/2006/relationships/image" Target="media/image1033.png"/><Relationship Id="rId1041" Type="http://schemas.openxmlformats.org/officeDocument/2006/relationships/image" Target="media/image1034.png"/><Relationship Id="rId1042" Type="http://schemas.openxmlformats.org/officeDocument/2006/relationships/image" Target="media/image1035.png"/><Relationship Id="rId1043" Type="http://schemas.openxmlformats.org/officeDocument/2006/relationships/image" Target="media/image1036.png"/><Relationship Id="rId1044" Type="http://schemas.openxmlformats.org/officeDocument/2006/relationships/image" Target="media/image1037.png"/><Relationship Id="rId1045" Type="http://schemas.openxmlformats.org/officeDocument/2006/relationships/image" Target="media/image1038.png"/><Relationship Id="rId1046" Type="http://schemas.openxmlformats.org/officeDocument/2006/relationships/image" Target="media/image1039.png"/><Relationship Id="rId1047" Type="http://schemas.openxmlformats.org/officeDocument/2006/relationships/image" Target="media/image1040.png"/><Relationship Id="rId1048" Type="http://schemas.openxmlformats.org/officeDocument/2006/relationships/image" Target="media/image1041.png"/><Relationship Id="rId1049" Type="http://schemas.openxmlformats.org/officeDocument/2006/relationships/image" Target="media/image1042.png"/><Relationship Id="rId1050" Type="http://schemas.openxmlformats.org/officeDocument/2006/relationships/image" Target="media/image1043.png"/><Relationship Id="rId1051" Type="http://schemas.openxmlformats.org/officeDocument/2006/relationships/image" Target="media/image1044.png"/><Relationship Id="rId1052" Type="http://schemas.openxmlformats.org/officeDocument/2006/relationships/image" Target="media/image1045.png"/><Relationship Id="rId1053" Type="http://schemas.openxmlformats.org/officeDocument/2006/relationships/image" Target="media/image1046.png"/><Relationship Id="rId1054" Type="http://schemas.openxmlformats.org/officeDocument/2006/relationships/image" Target="media/image1047.png"/><Relationship Id="rId1055" Type="http://schemas.openxmlformats.org/officeDocument/2006/relationships/image" Target="media/image1048.png"/><Relationship Id="rId1056" Type="http://schemas.openxmlformats.org/officeDocument/2006/relationships/image" Target="media/image1049.png"/><Relationship Id="rId1057" Type="http://schemas.openxmlformats.org/officeDocument/2006/relationships/image" Target="media/image1050.png"/><Relationship Id="rId1058" Type="http://schemas.openxmlformats.org/officeDocument/2006/relationships/image" Target="media/image1051.png"/><Relationship Id="rId1059" Type="http://schemas.openxmlformats.org/officeDocument/2006/relationships/image" Target="media/image1052.png"/><Relationship Id="rId1060" Type="http://schemas.openxmlformats.org/officeDocument/2006/relationships/image" Target="media/image1053.png"/><Relationship Id="rId1061" Type="http://schemas.openxmlformats.org/officeDocument/2006/relationships/image" Target="media/image1054.png"/><Relationship Id="rId1062" Type="http://schemas.openxmlformats.org/officeDocument/2006/relationships/image" Target="media/image1055.png"/><Relationship Id="rId1063" Type="http://schemas.openxmlformats.org/officeDocument/2006/relationships/image" Target="media/image1056.png"/><Relationship Id="rId1064" Type="http://schemas.openxmlformats.org/officeDocument/2006/relationships/image" Target="media/image1057.png"/><Relationship Id="rId1065" Type="http://schemas.openxmlformats.org/officeDocument/2006/relationships/image" Target="media/image1058.png"/><Relationship Id="rId1066" Type="http://schemas.openxmlformats.org/officeDocument/2006/relationships/image" Target="media/image1059.png"/><Relationship Id="rId1067" Type="http://schemas.openxmlformats.org/officeDocument/2006/relationships/image" Target="media/image1060.png"/><Relationship Id="rId1068" Type="http://schemas.openxmlformats.org/officeDocument/2006/relationships/image" Target="media/image1061.png"/><Relationship Id="rId1069" Type="http://schemas.openxmlformats.org/officeDocument/2006/relationships/image" Target="media/image1062.png"/><Relationship Id="rId1070" Type="http://schemas.openxmlformats.org/officeDocument/2006/relationships/image" Target="media/image1063.png"/><Relationship Id="rId1071" Type="http://schemas.openxmlformats.org/officeDocument/2006/relationships/image" Target="media/image1064.png"/><Relationship Id="rId1072" Type="http://schemas.openxmlformats.org/officeDocument/2006/relationships/image" Target="media/image1065.png"/><Relationship Id="rId1073" Type="http://schemas.openxmlformats.org/officeDocument/2006/relationships/image" Target="media/image1066.png"/><Relationship Id="rId1074" Type="http://schemas.openxmlformats.org/officeDocument/2006/relationships/image" Target="media/image1067.png"/><Relationship Id="rId1075" Type="http://schemas.openxmlformats.org/officeDocument/2006/relationships/image" Target="media/image1068.png"/><Relationship Id="rId1076" Type="http://schemas.openxmlformats.org/officeDocument/2006/relationships/image" Target="media/image1069.png"/><Relationship Id="rId1077" Type="http://schemas.openxmlformats.org/officeDocument/2006/relationships/image" Target="media/image1070.png"/><Relationship Id="rId1078" Type="http://schemas.openxmlformats.org/officeDocument/2006/relationships/image" Target="media/image1071.png"/><Relationship Id="rId1079" Type="http://schemas.openxmlformats.org/officeDocument/2006/relationships/image" Target="media/image1072.png"/><Relationship Id="rId1080" Type="http://schemas.openxmlformats.org/officeDocument/2006/relationships/image" Target="media/image1073.png"/><Relationship Id="rId1081" Type="http://schemas.openxmlformats.org/officeDocument/2006/relationships/image" Target="media/image1074.png"/><Relationship Id="rId1082" Type="http://schemas.openxmlformats.org/officeDocument/2006/relationships/image" Target="media/image1075.png"/><Relationship Id="rId1083" Type="http://schemas.openxmlformats.org/officeDocument/2006/relationships/image" Target="media/image1076.png"/><Relationship Id="rId1084" Type="http://schemas.openxmlformats.org/officeDocument/2006/relationships/image" Target="media/image1077.png"/><Relationship Id="rId1085" Type="http://schemas.openxmlformats.org/officeDocument/2006/relationships/image" Target="media/image1078.png"/><Relationship Id="rId1086" Type="http://schemas.openxmlformats.org/officeDocument/2006/relationships/image" Target="media/image1079.png"/><Relationship Id="rId1087" Type="http://schemas.openxmlformats.org/officeDocument/2006/relationships/image" Target="media/image1080.png"/><Relationship Id="rId1088" Type="http://schemas.openxmlformats.org/officeDocument/2006/relationships/image" Target="media/image1081.png"/><Relationship Id="rId1089" Type="http://schemas.openxmlformats.org/officeDocument/2006/relationships/image" Target="media/image1082.png"/><Relationship Id="rId1090" Type="http://schemas.openxmlformats.org/officeDocument/2006/relationships/image" Target="media/image1083.png"/><Relationship Id="rId1091" Type="http://schemas.openxmlformats.org/officeDocument/2006/relationships/image" Target="media/image1084.png"/><Relationship Id="rId1092" Type="http://schemas.openxmlformats.org/officeDocument/2006/relationships/image" Target="media/image1085.png"/><Relationship Id="rId1093" Type="http://schemas.openxmlformats.org/officeDocument/2006/relationships/image" Target="media/image1086.png"/><Relationship Id="rId1094" Type="http://schemas.openxmlformats.org/officeDocument/2006/relationships/image" Target="media/image1087.png"/><Relationship Id="rId1095" Type="http://schemas.openxmlformats.org/officeDocument/2006/relationships/image" Target="media/image1088.png"/><Relationship Id="rId1096" Type="http://schemas.openxmlformats.org/officeDocument/2006/relationships/image" Target="media/image1089.png"/><Relationship Id="rId1097" Type="http://schemas.openxmlformats.org/officeDocument/2006/relationships/image" Target="media/image1090.png"/><Relationship Id="rId1098" Type="http://schemas.openxmlformats.org/officeDocument/2006/relationships/image" Target="media/image1091.png"/><Relationship Id="rId1099" Type="http://schemas.openxmlformats.org/officeDocument/2006/relationships/image" Target="media/image1092.png"/><Relationship Id="rId1100" Type="http://schemas.openxmlformats.org/officeDocument/2006/relationships/image" Target="media/image1093.png"/><Relationship Id="rId1101" Type="http://schemas.openxmlformats.org/officeDocument/2006/relationships/image" Target="media/image1094.png"/><Relationship Id="rId1102" Type="http://schemas.openxmlformats.org/officeDocument/2006/relationships/image" Target="media/image1095.png"/><Relationship Id="rId1103" Type="http://schemas.openxmlformats.org/officeDocument/2006/relationships/image" Target="media/image1096.png"/><Relationship Id="rId1104" Type="http://schemas.openxmlformats.org/officeDocument/2006/relationships/image" Target="media/image1097.png"/><Relationship Id="rId1105" Type="http://schemas.openxmlformats.org/officeDocument/2006/relationships/image" Target="media/image1098.png"/><Relationship Id="rId1106" Type="http://schemas.openxmlformats.org/officeDocument/2006/relationships/image" Target="media/image1099.png"/><Relationship Id="rId1107" Type="http://schemas.openxmlformats.org/officeDocument/2006/relationships/image" Target="media/image1100.png"/><Relationship Id="rId1108" Type="http://schemas.openxmlformats.org/officeDocument/2006/relationships/image" Target="media/image1101.png"/><Relationship Id="rId1109" Type="http://schemas.openxmlformats.org/officeDocument/2006/relationships/image" Target="media/image1102.png"/><Relationship Id="rId1110" Type="http://schemas.openxmlformats.org/officeDocument/2006/relationships/image" Target="media/image1103.png"/><Relationship Id="rId1111" Type="http://schemas.openxmlformats.org/officeDocument/2006/relationships/image" Target="media/image1104.png"/><Relationship Id="rId1112" Type="http://schemas.openxmlformats.org/officeDocument/2006/relationships/image" Target="media/image1105.png"/><Relationship Id="rId1113" Type="http://schemas.openxmlformats.org/officeDocument/2006/relationships/image" Target="media/image1106.png"/><Relationship Id="rId1114" Type="http://schemas.openxmlformats.org/officeDocument/2006/relationships/image" Target="media/image1107.png"/><Relationship Id="rId1115" Type="http://schemas.openxmlformats.org/officeDocument/2006/relationships/image" Target="media/image1108.png"/><Relationship Id="rId1116" Type="http://schemas.openxmlformats.org/officeDocument/2006/relationships/image" Target="media/image1109.png"/><Relationship Id="rId1117" Type="http://schemas.openxmlformats.org/officeDocument/2006/relationships/image" Target="media/image1110.png"/><Relationship Id="rId1118" Type="http://schemas.openxmlformats.org/officeDocument/2006/relationships/image" Target="media/image1111.png"/><Relationship Id="rId1119" Type="http://schemas.openxmlformats.org/officeDocument/2006/relationships/image" Target="media/image1112.png"/><Relationship Id="rId1120" Type="http://schemas.openxmlformats.org/officeDocument/2006/relationships/image" Target="media/image1113.png"/><Relationship Id="rId1121" Type="http://schemas.openxmlformats.org/officeDocument/2006/relationships/image" Target="media/image1114.png"/><Relationship Id="rId1122" Type="http://schemas.openxmlformats.org/officeDocument/2006/relationships/image" Target="media/image1115.png"/><Relationship Id="rId1123" Type="http://schemas.openxmlformats.org/officeDocument/2006/relationships/image" Target="media/image1116.png"/><Relationship Id="rId1124" Type="http://schemas.openxmlformats.org/officeDocument/2006/relationships/image" Target="media/image1117.png"/><Relationship Id="rId1125" Type="http://schemas.openxmlformats.org/officeDocument/2006/relationships/image" Target="media/image1118.png"/><Relationship Id="rId1126" Type="http://schemas.openxmlformats.org/officeDocument/2006/relationships/image" Target="media/image1119.png"/><Relationship Id="rId1127" Type="http://schemas.openxmlformats.org/officeDocument/2006/relationships/image" Target="media/image1120.png"/><Relationship Id="rId1128" Type="http://schemas.openxmlformats.org/officeDocument/2006/relationships/image" Target="media/image1121.png"/><Relationship Id="rId1129" Type="http://schemas.openxmlformats.org/officeDocument/2006/relationships/image" Target="media/image1122.png"/><Relationship Id="rId1130" Type="http://schemas.openxmlformats.org/officeDocument/2006/relationships/image" Target="media/image1123.png"/><Relationship Id="rId1131" Type="http://schemas.openxmlformats.org/officeDocument/2006/relationships/image" Target="media/image1124.png"/><Relationship Id="rId1132" Type="http://schemas.openxmlformats.org/officeDocument/2006/relationships/image" Target="media/image1125.png"/><Relationship Id="rId1133" Type="http://schemas.openxmlformats.org/officeDocument/2006/relationships/image" Target="media/image1126.png"/><Relationship Id="rId1134" Type="http://schemas.openxmlformats.org/officeDocument/2006/relationships/image" Target="media/image1127.png"/><Relationship Id="rId1135" Type="http://schemas.openxmlformats.org/officeDocument/2006/relationships/image" Target="media/image1128.png"/><Relationship Id="rId1136" Type="http://schemas.openxmlformats.org/officeDocument/2006/relationships/image" Target="media/image1129.png"/><Relationship Id="rId1137" Type="http://schemas.openxmlformats.org/officeDocument/2006/relationships/image" Target="media/image1130.png"/><Relationship Id="rId1138" Type="http://schemas.openxmlformats.org/officeDocument/2006/relationships/image" Target="media/image1131.png"/><Relationship Id="rId1139" Type="http://schemas.openxmlformats.org/officeDocument/2006/relationships/image" Target="media/image1132.png"/><Relationship Id="rId1140" Type="http://schemas.openxmlformats.org/officeDocument/2006/relationships/image" Target="media/image1133.png"/><Relationship Id="rId1141" Type="http://schemas.openxmlformats.org/officeDocument/2006/relationships/image" Target="media/image1134.png"/><Relationship Id="rId1142" Type="http://schemas.openxmlformats.org/officeDocument/2006/relationships/image" Target="media/image1135.png"/><Relationship Id="rId1143" Type="http://schemas.openxmlformats.org/officeDocument/2006/relationships/image" Target="media/image1136.png"/><Relationship Id="rId1144" Type="http://schemas.openxmlformats.org/officeDocument/2006/relationships/image" Target="media/image1137.png"/><Relationship Id="rId1145" Type="http://schemas.openxmlformats.org/officeDocument/2006/relationships/image" Target="media/image1138.png"/><Relationship Id="rId1146" Type="http://schemas.openxmlformats.org/officeDocument/2006/relationships/image" Target="media/image1139.png"/><Relationship Id="rId1147" Type="http://schemas.openxmlformats.org/officeDocument/2006/relationships/image" Target="media/image1140.png"/><Relationship Id="rId1148" Type="http://schemas.openxmlformats.org/officeDocument/2006/relationships/image" Target="media/image1141.png"/><Relationship Id="rId1149" Type="http://schemas.openxmlformats.org/officeDocument/2006/relationships/image" Target="media/image1142.png"/><Relationship Id="rId1150" Type="http://schemas.openxmlformats.org/officeDocument/2006/relationships/image" Target="media/image1143.png"/><Relationship Id="rId1151" Type="http://schemas.openxmlformats.org/officeDocument/2006/relationships/image" Target="media/image1144.png"/><Relationship Id="rId1152" Type="http://schemas.openxmlformats.org/officeDocument/2006/relationships/image" Target="media/image1145.png"/><Relationship Id="rId1153" Type="http://schemas.openxmlformats.org/officeDocument/2006/relationships/image" Target="media/image1146.png"/><Relationship Id="rId1154" Type="http://schemas.openxmlformats.org/officeDocument/2006/relationships/image" Target="media/image1147.png"/><Relationship Id="rId1155" Type="http://schemas.openxmlformats.org/officeDocument/2006/relationships/image" Target="media/image1148.png"/><Relationship Id="rId1156" Type="http://schemas.openxmlformats.org/officeDocument/2006/relationships/image" Target="media/image1149.png"/><Relationship Id="rId1157" Type="http://schemas.openxmlformats.org/officeDocument/2006/relationships/image" Target="media/image1150.png"/><Relationship Id="rId1158" Type="http://schemas.openxmlformats.org/officeDocument/2006/relationships/image" Target="media/image1151.png"/><Relationship Id="rId1159" Type="http://schemas.openxmlformats.org/officeDocument/2006/relationships/image" Target="media/image1152.png"/><Relationship Id="rId1160" Type="http://schemas.openxmlformats.org/officeDocument/2006/relationships/image" Target="media/image1153.png"/><Relationship Id="rId1161" Type="http://schemas.openxmlformats.org/officeDocument/2006/relationships/image" Target="media/image1154.png"/><Relationship Id="rId1162" Type="http://schemas.openxmlformats.org/officeDocument/2006/relationships/image" Target="media/image1155.png"/><Relationship Id="rId1163" Type="http://schemas.openxmlformats.org/officeDocument/2006/relationships/image" Target="media/image1156.png"/><Relationship Id="rId1164" Type="http://schemas.openxmlformats.org/officeDocument/2006/relationships/image" Target="media/image1157.png"/><Relationship Id="rId1165" Type="http://schemas.openxmlformats.org/officeDocument/2006/relationships/image" Target="media/image1158.png"/><Relationship Id="rId1166" Type="http://schemas.openxmlformats.org/officeDocument/2006/relationships/image" Target="media/image1159.png"/><Relationship Id="rId1167" Type="http://schemas.openxmlformats.org/officeDocument/2006/relationships/image" Target="media/image1160.png"/><Relationship Id="rId1168" Type="http://schemas.openxmlformats.org/officeDocument/2006/relationships/image" Target="media/image1161.png"/><Relationship Id="rId1169" Type="http://schemas.openxmlformats.org/officeDocument/2006/relationships/image" Target="media/image1162.png"/><Relationship Id="rId1170" Type="http://schemas.openxmlformats.org/officeDocument/2006/relationships/image" Target="media/image1163.png"/><Relationship Id="rId1171" Type="http://schemas.openxmlformats.org/officeDocument/2006/relationships/image" Target="media/image1164.png"/><Relationship Id="rId1172" Type="http://schemas.openxmlformats.org/officeDocument/2006/relationships/image" Target="media/image1165.png"/><Relationship Id="rId1173" Type="http://schemas.openxmlformats.org/officeDocument/2006/relationships/image" Target="media/image1166.png"/><Relationship Id="rId1174" Type="http://schemas.openxmlformats.org/officeDocument/2006/relationships/image" Target="media/image1167.png"/><Relationship Id="rId1175" Type="http://schemas.openxmlformats.org/officeDocument/2006/relationships/image" Target="media/image1168.png"/><Relationship Id="rId1176" Type="http://schemas.openxmlformats.org/officeDocument/2006/relationships/image" Target="media/image1169.png"/><Relationship Id="rId1177" Type="http://schemas.openxmlformats.org/officeDocument/2006/relationships/image" Target="media/image1170.png"/><Relationship Id="rId1178" Type="http://schemas.openxmlformats.org/officeDocument/2006/relationships/image" Target="media/image1171.png"/><Relationship Id="rId1179" Type="http://schemas.openxmlformats.org/officeDocument/2006/relationships/image" Target="media/image1172.png"/><Relationship Id="rId1180" Type="http://schemas.openxmlformats.org/officeDocument/2006/relationships/image" Target="media/image1173.png"/><Relationship Id="rId1181" Type="http://schemas.openxmlformats.org/officeDocument/2006/relationships/image" Target="media/image1174.png"/><Relationship Id="rId1182" Type="http://schemas.openxmlformats.org/officeDocument/2006/relationships/image" Target="media/image1175.png"/><Relationship Id="rId1183" Type="http://schemas.openxmlformats.org/officeDocument/2006/relationships/image" Target="media/image1176.png"/><Relationship Id="rId1184" Type="http://schemas.openxmlformats.org/officeDocument/2006/relationships/image" Target="media/image1177.png"/><Relationship Id="rId1185" Type="http://schemas.openxmlformats.org/officeDocument/2006/relationships/image" Target="media/image1178.png"/><Relationship Id="rId1186" Type="http://schemas.openxmlformats.org/officeDocument/2006/relationships/image" Target="media/image1179.png"/><Relationship Id="rId1187" Type="http://schemas.openxmlformats.org/officeDocument/2006/relationships/image" Target="media/image1180.png"/><Relationship Id="rId1188" Type="http://schemas.openxmlformats.org/officeDocument/2006/relationships/image" Target="media/image1181.png"/><Relationship Id="rId1189" Type="http://schemas.openxmlformats.org/officeDocument/2006/relationships/image" Target="media/image1182.png"/><Relationship Id="rId1190" Type="http://schemas.openxmlformats.org/officeDocument/2006/relationships/image" Target="media/image1183.png"/><Relationship Id="rId1191" Type="http://schemas.openxmlformats.org/officeDocument/2006/relationships/image" Target="media/image1184.png"/><Relationship Id="rId1192" Type="http://schemas.openxmlformats.org/officeDocument/2006/relationships/image" Target="media/image1185.png"/><Relationship Id="rId1193" Type="http://schemas.openxmlformats.org/officeDocument/2006/relationships/image" Target="media/image1186.png"/><Relationship Id="rId1194" Type="http://schemas.openxmlformats.org/officeDocument/2006/relationships/image" Target="media/image1187.png"/><Relationship Id="rId1195" Type="http://schemas.openxmlformats.org/officeDocument/2006/relationships/image" Target="media/image1188.png"/><Relationship Id="rId1196" Type="http://schemas.openxmlformats.org/officeDocument/2006/relationships/image" Target="media/image1189.png"/><Relationship Id="rId1197" Type="http://schemas.openxmlformats.org/officeDocument/2006/relationships/image" Target="media/image1190.png"/><Relationship Id="rId1198" Type="http://schemas.openxmlformats.org/officeDocument/2006/relationships/image" Target="media/image1191.png"/><Relationship Id="rId1199" Type="http://schemas.openxmlformats.org/officeDocument/2006/relationships/image" Target="media/image1192.png"/><Relationship Id="rId1200" Type="http://schemas.openxmlformats.org/officeDocument/2006/relationships/image" Target="media/image1193.png"/><Relationship Id="rId1201" Type="http://schemas.openxmlformats.org/officeDocument/2006/relationships/image" Target="media/image1194.png"/><Relationship Id="rId1202" Type="http://schemas.openxmlformats.org/officeDocument/2006/relationships/image" Target="media/image1195.png"/><Relationship Id="rId1203" Type="http://schemas.openxmlformats.org/officeDocument/2006/relationships/image" Target="media/image1196.png"/><Relationship Id="rId1204" Type="http://schemas.openxmlformats.org/officeDocument/2006/relationships/image" Target="media/image1197.png"/><Relationship Id="rId1205" Type="http://schemas.openxmlformats.org/officeDocument/2006/relationships/image" Target="media/image1198.png"/><Relationship Id="rId1206" Type="http://schemas.openxmlformats.org/officeDocument/2006/relationships/image" Target="media/image1199.png"/><Relationship Id="rId1207" Type="http://schemas.openxmlformats.org/officeDocument/2006/relationships/image" Target="media/image1200.png"/><Relationship Id="rId1208" Type="http://schemas.openxmlformats.org/officeDocument/2006/relationships/image" Target="media/image1201.png"/><Relationship Id="rId1209" Type="http://schemas.openxmlformats.org/officeDocument/2006/relationships/image" Target="media/image1202.png"/><Relationship Id="rId1210" Type="http://schemas.openxmlformats.org/officeDocument/2006/relationships/image" Target="media/image1203.png"/><Relationship Id="rId1211" Type="http://schemas.openxmlformats.org/officeDocument/2006/relationships/image" Target="media/image1204.png"/><Relationship Id="rId1212" Type="http://schemas.openxmlformats.org/officeDocument/2006/relationships/image" Target="media/image1205.png"/><Relationship Id="rId1213" Type="http://schemas.openxmlformats.org/officeDocument/2006/relationships/image" Target="media/image1206.png"/><Relationship Id="rId1214" Type="http://schemas.openxmlformats.org/officeDocument/2006/relationships/image" Target="media/image1207.png"/><Relationship Id="rId1215" Type="http://schemas.openxmlformats.org/officeDocument/2006/relationships/image" Target="media/image1208.png"/><Relationship Id="rId1216" Type="http://schemas.openxmlformats.org/officeDocument/2006/relationships/image" Target="media/image1209.png"/><Relationship Id="rId1217" Type="http://schemas.openxmlformats.org/officeDocument/2006/relationships/image" Target="media/image1210.png"/><Relationship Id="rId1218" Type="http://schemas.openxmlformats.org/officeDocument/2006/relationships/image" Target="media/image1211.png"/><Relationship Id="rId1219" Type="http://schemas.openxmlformats.org/officeDocument/2006/relationships/image" Target="media/image1212.png"/><Relationship Id="rId1220" Type="http://schemas.openxmlformats.org/officeDocument/2006/relationships/image" Target="media/image1213.png"/><Relationship Id="rId1221" Type="http://schemas.openxmlformats.org/officeDocument/2006/relationships/image" Target="media/image1214.png"/><Relationship Id="rId1222" Type="http://schemas.openxmlformats.org/officeDocument/2006/relationships/image" Target="media/image1215.png"/><Relationship Id="rId1223" Type="http://schemas.openxmlformats.org/officeDocument/2006/relationships/image" Target="media/image1216.png"/><Relationship Id="rId1224" Type="http://schemas.openxmlformats.org/officeDocument/2006/relationships/image" Target="media/image1217.png"/><Relationship Id="rId1225" Type="http://schemas.openxmlformats.org/officeDocument/2006/relationships/image" Target="media/image1218.png"/><Relationship Id="rId1226" Type="http://schemas.openxmlformats.org/officeDocument/2006/relationships/image" Target="media/image1219.png"/><Relationship Id="rId1227" Type="http://schemas.openxmlformats.org/officeDocument/2006/relationships/image" Target="media/image1220.png"/><Relationship Id="rId1228" Type="http://schemas.openxmlformats.org/officeDocument/2006/relationships/image" Target="media/image1221.png"/><Relationship Id="rId1229" Type="http://schemas.openxmlformats.org/officeDocument/2006/relationships/image" Target="media/image1222.png"/><Relationship Id="rId1230" Type="http://schemas.openxmlformats.org/officeDocument/2006/relationships/image" Target="media/image1223.png"/><Relationship Id="rId1231" Type="http://schemas.openxmlformats.org/officeDocument/2006/relationships/image" Target="media/image1224.png"/><Relationship Id="rId1232" Type="http://schemas.openxmlformats.org/officeDocument/2006/relationships/image" Target="media/image1225.png"/><Relationship Id="rId1233" Type="http://schemas.openxmlformats.org/officeDocument/2006/relationships/image" Target="media/image1226.png"/><Relationship Id="rId1234" Type="http://schemas.openxmlformats.org/officeDocument/2006/relationships/image" Target="media/image1227.png"/><Relationship Id="rId1235" Type="http://schemas.openxmlformats.org/officeDocument/2006/relationships/image" Target="media/image1228.png"/><Relationship Id="rId1236" Type="http://schemas.openxmlformats.org/officeDocument/2006/relationships/image" Target="media/image1229.png"/><Relationship Id="rId1237" Type="http://schemas.openxmlformats.org/officeDocument/2006/relationships/image" Target="media/image1230.png"/><Relationship Id="rId1238" Type="http://schemas.openxmlformats.org/officeDocument/2006/relationships/image" Target="media/image1231.png"/><Relationship Id="rId1239" Type="http://schemas.openxmlformats.org/officeDocument/2006/relationships/image" Target="media/image1232.png"/><Relationship Id="rId1240" Type="http://schemas.openxmlformats.org/officeDocument/2006/relationships/image" Target="media/image1233.png"/><Relationship Id="rId1241" Type="http://schemas.openxmlformats.org/officeDocument/2006/relationships/image" Target="media/image1234.png"/><Relationship Id="rId1242" Type="http://schemas.openxmlformats.org/officeDocument/2006/relationships/image" Target="media/image1235.png"/><Relationship Id="rId1243" Type="http://schemas.openxmlformats.org/officeDocument/2006/relationships/image" Target="media/image1236.png"/><Relationship Id="rId1244" Type="http://schemas.openxmlformats.org/officeDocument/2006/relationships/image" Target="media/image1237.png"/><Relationship Id="rId1245" Type="http://schemas.openxmlformats.org/officeDocument/2006/relationships/image" Target="media/image1238.png"/><Relationship Id="rId1246" Type="http://schemas.openxmlformats.org/officeDocument/2006/relationships/image" Target="media/image1239.png"/><Relationship Id="rId1247" Type="http://schemas.openxmlformats.org/officeDocument/2006/relationships/image" Target="media/image1240.png"/><Relationship Id="rId1248" Type="http://schemas.openxmlformats.org/officeDocument/2006/relationships/image" Target="media/image1241.png"/><Relationship Id="rId1249" Type="http://schemas.openxmlformats.org/officeDocument/2006/relationships/image" Target="media/image1242.png"/><Relationship Id="rId1250" Type="http://schemas.openxmlformats.org/officeDocument/2006/relationships/image" Target="media/image1243.png"/><Relationship Id="rId1251" Type="http://schemas.openxmlformats.org/officeDocument/2006/relationships/image" Target="media/image124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2019-12-14T19:02:27Z</dcterms:created>
  <dcterms:modified xsi:type="dcterms:W3CDTF">2019-12-14T19:02:27Z</dcterms:modified>
</cp:coreProperties>
</file>