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color w:val="auto"/>
        </w:rPr>
        <w:t>As filed with the Securities and Exchange Commission on April 14, 2005.</w:t>
      </w:r>
    </w:p>
    <w:p>
      <w:pPr>
        <w:spacing w:after="0" w:line="225" w:lineRule="exact"/>
        <w:rPr>
          <w:sz w:val="24"/>
          <w:szCs w:val="24"/>
          <w:color w:val="auto"/>
        </w:rPr>
      </w:pPr>
    </w:p>
    <w:p>
      <w:pPr>
        <w:ind w:left="9400"/>
        <w:spacing w:after="0"/>
        <w:rPr>
          <w:sz w:val="20"/>
          <w:szCs w:val="20"/>
          <w:color w:val="auto"/>
        </w:rPr>
      </w:pPr>
      <w:r>
        <w:rPr>
          <w:rFonts w:ascii="Arial" w:cs="Arial" w:eastAsia="Arial" w:hAnsi="Arial"/>
          <w:sz w:val="18"/>
          <w:szCs w:val="18"/>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83185</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spacing w:after="0" w:line="340"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226"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REGISTRATION STATEMENT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Under</w:t>
      </w:r>
    </w:p>
    <w:p>
      <w:pPr>
        <w:jc w:val="center"/>
        <w:spacing w:after="0"/>
        <w:rPr>
          <w:sz w:val="20"/>
          <w:szCs w:val="20"/>
          <w:color w:val="auto"/>
        </w:rPr>
      </w:pPr>
      <w:r>
        <w:rPr>
          <w:rFonts w:ascii="Arial" w:cs="Arial" w:eastAsia="Arial" w:hAnsi="Arial"/>
          <w:sz w:val="22"/>
          <w:szCs w:val="22"/>
          <w:b w:val="1"/>
          <w:bCs w:val="1"/>
          <w:color w:val="auto"/>
        </w:rPr>
        <w:t>THE SECURITIES ACT OF 1933</w:t>
      </w:r>
    </w:p>
    <w:p>
      <w:pPr>
        <w:spacing w:after="0" w:line="16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jc w:val="center"/>
              <w:ind w:right="191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3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30"/>
              <w:spacing w:after="0"/>
              <w:rPr>
                <w:sz w:val="20"/>
                <w:szCs w:val="20"/>
                <w:color w:val="auto"/>
              </w:rPr>
            </w:pPr>
            <w:r>
              <w:rPr>
                <w:rFonts w:ascii="Arial" w:cs="Arial" w:eastAsia="Arial" w:hAnsi="Arial"/>
                <w:sz w:val="18"/>
                <w:szCs w:val="18"/>
                <w:color w:val="auto"/>
                <w:w w:val="93"/>
              </w:rPr>
              <w:t>(I.R.S. Employer</w:t>
            </w:r>
          </w:p>
        </w:tc>
      </w:tr>
      <w:tr>
        <w:trPr>
          <w:trHeight w:val="230"/>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Area Code of Registrant’s Principal Executive Offices)</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Amended 2000 Employee Stock Purchase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(Full title of the plans)</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of Agent for Service)</w:t>
      </w:r>
    </w:p>
    <w:p>
      <w:pPr>
        <w:spacing w:after="0" w:line="211"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CALCULATION OF REGISTRATION FEE</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560" w:type="dxa"/>
            <w:vAlign w:val="bottom"/>
            <w:gridSpan w:val="3"/>
          </w:tcPr>
          <w:p>
            <w:pPr>
              <w:spacing w:after="0"/>
              <w:rPr>
                <w:sz w:val="20"/>
                <w:szCs w:val="20"/>
                <w:color w:val="auto"/>
              </w:rPr>
            </w:pPr>
            <w:r>
              <w:rPr>
                <w:rFonts w:ascii="Arial" w:cs="Arial" w:eastAsia="Arial" w:hAnsi="Arial"/>
                <w:sz w:val="14"/>
                <w:szCs w:val="14"/>
                <w:b w:val="1"/>
                <w:bCs w:val="1"/>
                <w:color w:val="auto"/>
              </w:rPr>
              <w:t>Title of</w:t>
            </w:r>
          </w:p>
        </w:tc>
        <w:tc>
          <w:tcPr>
            <w:tcW w:w="190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98"/>
              </w:rPr>
              <w:t>Amount</w:t>
            </w:r>
          </w:p>
        </w:tc>
        <w:tc>
          <w:tcPr>
            <w:tcW w:w="180" w:type="dxa"/>
            <w:vAlign w:val="bottom"/>
          </w:tcPr>
          <w:p>
            <w:pPr>
              <w:spacing w:after="0"/>
              <w:rPr>
                <w:sz w:val="14"/>
                <w:szCs w:val="14"/>
                <w:color w:val="auto"/>
              </w:rPr>
            </w:pPr>
          </w:p>
        </w:tc>
        <w:tc>
          <w:tcPr>
            <w:tcW w:w="196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94"/>
              </w:rPr>
              <w:t>Proposed Maximum</w:t>
            </w:r>
          </w:p>
        </w:tc>
        <w:tc>
          <w:tcPr>
            <w:tcW w:w="200" w:type="dxa"/>
            <w:vAlign w:val="bottom"/>
          </w:tcPr>
          <w:p>
            <w:pPr>
              <w:spacing w:after="0"/>
              <w:rPr>
                <w:sz w:val="14"/>
                <w:szCs w:val="14"/>
                <w:color w:val="auto"/>
              </w:rPr>
            </w:pPr>
          </w:p>
        </w:tc>
        <w:tc>
          <w:tcPr>
            <w:tcW w:w="214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86"/>
              </w:rPr>
              <w:t>Proposed</w:t>
            </w:r>
          </w:p>
        </w:tc>
        <w:tc>
          <w:tcPr>
            <w:tcW w:w="200" w:type="dxa"/>
            <w:vAlign w:val="bottom"/>
          </w:tcPr>
          <w:p>
            <w:pPr>
              <w:spacing w:after="0"/>
              <w:rPr>
                <w:sz w:val="14"/>
                <w:szCs w:val="14"/>
                <w:color w:val="auto"/>
              </w:rPr>
            </w:pPr>
          </w:p>
        </w:tc>
        <w:tc>
          <w:tcPr>
            <w:tcW w:w="12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4"/>
              </w:rPr>
              <w:t>Amount of</w:t>
            </w:r>
          </w:p>
        </w:tc>
      </w:tr>
      <w:tr>
        <w:trPr>
          <w:trHeight w:val="149"/>
        </w:trPr>
        <w:tc>
          <w:tcPr>
            <w:tcW w:w="35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Securities To</w:t>
            </w:r>
          </w:p>
        </w:tc>
        <w:tc>
          <w:tcPr>
            <w:tcW w:w="190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92"/>
              </w:rPr>
              <w:t>To Be</w:t>
            </w:r>
          </w:p>
        </w:tc>
        <w:tc>
          <w:tcPr>
            <w:tcW w:w="180" w:type="dxa"/>
            <w:vAlign w:val="bottom"/>
          </w:tcPr>
          <w:p>
            <w:pPr>
              <w:spacing w:after="0"/>
              <w:rPr>
                <w:sz w:val="12"/>
                <w:szCs w:val="12"/>
                <w:color w:val="auto"/>
              </w:rPr>
            </w:pPr>
          </w:p>
        </w:tc>
        <w:tc>
          <w:tcPr>
            <w:tcW w:w="19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7"/>
              </w:rPr>
              <w:t>Offering Price</w:t>
            </w:r>
          </w:p>
        </w:tc>
        <w:tc>
          <w:tcPr>
            <w:tcW w:w="200" w:type="dxa"/>
            <w:vAlign w:val="bottom"/>
          </w:tcPr>
          <w:p>
            <w:pPr>
              <w:spacing w:after="0"/>
              <w:rPr>
                <w:sz w:val="12"/>
                <w:szCs w:val="12"/>
                <w:color w:val="auto"/>
              </w:rPr>
            </w:pPr>
          </w:p>
        </w:tc>
        <w:tc>
          <w:tcPr>
            <w:tcW w:w="214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4"/>
              </w:rPr>
              <w:t>Maximum Aggregate</w:t>
            </w:r>
          </w:p>
        </w:tc>
        <w:tc>
          <w:tcPr>
            <w:tcW w:w="200" w:type="dxa"/>
            <w:vAlign w:val="bottom"/>
          </w:tcPr>
          <w:p>
            <w:pPr>
              <w:spacing w:after="0"/>
              <w:rPr>
                <w:sz w:val="12"/>
                <w:szCs w:val="12"/>
                <w:color w:val="auto"/>
              </w:rPr>
            </w:pPr>
          </w:p>
        </w:tc>
        <w:tc>
          <w:tcPr>
            <w:tcW w:w="12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2"/>
              </w:rPr>
              <w:t>Registration</w:t>
            </w:r>
          </w:p>
        </w:tc>
      </w:tr>
      <w:tr>
        <w:trPr>
          <w:trHeight w:val="171"/>
        </w:trPr>
        <w:tc>
          <w:tcPr>
            <w:tcW w:w="3560" w:type="dxa"/>
            <w:vAlign w:val="bottom"/>
            <w:gridSpan w:val="3"/>
          </w:tcPr>
          <w:p>
            <w:pPr>
              <w:spacing w:after="0"/>
              <w:rPr>
                <w:sz w:val="20"/>
                <w:szCs w:val="20"/>
                <w:color w:val="auto"/>
              </w:rPr>
            </w:pPr>
            <w:r>
              <w:rPr>
                <w:rFonts w:ascii="Arial" w:cs="Arial" w:eastAsia="Arial" w:hAnsi="Arial"/>
                <w:sz w:val="14"/>
                <w:szCs w:val="14"/>
                <w:b w:val="1"/>
                <w:bCs w:val="1"/>
                <w:color w:val="auto"/>
              </w:rPr>
              <w:t>Be Registered</w:t>
            </w:r>
          </w:p>
        </w:tc>
        <w:tc>
          <w:tcPr>
            <w:tcW w:w="190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1"/>
              </w:rPr>
              <w:t>Registered(1)</w:t>
            </w:r>
          </w:p>
        </w:tc>
        <w:tc>
          <w:tcPr>
            <w:tcW w:w="180" w:type="dxa"/>
            <w:vAlign w:val="bottom"/>
          </w:tcPr>
          <w:p>
            <w:pPr>
              <w:spacing w:after="0"/>
              <w:rPr>
                <w:sz w:val="14"/>
                <w:szCs w:val="14"/>
                <w:color w:val="auto"/>
              </w:rPr>
            </w:pPr>
          </w:p>
        </w:tc>
        <w:tc>
          <w:tcPr>
            <w:tcW w:w="196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95"/>
              </w:rPr>
              <w:t>per Share(2)</w:t>
            </w:r>
          </w:p>
        </w:tc>
        <w:tc>
          <w:tcPr>
            <w:tcW w:w="200" w:type="dxa"/>
            <w:vAlign w:val="bottom"/>
          </w:tcPr>
          <w:p>
            <w:pPr>
              <w:spacing w:after="0"/>
              <w:rPr>
                <w:sz w:val="14"/>
                <w:szCs w:val="14"/>
                <w:color w:val="auto"/>
              </w:rPr>
            </w:pPr>
          </w:p>
        </w:tc>
        <w:tc>
          <w:tcPr>
            <w:tcW w:w="214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94"/>
              </w:rPr>
              <w:t>Offering Price(2)</w:t>
            </w:r>
          </w:p>
        </w:tc>
        <w:tc>
          <w:tcPr>
            <w:tcW w:w="200" w:type="dxa"/>
            <w:vAlign w:val="bottom"/>
          </w:tcPr>
          <w:p>
            <w:pPr>
              <w:spacing w:after="0"/>
              <w:rPr>
                <w:sz w:val="14"/>
                <w:szCs w:val="14"/>
                <w:color w:val="auto"/>
              </w:rPr>
            </w:pPr>
          </w:p>
        </w:tc>
        <w:tc>
          <w:tcPr>
            <w:tcW w:w="12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0"/>
              </w:rPr>
              <w:t>Fee</w:t>
            </w:r>
          </w:p>
        </w:tc>
      </w:tr>
      <w:tr>
        <w:trPr>
          <w:trHeight w:val="195"/>
        </w:trPr>
        <w:tc>
          <w:tcPr>
            <w:tcW w:w="20" w:type="dxa"/>
            <w:vAlign w:val="bottom"/>
          </w:tcPr>
          <w:p>
            <w:pPr>
              <w:spacing w:after="0"/>
              <w:rPr>
                <w:sz w:val="16"/>
                <w:szCs w:val="16"/>
                <w:color w:val="auto"/>
              </w:rPr>
            </w:pPr>
          </w:p>
        </w:tc>
        <w:tc>
          <w:tcPr>
            <w:tcW w:w="31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88"/>
              </w:rPr>
              <w:t>Common Stock, par value $0.002 per share:</w:t>
            </w:r>
          </w:p>
        </w:tc>
        <w:tc>
          <w:tcPr>
            <w:tcW w:w="380" w:type="dxa"/>
            <w:vAlign w:val="bottom"/>
          </w:tcPr>
          <w:p>
            <w:pPr>
              <w:spacing w:after="0"/>
              <w:rPr>
                <w:sz w:val="16"/>
                <w:szCs w:val="16"/>
                <w:color w:val="auto"/>
              </w:rPr>
            </w:pPr>
          </w:p>
        </w:tc>
        <w:tc>
          <w:tcPr>
            <w:tcW w:w="1200" w:type="dxa"/>
            <w:vAlign w:val="bottom"/>
            <w:tcBorders>
              <w:top w:val="single" w:sz="8" w:color="auto"/>
            </w:tcBorders>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Borders>
              <w:top w:val="single" w:sz="8" w:color="auto"/>
            </w:tcBorders>
          </w:tcPr>
          <w:p>
            <w:pPr>
              <w:spacing w:after="0"/>
              <w:rPr>
                <w:sz w:val="16"/>
                <w:szCs w:val="16"/>
                <w:color w:val="auto"/>
              </w:rPr>
            </w:pPr>
          </w:p>
        </w:tc>
        <w:tc>
          <w:tcPr>
            <w:tcW w:w="1600" w:type="dxa"/>
            <w:vAlign w:val="bottom"/>
            <w:tcBorders>
              <w:top w:val="single" w:sz="8" w:color="auto"/>
            </w:tcBorders>
          </w:tcPr>
          <w:p>
            <w:pPr>
              <w:spacing w:after="0"/>
              <w:rPr>
                <w:sz w:val="16"/>
                <w:szCs w:val="16"/>
                <w:color w:val="auto"/>
              </w:rPr>
            </w:pPr>
          </w:p>
        </w:tc>
        <w:tc>
          <w:tcPr>
            <w:tcW w:w="360" w:type="dxa"/>
            <w:vAlign w:val="bottom"/>
          </w:tcPr>
          <w:p>
            <w:pPr>
              <w:spacing w:after="0"/>
              <w:rPr>
                <w:sz w:val="16"/>
                <w:szCs w:val="16"/>
                <w:color w:val="auto"/>
              </w:rPr>
            </w:pPr>
          </w:p>
        </w:tc>
        <w:tc>
          <w:tcPr>
            <w:tcW w:w="200" w:type="dxa"/>
            <w:vAlign w:val="bottom"/>
            <w:tcBorders>
              <w:top w:val="single" w:sz="8" w:color="auto"/>
            </w:tcBorders>
          </w:tcPr>
          <w:p>
            <w:pPr>
              <w:spacing w:after="0"/>
              <w:rPr>
                <w:sz w:val="16"/>
                <w:szCs w:val="16"/>
                <w:color w:val="auto"/>
              </w:rPr>
            </w:pPr>
          </w:p>
        </w:tc>
        <w:tc>
          <w:tcPr>
            <w:tcW w:w="1720" w:type="dxa"/>
            <w:vAlign w:val="bottom"/>
            <w:tcBorders>
              <w:top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200" w:type="dxa"/>
            <w:vAlign w:val="bottom"/>
            <w:tcBorders>
              <w:top w:val="single" w:sz="8" w:color="auto"/>
            </w:tcBorders>
          </w:tcPr>
          <w:p>
            <w:pPr>
              <w:spacing w:after="0"/>
              <w:rPr>
                <w:sz w:val="16"/>
                <w:szCs w:val="16"/>
                <w:color w:val="auto"/>
              </w:rPr>
            </w:pPr>
          </w:p>
        </w:tc>
        <w:tc>
          <w:tcPr>
            <w:tcW w:w="1120" w:type="dxa"/>
            <w:vAlign w:val="bottom"/>
            <w:tcBorders>
              <w:top w:val="single" w:sz="8" w:color="auto"/>
            </w:tcBorders>
          </w:tcPr>
          <w:p>
            <w:pPr>
              <w:spacing w:after="0"/>
              <w:rPr>
                <w:sz w:val="16"/>
                <w:szCs w:val="16"/>
                <w:color w:val="auto"/>
              </w:rPr>
            </w:pPr>
          </w:p>
        </w:tc>
        <w:tc>
          <w:tcPr>
            <w:tcW w:w="160" w:type="dxa"/>
            <w:vAlign w:val="bottom"/>
          </w:tcPr>
          <w:p>
            <w:pPr>
              <w:spacing w:after="0"/>
              <w:rPr>
                <w:sz w:val="16"/>
                <w:szCs w:val="16"/>
                <w:color w:val="auto"/>
              </w:rPr>
            </w:pPr>
          </w:p>
        </w:tc>
      </w:tr>
      <w:tr>
        <w:trPr>
          <w:trHeight w:val="216"/>
        </w:trPr>
        <w:tc>
          <w:tcPr>
            <w:tcW w:w="3560" w:type="dxa"/>
            <w:vAlign w:val="bottom"/>
            <w:gridSpan w:val="3"/>
          </w:tcPr>
          <w:p>
            <w:pPr>
              <w:spacing w:after="0"/>
              <w:rPr>
                <w:sz w:val="20"/>
                <w:szCs w:val="20"/>
                <w:color w:val="auto"/>
              </w:rPr>
            </w:pPr>
            <w:r>
              <w:rPr>
                <w:rFonts w:ascii="Arial" w:cs="Arial" w:eastAsia="Arial" w:hAnsi="Arial"/>
                <w:sz w:val="18"/>
                <w:szCs w:val="18"/>
                <w:color w:val="auto"/>
              </w:rPr>
              <w:t>to be issued under the Marvell Technology</w:t>
            </w:r>
          </w:p>
        </w:tc>
        <w:tc>
          <w:tcPr>
            <w:tcW w:w="1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16"/>
        </w:trPr>
        <w:tc>
          <w:tcPr>
            <w:tcW w:w="3560" w:type="dxa"/>
            <w:vAlign w:val="bottom"/>
            <w:gridSpan w:val="3"/>
          </w:tcPr>
          <w:p>
            <w:pPr>
              <w:spacing w:after="0"/>
              <w:rPr>
                <w:sz w:val="20"/>
                <w:szCs w:val="20"/>
                <w:color w:val="auto"/>
              </w:rPr>
            </w:pPr>
            <w:r>
              <w:rPr>
                <w:rFonts w:ascii="Arial" w:cs="Arial" w:eastAsia="Arial" w:hAnsi="Arial"/>
                <w:sz w:val="18"/>
                <w:szCs w:val="18"/>
                <w:color w:val="auto"/>
              </w:rPr>
              <w:t>Group Ltd. Amended and Restated 1995</w:t>
            </w:r>
          </w:p>
        </w:tc>
        <w:tc>
          <w:tcPr>
            <w:tcW w:w="1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30"/>
        </w:trPr>
        <w:tc>
          <w:tcPr>
            <w:tcW w:w="3560" w:type="dxa"/>
            <w:vAlign w:val="bottom"/>
            <w:gridSpan w:val="3"/>
          </w:tcPr>
          <w:p>
            <w:pPr>
              <w:spacing w:after="0"/>
              <w:rPr>
                <w:sz w:val="20"/>
                <w:szCs w:val="20"/>
                <w:color w:val="auto"/>
              </w:rPr>
            </w:pPr>
            <w:r>
              <w:rPr>
                <w:rFonts w:ascii="Arial" w:cs="Arial" w:eastAsia="Arial" w:hAnsi="Arial"/>
                <w:sz w:val="18"/>
                <w:szCs w:val="18"/>
                <w:color w:val="auto"/>
              </w:rPr>
              <w:t>Stock Option Plan</w:t>
            </w:r>
          </w:p>
        </w:tc>
        <w:tc>
          <w:tcPr>
            <w:tcW w:w="1900" w:type="dxa"/>
            <w:vAlign w:val="bottom"/>
            <w:gridSpan w:val="2"/>
          </w:tcPr>
          <w:p>
            <w:pPr>
              <w:jc w:val="right"/>
              <w:ind w:right="200"/>
              <w:spacing w:after="0"/>
              <w:rPr>
                <w:sz w:val="20"/>
                <w:szCs w:val="20"/>
                <w:color w:val="auto"/>
              </w:rPr>
            </w:pPr>
            <w:r>
              <w:rPr>
                <w:rFonts w:ascii="Arial" w:cs="Arial" w:eastAsia="Arial" w:hAnsi="Arial"/>
                <w:sz w:val="18"/>
                <w:szCs w:val="18"/>
                <w:color w:val="auto"/>
              </w:rPr>
              <w:t>13,880,104 shares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960" w:type="dxa"/>
            <w:vAlign w:val="bottom"/>
            <w:gridSpan w:val="2"/>
          </w:tcPr>
          <w:p>
            <w:pPr>
              <w:jc w:val="right"/>
              <w:ind w:right="360"/>
              <w:spacing w:after="0"/>
              <w:rPr>
                <w:sz w:val="20"/>
                <w:szCs w:val="20"/>
                <w:color w:val="auto"/>
              </w:rPr>
            </w:pPr>
            <w:r>
              <w:rPr>
                <w:rFonts w:ascii="Arial" w:cs="Arial" w:eastAsia="Arial" w:hAnsi="Arial"/>
                <w:sz w:val="18"/>
                <w:szCs w:val="18"/>
                <w:color w:val="auto"/>
              </w:rPr>
              <w:t>35.765</w:t>
            </w: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2140" w:type="dxa"/>
            <w:vAlign w:val="bottom"/>
            <w:gridSpan w:val="2"/>
          </w:tcPr>
          <w:p>
            <w:pPr>
              <w:jc w:val="right"/>
              <w:ind w:right="420"/>
              <w:spacing w:after="0"/>
              <w:rPr>
                <w:sz w:val="20"/>
                <w:szCs w:val="20"/>
                <w:color w:val="auto"/>
              </w:rPr>
            </w:pPr>
            <w:r>
              <w:rPr>
                <w:rFonts w:ascii="Arial" w:cs="Arial" w:eastAsia="Arial" w:hAnsi="Arial"/>
                <w:sz w:val="18"/>
                <w:szCs w:val="18"/>
                <w:color w:val="auto"/>
              </w:rPr>
              <w:t>496,421,919.56</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58,428.86</w:t>
            </w:r>
          </w:p>
        </w:tc>
      </w:tr>
      <w:tr>
        <w:trPr>
          <w:trHeight w:val="418"/>
        </w:trPr>
        <w:tc>
          <w:tcPr>
            <w:tcW w:w="3560" w:type="dxa"/>
            <w:vAlign w:val="bottom"/>
            <w:gridSpan w:val="3"/>
          </w:tcPr>
          <w:p>
            <w:pPr>
              <w:spacing w:after="0"/>
              <w:rPr>
                <w:sz w:val="20"/>
                <w:szCs w:val="20"/>
                <w:color w:val="auto"/>
              </w:rPr>
            </w:pPr>
            <w:r>
              <w:rPr>
                <w:rFonts w:ascii="Arial" w:cs="Arial" w:eastAsia="Arial" w:hAnsi="Arial"/>
                <w:sz w:val="18"/>
                <w:szCs w:val="18"/>
                <w:color w:val="auto"/>
              </w:rPr>
              <w:t>Common Stock, par value $0.002 per share:</w:t>
            </w:r>
          </w:p>
        </w:tc>
        <w:tc>
          <w:tcPr>
            <w:tcW w:w="12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16"/>
        </w:trPr>
        <w:tc>
          <w:tcPr>
            <w:tcW w:w="3560" w:type="dxa"/>
            <w:vAlign w:val="bottom"/>
            <w:gridSpan w:val="3"/>
          </w:tcPr>
          <w:p>
            <w:pPr>
              <w:spacing w:after="0"/>
              <w:rPr>
                <w:sz w:val="20"/>
                <w:szCs w:val="20"/>
                <w:color w:val="auto"/>
              </w:rPr>
            </w:pPr>
            <w:r>
              <w:rPr>
                <w:rFonts w:ascii="Arial" w:cs="Arial" w:eastAsia="Arial" w:hAnsi="Arial"/>
                <w:sz w:val="18"/>
                <w:szCs w:val="18"/>
                <w:color w:val="auto"/>
              </w:rPr>
              <w:t>to be issued under the Marvell Technology</w:t>
            </w:r>
          </w:p>
        </w:tc>
        <w:tc>
          <w:tcPr>
            <w:tcW w:w="1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16"/>
        </w:trPr>
        <w:tc>
          <w:tcPr>
            <w:tcW w:w="3560" w:type="dxa"/>
            <w:vAlign w:val="bottom"/>
            <w:gridSpan w:val="3"/>
          </w:tcPr>
          <w:p>
            <w:pPr>
              <w:spacing w:after="0"/>
              <w:rPr>
                <w:sz w:val="20"/>
                <w:szCs w:val="20"/>
                <w:color w:val="auto"/>
              </w:rPr>
            </w:pPr>
            <w:r>
              <w:rPr>
                <w:rFonts w:ascii="Arial" w:cs="Arial" w:eastAsia="Arial" w:hAnsi="Arial"/>
                <w:sz w:val="18"/>
                <w:szCs w:val="18"/>
                <w:color w:val="auto"/>
              </w:rPr>
              <w:t>Group Ltd. Amended 2000 Employee</w:t>
            </w:r>
          </w:p>
        </w:tc>
        <w:tc>
          <w:tcPr>
            <w:tcW w:w="1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30"/>
        </w:trPr>
        <w:tc>
          <w:tcPr>
            <w:tcW w:w="3560" w:type="dxa"/>
            <w:vAlign w:val="bottom"/>
            <w:gridSpan w:val="3"/>
          </w:tcPr>
          <w:p>
            <w:pPr>
              <w:spacing w:after="0"/>
              <w:rPr>
                <w:sz w:val="20"/>
                <w:szCs w:val="20"/>
                <w:color w:val="auto"/>
              </w:rPr>
            </w:pPr>
            <w:r>
              <w:rPr>
                <w:rFonts w:ascii="Arial" w:cs="Arial" w:eastAsia="Arial" w:hAnsi="Arial"/>
                <w:sz w:val="18"/>
                <w:szCs w:val="18"/>
                <w:color w:val="auto"/>
              </w:rPr>
              <w:t>Stock Purchase Plan</w:t>
            </w:r>
          </w:p>
        </w:tc>
        <w:tc>
          <w:tcPr>
            <w:tcW w:w="1900" w:type="dxa"/>
            <w:vAlign w:val="bottom"/>
            <w:gridSpan w:val="2"/>
          </w:tcPr>
          <w:p>
            <w:pPr>
              <w:jc w:val="right"/>
              <w:ind w:right="200"/>
              <w:spacing w:after="0"/>
              <w:rPr>
                <w:sz w:val="20"/>
                <w:szCs w:val="20"/>
                <w:color w:val="auto"/>
              </w:rPr>
            </w:pPr>
            <w:r>
              <w:rPr>
                <w:rFonts w:ascii="Arial" w:cs="Arial" w:eastAsia="Arial" w:hAnsi="Arial"/>
                <w:sz w:val="18"/>
                <w:szCs w:val="18"/>
                <w:color w:val="auto"/>
              </w:rPr>
              <w:t>4,000,000 shares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960" w:type="dxa"/>
            <w:vAlign w:val="bottom"/>
            <w:gridSpan w:val="2"/>
          </w:tcPr>
          <w:p>
            <w:pPr>
              <w:jc w:val="right"/>
              <w:ind w:right="360"/>
              <w:spacing w:after="0"/>
              <w:rPr>
                <w:sz w:val="20"/>
                <w:szCs w:val="20"/>
                <w:color w:val="auto"/>
              </w:rPr>
            </w:pPr>
            <w:r>
              <w:rPr>
                <w:rFonts w:ascii="Arial" w:cs="Arial" w:eastAsia="Arial" w:hAnsi="Arial"/>
                <w:sz w:val="18"/>
                <w:szCs w:val="18"/>
                <w:color w:val="auto"/>
              </w:rPr>
              <w:t>35.765</w:t>
            </w: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2140" w:type="dxa"/>
            <w:vAlign w:val="bottom"/>
            <w:gridSpan w:val="2"/>
          </w:tcPr>
          <w:p>
            <w:pPr>
              <w:jc w:val="right"/>
              <w:ind w:right="420"/>
              <w:spacing w:after="0"/>
              <w:rPr>
                <w:sz w:val="20"/>
                <w:szCs w:val="20"/>
                <w:color w:val="auto"/>
              </w:rPr>
            </w:pPr>
            <w:r>
              <w:rPr>
                <w:rFonts w:ascii="Arial" w:cs="Arial" w:eastAsia="Arial" w:hAnsi="Arial"/>
                <w:sz w:val="18"/>
                <w:szCs w:val="18"/>
                <w:color w:val="auto"/>
              </w:rPr>
              <w:t>143,060,000.00</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16,838.16</w:t>
            </w:r>
          </w:p>
        </w:tc>
      </w:tr>
      <w:tr>
        <w:trPr>
          <w:trHeight w:val="210"/>
        </w:trPr>
        <w:tc>
          <w:tcPr>
            <w:tcW w:w="3560" w:type="dxa"/>
            <w:vAlign w:val="bottom"/>
            <w:gridSpan w:val="3"/>
          </w:tcPr>
          <w:p>
            <w:pPr>
              <w:spacing w:after="0"/>
              <w:rPr>
                <w:sz w:val="20"/>
                <w:szCs w:val="20"/>
                <w:color w:val="auto"/>
              </w:rPr>
            </w:pPr>
            <w:r>
              <w:rPr>
                <w:rFonts w:ascii="Arial" w:cs="Arial" w:eastAsia="Arial" w:hAnsi="Arial"/>
                <w:sz w:val="18"/>
                <w:szCs w:val="18"/>
                <w:color w:val="auto"/>
              </w:rPr>
              <w:t>Total Registration Fee</w:t>
            </w:r>
          </w:p>
        </w:tc>
        <w:tc>
          <w:tcPr>
            <w:tcW w:w="1200" w:type="dxa"/>
            <w:vAlign w:val="bottom"/>
            <w:tcBorders>
              <w:top w:val="single" w:sz="8" w:color="auto"/>
              <w:bottom w:val="single" w:sz="8" w:color="auto"/>
            </w:tcBorders>
          </w:tcPr>
          <w:p>
            <w:pPr>
              <w:ind w:left="900"/>
              <w:spacing w:after="0"/>
              <w:rPr>
                <w:sz w:val="20"/>
                <w:szCs w:val="20"/>
                <w:color w:val="auto"/>
              </w:rPr>
            </w:pPr>
            <w:r>
              <w:rPr>
                <w:rFonts w:ascii="Arial" w:cs="Arial" w:eastAsia="Arial" w:hAnsi="Arial"/>
                <w:sz w:val="18"/>
                <w:szCs w:val="18"/>
                <w:color w:val="auto"/>
                <w:w w:val="93"/>
              </w:rPr>
              <w:t>N/A</w:t>
            </w:r>
          </w:p>
        </w:tc>
        <w:tc>
          <w:tcPr>
            <w:tcW w:w="700" w:type="dxa"/>
            <w:vAlign w:val="bottom"/>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N/A</w:t>
            </w:r>
          </w:p>
        </w:tc>
        <w:tc>
          <w:tcPr>
            <w:tcW w:w="360" w:type="dxa"/>
            <w:vAlign w:val="bottom"/>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N/A</w:t>
            </w:r>
          </w:p>
        </w:tc>
        <w:tc>
          <w:tcPr>
            <w:tcW w:w="42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280" w:type="dxa"/>
            <w:vAlign w:val="bottom"/>
            <w:tcBorders>
              <w:top w:val="single" w:sz="8" w:color="auto"/>
              <w:bottom w:val="single" w:sz="8" w:color="auto"/>
            </w:tcBorders>
            <w:gridSpan w:val="2"/>
          </w:tcPr>
          <w:p>
            <w:pPr>
              <w:jc w:val="right"/>
              <w:ind w:right="160"/>
              <w:spacing w:after="0"/>
              <w:rPr>
                <w:sz w:val="20"/>
                <w:szCs w:val="20"/>
                <w:color w:val="auto"/>
              </w:rPr>
            </w:pPr>
            <w:r>
              <w:rPr>
                <w:rFonts w:ascii="Arial" w:cs="Arial" w:eastAsia="Arial" w:hAnsi="Arial"/>
                <w:sz w:val="18"/>
                <w:szCs w:val="18"/>
                <w:color w:val="auto"/>
              </w:rPr>
              <w:t>75,267.02</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197485</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71" w:lineRule="exact"/>
        <w:rPr>
          <w:sz w:val="24"/>
          <w:szCs w:val="24"/>
          <w:color w:val="auto"/>
        </w:rPr>
      </w:pPr>
    </w:p>
    <w:p>
      <w:pPr>
        <w:jc w:val="both"/>
        <w:ind w:left="660" w:right="60" w:hanging="652"/>
        <w:spacing w:after="0" w:line="264" w:lineRule="auto"/>
        <w:tabs>
          <w:tab w:leader="none" w:pos="642"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of the Securities Act, this Registration Statement also covers shares issued pursuant to antidilution provisions set forth in the Marvell Technology Group Ltd. Amended and Restated 1995 Stock Option Plan and set forth in the Marvell Technology Group Ltd. Amended 2000 Employee Stock Purchase Plan.</w:t>
      </w:r>
    </w:p>
    <w:p>
      <w:pPr>
        <w:spacing w:after="0" w:line="181" w:lineRule="exact"/>
        <w:rPr>
          <w:rFonts w:ascii="Arial" w:cs="Arial" w:eastAsia="Arial" w:hAnsi="Arial"/>
          <w:sz w:val="18"/>
          <w:szCs w:val="18"/>
          <w:color w:val="auto"/>
        </w:rPr>
      </w:pPr>
    </w:p>
    <w:p>
      <w:pPr>
        <w:ind w:left="660" w:right="60" w:hanging="652"/>
        <w:spacing w:after="0" w:line="264" w:lineRule="auto"/>
        <w:tabs>
          <w:tab w:leader="none" w:pos="642"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pursuant to Rule 457(h)(1) and 457(c) under the Securities Act of 1933 solely for the purpose of calculating the registration fee, based upon the average of the high and low sales prices of Marvell Technology Group Ltd. common stock, as reported on the Nasdaq National Market on ) April 11, 2005. Offering prices are estimated solely for the purpose of calculating the registration fee.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46990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ectPr>
          <w:pgSz w:w="11900" w:h="16838" w:orient="portrait"/>
          <w:cols w:equalWidth="0" w:num="1">
            <w:col w:w="11420"/>
          </w:cols>
          <w:pgMar w:left="240" w:top="233" w:right="239" w:bottom="0" w:gutter="0" w:footer="0" w:header="0"/>
        </w:sectPr>
      </w:pPr>
    </w:p>
    <w:p>
      <w:pPr>
        <w:spacing w:after="0" w:line="384"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The Registration Statement shall become effective upon filing in accordance with Rule 462 under the Securities Act of 1933.</w:t>
      </w:r>
    </w:p>
    <w:p>
      <w:pPr>
        <w:sectPr>
          <w:pgSz w:w="11900" w:h="16838" w:orient="portrait"/>
          <w:cols w:equalWidth="0" w:num="1">
            <w:col w:w="11420"/>
          </w:cols>
          <w:pgMar w:left="240" w:top="233" w:right="239" w:bottom="0" w:gutter="0" w:footer="0" w:header="0"/>
          <w:type w:val="continuous"/>
        </w:sectPr>
      </w:pPr>
    </w:p>
    <w:bookmarkStart w:id="1" w:name="page2"/>
    <w:bookmarkEnd w:id="1"/>
    <w:p>
      <w:pPr>
        <w:spacing w:after="0" w:line="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155575</wp:posOffset>
            </wp:positionH>
            <wp:positionV relativeFrom="page">
              <wp:posOffset>524510</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ind w:left="2080"/>
        <w:spacing w:after="0"/>
        <w:rPr>
          <w:sz w:val="20"/>
          <w:szCs w:val="20"/>
          <w:color w:val="auto"/>
        </w:rPr>
      </w:pPr>
      <w:r>
        <w:rPr>
          <w:rFonts w:ascii="Arial" w:cs="Arial" w:eastAsia="Arial" w:hAnsi="Arial"/>
          <w:sz w:val="18"/>
          <w:szCs w:val="18"/>
          <w:b w:val="1"/>
          <w:bCs w:val="1"/>
          <w:color w:val="auto"/>
        </w:rPr>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229" w:lineRule="exact"/>
        <w:rPr>
          <w:sz w:val="20"/>
          <w:szCs w:val="20"/>
          <w:color w:val="auto"/>
        </w:rPr>
      </w:pPr>
    </w:p>
    <w:p>
      <w:pPr>
        <w:ind w:right="420" w:firstLine="648"/>
        <w:spacing w:after="0" w:line="277" w:lineRule="auto"/>
        <w:rPr>
          <w:sz w:val="20"/>
          <w:szCs w:val="20"/>
          <w:color w:val="auto"/>
        </w:rPr>
      </w:pPr>
      <w:r>
        <w:rPr>
          <w:rFonts w:ascii="Arial" w:cs="Arial" w:eastAsia="Arial" w:hAnsi="Arial"/>
          <w:sz w:val="18"/>
          <w:szCs w:val="18"/>
          <w:color w:val="auto"/>
        </w:rPr>
        <w:t>This Registration Statement is being filed for the purpose of increasing the number of securities of the same class as other securities for which a Registration Statement of the Registrant on From S-8 relating to the same employee benefit plans is effective.</w:t>
      </w:r>
    </w:p>
    <w:p>
      <w:pPr>
        <w:spacing w:after="0" w:line="170" w:lineRule="exact"/>
        <w:rPr>
          <w:sz w:val="20"/>
          <w:szCs w:val="20"/>
          <w:color w:val="auto"/>
        </w:rPr>
      </w:pPr>
    </w:p>
    <w:p>
      <w:pPr>
        <w:ind w:right="60" w:firstLine="648"/>
        <w:spacing w:after="0" w:line="291" w:lineRule="auto"/>
        <w:rPr>
          <w:sz w:val="20"/>
          <w:szCs w:val="20"/>
          <w:color w:val="auto"/>
        </w:rPr>
      </w:pPr>
      <w:r>
        <w:rPr>
          <w:rFonts w:ascii="Arial" w:cs="Arial" w:eastAsia="Arial" w:hAnsi="Arial"/>
          <w:sz w:val="16"/>
          <w:szCs w:val="16"/>
          <w:color w:val="auto"/>
        </w:rPr>
        <w:t>Registrant’s Form S-8 Registration Statements filed with the Securities and Exchange Commission on June 26, 2000 (Registration No. 333-40152), on February 21, 2001 (Registration No. 333-55974), on May 1, 2002 (Registration No. 333-87322), on May 2, 2003 (Registration No. 333-104925), on August 28, 2003 (Registration No. 333-108334) and on April 13, 2004 (Registration No. 333-114434), each of which relates to the Registrant’s Amended and Restated 1995 Stock Option Plan, are incorporated herein by reference and made a part hereof, and the contents of the Registrant’s Form S-8 Registration Statements filed with the Securities and Exchange Commission on June 26, 2000 (Registration No. 333-40154), on February 28, 2001 (Registration No. 333-56322), on May 1, 2002 (Registration No. 333-87322), on May 2, 2003 (Registration No. 333-104925) and on April 13, 2004 (Registration No. 333-114434), each of which relates to the Registrant’s Amended 2000 Employee Stock Purchase Plan, are incorporated herein by reference and made a part hereof.</w:t>
      </w:r>
    </w:p>
    <w:p>
      <w:pPr>
        <w:spacing w:after="0" w:line="163"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Documents by Reference.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6"/>
          <w:szCs w:val="16"/>
          <w:color w:val="auto"/>
        </w:rPr>
        <w:t>The following documents filed by Registrant (File No. 0-30877) with the Securities and Exchange Commission are incorporated by reference in this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Registration Statement:</w:t>
      </w:r>
    </w:p>
    <w:p>
      <w:pPr>
        <w:spacing w:after="0" w:line="211" w:lineRule="exact"/>
        <w:rPr>
          <w:sz w:val="20"/>
          <w:szCs w:val="20"/>
          <w:color w:val="auto"/>
        </w:rPr>
      </w:pPr>
    </w:p>
    <w:p>
      <w:pPr>
        <w:ind w:left="1280" w:hanging="624"/>
        <w:spacing w:after="0"/>
        <w:tabs>
          <w:tab w:leader="none" w:pos="12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Annual Report on Form 10-K for the fiscal year ended January 29, 2005.</w:t>
      </w:r>
    </w:p>
    <w:p>
      <w:pPr>
        <w:spacing w:after="0" w:line="225" w:lineRule="exact"/>
        <w:rPr>
          <w:rFonts w:ascii="Arial" w:cs="Arial" w:eastAsia="Arial" w:hAnsi="Arial"/>
          <w:sz w:val="18"/>
          <w:szCs w:val="18"/>
          <w:color w:val="auto"/>
        </w:rPr>
      </w:pPr>
    </w:p>
    <w:p>
      <w:pPr>
        <w:ind w:left="1300" w:right="360" w:hanging="644"/>
        <w:spacing w:after="0" w:line="277" w:lineRule="auto"/>
        <w:tabs>
          <w:tab w:leader="none" w:pos="1282"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Current Reports on Form 8-K filed with the Commission on February 24, 2005 (excluding portions thereof furnished under Items 2.02 and 7.01).</w:t>
      </w:r>
    </w:p>
    <w:p>
      <w:pPr>
        <w:spacing w:after="0" w:line="170" w:lineRule="exact"/>
        <w:rPr>
          <w:rFonts w:ascii="Arial" w:cs="Arial" w:eastAsia="Arial" w:hAnsi="Arial"/>
          <w:sz w:val="18"/>
          <w:szCs w:val="18"/>
          <w:color w:val="auto"/>
        </w:rPr>
      </w:pPr>
    </w:p>
    <w:p>
      <w:pPr>
        <w:jc w:val="both"/>
        <w:ind w:left="1300" w:right="60" w:hanging="644"/>
        <w:spacing w:after="0" w:line="342" w:lineRule="auto"/>
        <w:tabs>
          <w:tab w:leader="none" w:pos="1272"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description of Registrant’s Capital Stock contained in Registrant’s Registration Statement on Form 8-A, filed June 22, 2000 pursuant to Section 12(g) of the Securities Exchange Act of 1934 including any amendment or report filed for the purpose of updating such description.</w:t>
      </w:r>
    </w:p>
    <w:p>
      <w:pPr>
        <w:spacing w:after="0" w:line="124"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In addition, all documents subsequently filed by the Registrant pursuant to Section 13(a), 13(c), 14 and 15(d) of the Securities Exchange Act of 1934, (excluding any portions thereof furnished under Items 2.02 and 7.01 of Form 8-K)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 Exhibits.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8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20" w:type="dxa"/>
            <w:vAlign w:val="bottom"/>
          </w:tcPr>
          <w:p>
            <w:pPr>
              <w:spacing w:after="0"/>
              <w:rPr>
                <w:sz w:val="14"/>
                <w:szCs w:val="14"/>
                <w:color w:val="auto"/>
              </w:rPr>
            </w:pPr>
          </w:p>
        </w:tc>
        <w:tc>
          <w:tcPr>
            <w:tcW w:w="9920" w:type="dxa"/>
            <w:vAlign w:val="bottom"/>
            <w:vMerge w:val="restart"/>
          </w:tcPr>
          <w:p>
            <w:pPr>
              <w:ind w:left="460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11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Number</w:t>
            </w:r>
          </w:p>
        </w:tc>
        <w:tc>
          <w:tcPr>
            <w:tcW w:w="320" w:type="dxa"/>
            <w:vAlign w:val="bottom"/>
          </w:tcPr>
          <w:p>
            <w:pPr>
              <w:spacing w:after="0"/>
              <w:rPr>
                <w:sz w:val="14"/>
                <w:szCs w:val="14"/>
                <w:color w:val="auto"/>
              </w:rPr>
            </w:pPr>
          </w:p>
        </w:tc>
        <w:tc>
          <w:tcPr>
            <w:tcW w:w="9920" w:type="dxa"/>
            <w:vAlign w:val="bottom"/>
            <w:tcBorders>
              <w:bottom w:val="single" w:sz="8" w:color="auto"/>
            </w:tcBorders>
            <w:vMerge w:val="continue"/>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58"/>
        </w:trPr>
        <w:tc>
          <w:tcPr>
            <w:tcW w:w="1180" w:type="dxa"/>
            <w:vAlign w:val="bottom"/>
          </w:tcPr>
          <w:p>
            <w:pPr>
              <w:jc w:val="right"/>
              <w:ind w:right="454"/>
              <w:spacing w:after="0"/>
              <w:rPr>
                <w:sz w:val="20"/>
                <w:szCs w:val="20"/>
                <w:color w:val="auto"/>
              </w:rPr>
            </w:pPr>
            <w:r>
              <w:rPr>
                <w:rFonts w:ascii="Arial" w:cs="Arial" w:eastAsia="Arial" w:hAnsi="Arial"/>
                <w:sz w:val="18"/>
                <w:szCs w:val="18"/>
                <w:color w:val="auto"/>
              </w:rPr>
              <w:t>5.1</w:t>
            </w:r>
          </w:p>
        </w:tc>
        <w:tc>
          <w:tcPr>
            <w:tcW w:w="10240" w:type="dxa"/>
            <w:vAlign w:val="bottom"/>
            <w:gridSpan w:val="2"/>
          </w:tcPr>
          <w:p>
            <w:pPr>
              <w:ind w:left="320"/>
              <w:spacing w:after="0"/>
              <w:rPr>
                <w:sz w:val="20"/>
                <w:szCs w:val="20"/>
                <w:color w:val="auto"/>
              </w:rPr>
            </w:pPr>
            <w:r>
              <w:rPr>
                <w:rFonts w:ascii="Arial" w:cs="Arial" w:eastAsia="Arial" w:hAnsi="Arial"/>
                <w:sz w:val="18"/>
                <w:szCs w:val="18"/>
                <w:color w:val="auto"/>
              </w:rPr>
              <w:t>Opinion of Appleby Spurling Hunter.</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jc w:val="right"/>
              <w:ind w:right="454"/>
              <w:spacing w:after="0"/>
              <w:rPr>
                <w:sz w:val="20"/>
                <w:szCs w:val="20"/>
                <w:color w:val="auto"/>
              </w:rPr>
            </w:pPr>
            <w:r>
              <w:rPr>
                <w:rFonts w:ascii="Arial" w:cs="Arial" w:eastAsia="Arial" w:hAnsi="Arial"/>
                <w:sz w:val="18"/>
                <w:szCs w:val="18"/>
                <w:color w:val="auto"/>
              </w:rPr>
              <w:t>23.1</w:t>
            </w:r>
          </w:p>
        </w:tc>
        <w:tc>
          <w:tcPr>
            <w:tcW w:w="10240" w:type="dxa"/>
            <w:vAlign w:val="bottom"/>
            <w:gridSpan w:val="2"/>
          </w:tcPr>
          <w:p>
            <w:pPr>
              <w:ind w:left="32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jc w:val="right"/>
              <w:ind w:right="454"/>
              <w:spacing w:after="0"/>
              <w:rPr>
                <w:sz w:val="20"/>
                <w:szCs w:val="20"/>
                <w:color w:val="auto"/>
              </w:rPr>
            </w:pPr>
            <w:r>
              <w:rPr>
                <w:rFonts w:ascii="Arial" w:cs="Arial" w:eastAsia="Arial" w:hAnsi="Arial"/>
                <w:sz w:val="18"/>
                <w:szCs w:val="18"/>
                <w:color w:val="auto"/>
              </w:rPr>
              <w:t>23.2</w:t>
            </w:r>
          </w:p>
        </w:tc>
        <w:tc>
          <w:tcPr>
            <w:tcW w:w="10240" w:type="dxa"/>
            <w:vAlign w:val="bottom"/>
            <w:gridSpan w:val="2"/>
          </w:tcPr>
          <w:p>
            <w:pPr>
              <w:ind w:left="320"/>
              <w:spacing w:after="0"/>
              <w:rPr>
                <w:sz w:val="20"/>
                <w:szCs w:val="20"/>
                <w:color w:val="auto"/>
              </w:rPr>
            </w:pPr>
            <w:r>
              <w:rPr>
                <w:rFonts w:ascii="Arial" w:cs="Arial" w:eastAsia="Arial" w:hAnsi="Arial"/>
                <w:sz w:val="18"/>
                <w:szCs w:val="18"/>
                <w:color w:val="auto"/>
              </w:rPr>
              <w:t>Consent of Appleby Spurling Hunter (included in Exhibit 5.1 hereto).</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jc w:val="right"/>
              <w:ind w:right="454"/>
              <w:spacing w:after="0"/>
              <w:rPr>
                <w:sz w:val="20"/>
                <w:szCs w:val="20"/>
                <w:color w:val="auto"/>
              </w:rPr>
            </w:pPr>
            <w:r>
              <w:rPr>
                <w:rFonts w:ascii="Arial" w:cs="Arial" w:eastAsia="Arial" w:hAnsi="Arial"/>
                <w:sz w:val="18"/>
                <w:szCs w:val="18"/>
                <w:color w:val="auto"/>
              </w:rPr>
              <w:t>24.1</w:t>
            </w:r>
          </w:p>
        </w:tc>
        <w:tc>
          <w:tcPr>
            <w:tcW w:w="10240" w:type="dxa"/>
            <w:vAlign w:val="bottom"/>
            <w:gridSpan w:val="2"/>
          </w:tcPr>
          <w:p>
            <w:pPr>
              <w:ind w:left="320"/>
              <w:spacing w:after="0"/>
              <w:rPr>
                <w:sz w:val="20"/>
                <w:szCs w:val="20"/>
                <w:color w:val="auto"/>
              </w:rPr>
            </w:pPr>
            <w:r>
              <w:rPr>
                <w:rFonts w:ascii="Arial" w:cs="Arial" w:eastAsia="Arial" w:hAnsi="Arial"/>
                <w:sz w:val="18"/>
                <w:szCs w:val="18"/>
                <w:color w:val="auto"/>
              </w:rPr>
              <w:t>Power of Attorney (contained on signature page hereto).</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4"/>
                <w:szCs w:val="24"/>
                <w:color w:val="auto"/>
              </w:rPr>
            </w:pPr>
          </w:p>
        </w:tc>
        <w:tc>
          <w:tcPr>
            <w:tcW w:w="10240" w:type="dxa"/>
            <w:vAlign w:val="bottom"/>
            <w:gridSpan w:val="2"/>
          </w:tcPr>
          <w:p>
            <w:pPr>
              <w:ind w:left="4480"/>
              <w:spacing w:after="0"/>
              <w:rPr>
                <w:sz w:val="20"/>
                <w:szCs w:val="20"/>
                <w:color w:val="auto"/>
              </w:rPr>
            </w:pPr>
            <w:r>
              <w:rPr>
                <w:rFonts w:ascii="Arial" w:cs="Arial" w:eastAsia="Arial" w:hAnsi="Arial"/>
                <w:sz w:val="18"/>
                <w:szCs w:val="18"/>
                <w:color w:val="auto"/>
              </w:rPr>
              <w:t>1</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1180" w:type="dxa"/>
            <w:vAlign w:val="bottom"/>
            <w:tcBorders>
              <w:bottom w:val="single" w:sz="8" w:color="808080"/>
            </w:tcBorders>
          </w:tcPr>
          <w:p>
            <w:pPr>
              <w:spacing w:after="0"/>
              <w:rPr>
                <w:sz w:val="9"/>
                <w:szCs w:val="9"/>
                <w:color w:val="auto"/>
              </w:rPr>
            </w:pPr>
          </w:p>
        </w:tc>
        <w:tc>
          <w:tcPr>
            <w:tcW w:w="10240" w:type="dxa"/>
            <w:vAlign w:val="bottom"/>
            <w:tcBorders>
              <w:bottom w:val="single" w:sz="8" w:color="808080"/>
            </w:tcBorders>
            <w:gridSpan w:val="2"/>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767"/>
        </w:trPr>
        <w:tc>
          <w:tcPr>
            <w:tcW w:w="1180" w:type="dxa"/>
            <w:vAlign w:val="bottom"/>
          </w:tcPr>
          <w:p>
            <w:pPr>
              <w:jc w:val="right"/>
              <w:ind w:right="354"/>
              <w:spacing w:after="0"/>
              <w:rPr>
                <w:sz w:val="20"/>
                <w:szCs w:val="20"/>
                <w:color w:val="auto"/>
              </w:rPr>
            </w:pPr>
            <w:r>
              <w:rPr>
                <w:rFonts w:ascii="Arial" w:cs="Arial" w:eastAsia="Arial" w:hAnsi="Arial"/>
                <w:sz w:val="18"/>
                <w:szCs w:val="18"/>
                <w:color w:val="auto"/>
              </w:rPr>
              <w:t>99.1*</w:t>
            </w:r>
          </w:p>
        </w:tc>
        <w:tc>
          <w:tcPr>
            <w:tcW w:w="10240" w:type="dxa"/>
            <w:vAlign w:val="bottom"/>
            <w:gridSpan w:val="2"/>
          </w:tcPr>
          <w:p>
            <w:pPr>
              <w:ind w:left="320"/>
              <w:spacing w:after="0"/>
              <w:rPr>
                <w:sz w:val="20"/>
                <w:szCs w:val="20"/>
                <w:color w:val="auto"/>
              </w:rPr>
            </w:pPr>
            <w:r>
              <w:rPr>
                <w:rFonts w:ascii="Arial" w:cs="Arial" w:eastAsia="Arial" w:hAnsi="Arial"/>
                <w:sz w:val="18"/>
                <w:szCs w:val="18"/>
                <w:color w:val="auto"/>
              </w:rPr>
              <w:t>Marvell Technology Group Ltd. Amended and Restated 1995 Stock Option Plan.</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jc w:val="right"/>
              <w:ind w:right="274"/>
              <w:spacing w:after="0"/>
              <w:rPr>
                <w:sz w:val="20"/>
                <w:szCs w:val="20"/>
                <w:color w:val="auto"/>
              </w:rPr>
            </w:pPr>
            <w:r>
              <w:rPr>
                <w:rFonts w:ascii="Arial" w:cs="Arial" w:eastAsia="Arial" w:hAnsi="Arial"/>
                <w:sz w:val="18"/>
                <w:szCs w:val="18"/>
                <w:color w:val="auto"/>
              </w:rPr>
              <w:t>99.2**</w:t>
            </w:r>
          </w:p>
        </w:tc>
        <w:tc>
          <w:tcPr>
            <w:tcW w:w="10240" w:type="dxa"/>
            <w:vAlign w:val="bottom"/>
            <w:gridSpan w:val="2"/>
          </w:tcPr>
          <w:p>
            <w:pPr>
              <w:ind w:left="320"/>
              <w:spacing w:after="0"/>
              <w:rPr>
                <w:sz w:val="20"/>
                <w:szCs w:val="20"/>
                <w:color w:val="auto"/>
              </w:rPr>
            </w:pPr>
            <w:r>
              <w:rPr>
                <w:rFonts w:ascii="Arial" w:cs="Arial" w:eastAsia="Arial" w:hAnsi="Arial"/>
                <w:sz w:val="18"/>
                <w:szCs w:val="18"/>
                <w:color w:val="auto"/>
              </w:rPr>
              <w:t>Marvell Technology Group Ltd. Amended 2000 Employee Stock Purchase Plan.</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-775335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-775335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188595</wp:posOffset>
            </wp:positionV>
            <wp:extent cx="182689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71" w:lineRule="exact"/>
        <w:rPr>
          <w:sz w:val="20"/>
          <w:szCs w:val="20"/>
          <w:color w:val="auto"/>
        </w:rPr>
      </w:pPr>
    </w:p>
    <w:p>
      <w:pPr>
        <w:ind w:left="640" w:hanging="632"/>
        <w:spacing w:after="0"/>
        <w:tabs>
          <w:tab w:leader="none" w:pos="640" w:val="left"/>
        </w:tabs>
        <w:numPr>
          <w:ilvl w:val="0"/>
          <w:numId w:val="3"/>
        </w:numPr>
        <w:rPr>
          <w:rFonts w:ascii="Arial" w:cs="Arial" w:eastAsia="Arial" w:hAnsi="Arial"/>
          <w:sz w:val="16"/>
          <w:szCs w:val="16"/>
          <w:color w:val="auto"/>
        </w:rPr>
      </w:pPr>
      <w:r>
        <w:rPr>
          <w:rFonts w:ascii="Arial" w:cs="Arial" w:eastAsia="Arial" w:hAnsi="Arial"/>
          <w:sz w:val="16"/>
          <w:szCs w:val="16"/>
          <w:color w:val="auto"/>
        </w:rPr>
        <w:t>Incorporated by reference to Exhibit 10.20 of the registrant’s quarterly report on 10-Q for the period ended August 2, 2003 as filed on September 15,</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2003.</w:t>
      </w:r>
    </w:p>
    <w:p>
      <w:pPr>
        <w:spacing w:after="0" w:line="211" w:lineRule="exact"/>
        <w:rPr>
          <w:sz w:val="20"/>
          <w:szCs w:val="20"/>
          <w:color w:val="auto"/>
        </w:rPr>
      </w:pPr>
    </w:p>
    <w:p>
      <w:pPr>
        <w:ind w:left="5660" w:right="1380" w:hanging="5652"/>
        <w:spacing w:after="0" w:line="528" w:lineRule="auto"/>
        <w:tabs>
          <w:tab w:leader="none" w:pos="6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Incorporated by reference to Appendix A of the registrant’s proxy statement for the 2003 Annual General Meeting of Shareholders.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-99060</wp:posOffset>
            </wp:positionV>
            <wp:extent cx="7267575"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37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60" w:firstLine="648"/>
        <w:spacing w:after="0" w:line="342" w:lineRule="auto"/>
        <w:rPr>
          <w:sz w:val="20"/>
          <w:szCs w:val="20"/>
          <w:color w:val="auto"/>
        </w:rPr>
      </w:pPr>
      <w:r>
        <w:rPr>
          <w:rFonts w:ascii="Arial" w:cs="Arial" w:eastAsia="Arial" w:hAnsi="Arial"/>
          <w:sz w:val="16"/>
          <w:szCs w:val="16"/>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w:t>
      </w:r>
    </w:p>
    <w:p>
      <w:pPr>
        <w:sectPr>
          <w:pgSz w:w="11900" w:h="16840" w:orient="portrait"/>
          <w:cols w:equalWidth="0" w:num="1">
            <w:col w:w="11440"/>
          </w:cols>
          <w:pgMar w:left="240" w:top="1377" w:right="219" w:bottom="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t>in the City of Sunnyvale, State of California, on the 14</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day of April, 2005.</w:t>
      </w:r>
    </w:p>
    <w:p>
      <w:pPr>
        <w:spacing w:after="0" w:line="124"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5820" w:type="dxa"/>
        <w:tblCellMar>
          <w:top w:w="0" w:type="dxa"/>
          <w:left w:w="0" w:type="dxa"/>
          <w:bottom w:w="0" w:type="dxa"/>
          <w:right w:w="0" w:type="dxa"/>
        </w:tblCellMar>
      </w:tblPr>
      <w:tr>
        <w:trPr>
          <w:trHeight w:val="230"/>
        </w:trPr>
        <w:tc>
          <w:tcPr>
            <w:tcW w:w="320" w:type="dxa"/>
            <w:vAlign w:val="bottom"/>
          </w:tcPr>
          <w:p>
            <w:pPr>
              <w:spacing w:after="0"/>
              <w:rPr>
                <w:sz w:val="20"/>
                <w:szCs w:val="20"/>
                <w:color w:val="auto"/>
              </w:rPr>
            </w:pPr>
            <w:r>
              <w:rPr>
                <w:rFonts w:ascii="Arial" w:cs="Arial" w:eastAsia="Arial" w:hAnsi="Arial"/>
                <w:sz w:val="18"/>
                <w:szCs w:val="18"/>
                <w:color w:val="auto"/>
              </w:rPr>
              <w:t>By:</w:t>
            </w:r>
          </w:p>
        </w:tc>
        <w:tc>
          <w:tcPr>
            <w:tcW w:w="160" w:type="dxa"/>
            <w:vAlign w:val="bottom"/>
          </w:tcPr>
          <w:p>
            <w:pPr>
              <w:spacing w:after="0"/>
              <w:rPr>
                <w:sz w:val="20"/>
                <w:szCs w:val="20"/>
                <w:color w:val="auto"/>
              </w:rPr>
            </w:pPr>
          </w:p>
        </w:tc>
        <w:tc>
          <w:tcPr>
            <w:tcW w:w="5120" w:type="dxa"/>
            <w:vAlign w:val="bottom"/>
            <w:tcBorders>
              <w:bottom w:val="single" w:sz="8" w:color="auto"/>
            </w:tcBorders>
          </w:tcPr>
          <w:p>
            <w:pPr>
              <w:ind w:left="540"/>
              <w:spacing w:after="0"/>
              <w:rPr>
                <w:sz w:val="20"/>
                <w:szCs w:val="20"/>
                <w:color w:val="auto"/>
              </w:rPr>
            </w:pPr>
            <w:r>
              <w:rPr>
                <w:rFonts w:ascii="Arial" w:cs="Arial" w:eastAsia="Arial" w:hAnsi="Arial"/>
                <w:sz w:val="18"/>
                <w:szCs w:val="18"/>
                <w:color w:val="auto"/>
              </w:rPr>
              <w:t>/s/ Dr. Sehat Sutardja</w:t>
            </w:r>
          </w:p>
        </w:tc>
      </w:tr>
      <w:tr>
        <w:trPr>
          <w:trHeight w:val="195"/>
        </w:trPr>
        <w:tc>
          <w:tcPr>
            <w:tcW w:w="3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120" w:type="dxa"/>
            <w:vAlign w:val="bottom"/>
          </w:tcPr>
          <w:p>
            <w:pPr>
              <w:ind w:left="720"/>
              <w:spacing w:after="0" w:line="195" w:lineRule="exact"/>
              <w:rPr>
                <w:sz w:val="20"/>
                <w:szCs w:val="20"/>
                <w:color w:val="auto"/>
              </w:rPr>
            </w:pPr>
            <w:r>
              <w:rPr>
                <w:rFonts w:ascii="Arial" w:cs="Arial" w:eastAsia="Arial" w:hAnsi="Arial"/>
                <w:sz w:val="18"/>
                <w:szCs w:val="18"/>
                <w:color w:val="auto"/>
              </w:rPr>
              <w:t>Dr. Sehat Sutardja</w:t>
            </w:r>
          </w:p>
        </w:tc>
      </w:tr>
      <w:tr>
        <w:trPr>
          <w:trHeight w:val="230"/>
        </w:trPr>
        <w:tc>
          <w:tcPr>
            <w:tcW w:w="320" w:type="dxa"/>
            <w:vAlign w:val="bottom"/>
          </w:tcPr>
          <w:p>
            <w:pPr>
              <w:spacing w:after="0"/>
              <w:rPr>
                <w:sz w:val="20"/>
                <w:szCs w:val="20"/>
                <w:color w:val="auto"/>
              </w:rPr>
            </w:pPr>
          </w:p>
        </w:tc>
        <w:tc>
          <w:tcPr>
            <w:tcW w:w="5280" w:type="dxa"/>
            <w:vAlign w:val="bottom"/>
            <w:gridSpan w:val="2"/>
          </w:tcPr>
          <w:p>
            <w:pPr>
              <w:ind w:left="40"/>
              <w:spacing w:after="0"/>
              <w:rPr>
                <w:sz w:val="20"/>
                <w:szCs w:val="20"/>
                <w:color w:val="auto"/>
              </w:rPr>
            </w:pPr>
            <w:r>
              <w:rPr>
                <w:rFonts w:ascii="Arial" w:cs="Arial" w:eastAsia="Arial" w:hAnsi="Arial"/>
                <w:sz w:val="18"/>
                <w:szCs w:val="18"/>
                <w:color w:val="auto"/>
              </w:rPr>
              <w:t>President and Chief Executive Officer</w:t>
            </w:r>
          </w:p>
        </w:tc>
      </w:tr>
    </w:tbl>
    <w:p>
      <w:pPr>
        <w:spacing w:after="0" w:line="19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 OF AUTHORIZED REPRESENTATIVE OF MARVELL TECHNOLOGY GROUP LTD.</w:t>
      </w:r>
    </w:p>
    <w:p>
      <w:pPr>
        <w:spacing w:after="0" w:line="229" w:lineRule="exact"/>
        <w:rPr>
          <w:sz w:val="20"/>
          <w:szCs w:val="20"/>
          <w:color w:val="auto"/>
        </w:rPr>
      </w:pPr>
    </w:p>
    <w:p>
      <w:pPr>
        <w:ind w:right="560" w:firstLine="648"/>
        <w:spacing w:after="0" w:line="341" w:lineRule="auto"/>
        <w:rPr>
          <w:sz w:val="20"/>
          <w:szCs w:val="20"/>
          <w:color w:val="auto"/>
        </w:rPr>
      </w:pPr>
      <w:r>
        <w:rPr>
          <w:rFonts w:ascii="Arial" w:cs="Arial" w:eastAsia="Arial" w:hAnsi="Arial"/>
          <w:sz w:val="16"/>
          <w:szCs w:val="16"/>
          <w:color w:val="auto"/>
        </w:rPr>
        <w:t>Pursuant to the requirements of the Securities Act of 1933, the undersigned, the duly authorized representative in the United States of Marvell Technology Group Ltd., has signed this Registration Statement in the City of Sunnyvale, State of California, on the 14</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day of April, 2005.</w:t>
      </w:r>
    </w:p>
    <w:p>
      <w:pPr>
        <w:spacing w:after="0" w:line="219" w:lineRule="exact"/>
        <w:rPr>
          <w:sz w:val="20"/>
          <w:szCs w:val="20"/>
          <w:color w:val="auto"/>
        </w:rPr>
      </w:pPr>
    </w:p>
    <w:tbl>
      <w:tblPr>
        <w:tblLayout w:type="fixed"/>
        <w:tblInd w:w="5820" w:type="dxa"/>
        <w:tblCellMar>
          <w:top w:w="0" w:type="dxa"/>
          <w:left w:w="0" w:type="dxa"/>
          <w:bottom w:w="0" w:type="dxa"/>
          <w:right w:w="0" w:type="dxa"/>
        </w:tblCellMar>
      </w:tblPr>
      <w:tr>
        <w:trPr>
          <w:trHeight w:val="230"/>
        </w:trPr>
        <w:tc>
          <w:tcPr>
            <w:tcW w:w="320" w:type="dxa"/>
            <w:vAlign w:val="bottom"/>
          </w:tcPr>
          <w:p>
            <w:pPr>
              <w:spacing w:after="0"/>
              <w:rPr>
                <w:sz w:val="20"/>
                <w:szCs w:val="20"/>
                <w:color w:val="auto"/>
              </w:rPr>
            </w:pPr>
            <w:r>
              <w:rPr>
                <w:rFonts w:ascii="Arial" w:cs="Arial" w:eastAsia="Arial" w:hAnsi="Arial"/>
                <w:sz w:val="18"/>
                <w:szCs w:val="18"/>
                <w:color w:val="auto"/>
              </w:rPr>
              <w:t>By:</w:t>
            </w:r>
          </w:p>
        </w:tc>
        <w:tc>
          <w:tcPr>
            <w:tcW w:w="160" w:type="dxa"/>
            <w:vAlign w:val="bottom"/>
          </w:tcPr>
          <w:p>
            <w:pPr>
              <w:spacing w:after="0"/>
              <w:rPr>
                <w:sz w:val="20"/>
                <w:szCs w:val="20"/>
                <w:color w:val="auto"/>
              </w:rPr>
            </w:pPr>
          </w:p>
        </w:tc>
        <w:tc>
          <w:tcPr>
            <w:tcW w:w="5120" w:type="dxa"/>
            <w:vAlign w:val="bottom"/>
            <w:tcBorders>
              <w:bottom w:val="single" w:sz="8" w:color="auto"/>
            </w:tcBorders>
          </w:tcPr>
          <w:p>
            <w:pPr>
              <w:ind w:left="540"/>
              <w:spacing w:after="0"/>
              <w:rPr>
                <w:sz w:val="20"/>
                <w:szCs w:val="20"/>
                <w:color w:val="auto"/>
              </w:rPr>
            </w:pPr>
            <w:r>
              <w:rPr>
                <w:rFonts w:ascii="Arial" w:cs="Arial" w:eastAsia="Arial" w:hAnsi="Arial"/>
                <w:sz w:val="18"/>
                <w:szCs w:val="18"/>
                <w:color w:val="auto"/>
              </w:rPr>
              <w:t>/s/ Dr. Sehat Sutardja</w:t>
            </w:r>
          </w:p>
        </w:tc>
      </w:tr>
      <w:tr>
        <w:trPr>
          <w:trHeight w:val="195"/>
        </w:trPr>
        <w:tc>
          <w:tcPr>
            <w:tcW w:w="3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120" w:type="dxa"/>
            <w:vAlign w:val="bottom"/>
          </w:tcPr>
          <w:p>
            <w:pPr>
              <w:ind w:left="720"/>
              <w:spacing w:after="0" w:line="195" w:lineRule="exact"/>
              <w:rPr>
                <w:sz w:val="20"/>
                <w:szCs w:val="20"/>
                <w:color w:val="auto"/>
              </w:rPr>
            </w:pPr>
            <w:r>
              <w:rPr>
                <w:rFonts w:ascii="Arial" w:cs="Arial" w:eastAsia="Arial" w:hAnsi="Arial"/>
                <w:sz w:val="18"/>
                <w:szCs w:val="18"/>
                <w:color w:val="auto"/>
              </w:rPr>
              <w:t>Dr. Sehat Sutardja</w:t>
            </w:r>
          </w:p>
        </w:tc>
      </w:tr>
      <w:tr>
        <w:trPr>
          <w:trHeight w:val="230"/>
        </w:trPr>
        <w:tc>
          <w:tcPr>
            <w:tcW w:w="320" w:type="dxa"/>
            <w:vAlign w:val="bottom"/>
          </w:tcPr>
          <w:p>
            <w:pPr>
              <w:spacing w:after="0"/>
              <w:rPr>
                <w:sz w:val="20"/>
                <w:szCs w:val="20"/>
                <w:color w:val="auto"/>
              </w:rPr>
            </w:pPr>
          </w:p>
        </w:tc>
        <w:tc>
          <w:tcPr>
            <w:tcW w:w="5280" w:type="dxa"/>
            <w:vAlign w:val="bottom"/>
            <w:gridSpan w:val="2"/>
          </w:tcPr>
          <w:p>
            <w:pPr>
              <w:ind w:left="40"/>
              <w:spacing w:after="0"/>
              <w:rPr>
                <w:sz w:val="20"/>
                <w:szCs w:val="20"/>
                <w:color w:val="auto"/>
              </w:rPr>
            </w:pPr>
            <w:r>
              <w:rPr>
                <w:rFonts w:ascii="Arial" w:cs="Arial" w:eastAsia="Arial" w:hAnsi="Arial"/>
                <w:sz w:val="18"/>
                <w:szCs w:val="18"/>
                <w:color w:val="auto"/>
              </w:rPr>
              <w:t>President and Chief Executive Officer</w:t>
            </w:r>
          </w:p>
        </w:tc>
      </w:tr>
    </w:tbl>
    <w:p>
      <w:pPr>
        <w:spacing w:after="0" w:line="19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20" w:firstLine="648"/>
        <w:spacing w:after="0" w:line="272" w:lineRule="auto"/>
        <w:rPr>
          <w:sz w:val="20"/>
          <w:szCs w:val="20"/>
          <w:color w:val="auto"/>
        </w:rPr>
      </w:pPr>
      <w:r>
        <w:rPr>
          <w:rFonts w:ascii="Arial" w:cs="Arial" w:eastAsia="Arial" w:hAnsi="Arial"/>
          <w:sz w:val="17"/>
          <w:szCs w:val="17"/>
          <w:color w:val="auto"/>
        </w:rPr>
        <w:t>KNOW ALL MEN BY THESE PRESENT, that each person whose signature appears below constitutes and appoints DR. SEHAT SUTARDJA and GEORGE HERVEY, and each of them, his true and lawful attorneys-in-fact and agents, each with full power of substitution and resubstitution, for him and in his name, place and stead, in any and all capacities, to sign any and all amendments, including post-effective amendments, to this Registration Statement on Form S-8,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might or could do in person, hereby ratifying and confirming all that said attorneys-in-fact and agents, or his substitute or substitutes, may lawfully do or cause to be done by virtue hereof.</w:t>
      </w:r>
    </w:p>
    <w:p>
      <w:pPr>
        <w:spacing w:after="0" w:line="178"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3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Signature</w:t>
            </w:r>
          </w:p>
        </w:tc>
        <w:tc>
          <w:tcPr>
            <w:tcW w:w="400" w:type="dxa"/>
            <w:vAlign w:val="bottom"/>
          </w:tcPr>
          <w:p>
            <w:pPr>
              <w:spacing w:after="0"/>
              <w:rPr>
                <w:sz w:val="14"/>
                <w:szCs w:val="14"/>
                <w:color w:val="auto"/>
              </w:rPr>
            </w:pPr>
          </w:p>
        </w:tc>
        <w:tc>
          <w:tcPr>
            <w:tcW w:w="39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400" w:type="dxa"/>
            <w:vAlign w:val="bottom"/>
          </w:tcPr>
          <w:p>
            <w:pPr>
              <w:spacing w:after="0"/>
              <w:rPr>
                <w:sz w:val="14"/>
                <w:szCs w:val="14"/>
                <w:color w:val="auto"/>
              </w:rPr>
            </w:pPr>
          </w:p>
        </w:tc>
        <w:tc>
          <w:tcPr>
            <w:tcW w:w="2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c>
          <w:tcPr>
            <w:tcW w:w="20" w:type="dxa"/>
            <w:vAlign w:val="bottom"/>
          </w:tcPr>
          <w:p>
            <w:pPr>
              <w:spacing w:after="0"/>
              <w:rPr>
                <w:sz w:val="14"/>
                <w:szCs w:val="14"/>
                <w:color w:val="auto"/>
              </w:rPr>
            </w:pPr>
          </w:p>
        </w:tc>
      </w:tr>
      <w:tr>
        <w:trPr>
          <w:trHeight w:val="411"/>
        </w:trPr>
        <w:tc>
          <w:tcPr>
            <w:tcW w:w="4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340" w:type="dxa"/>
            <w:vAlign w:val="bottom"/>
            <w:gridSpan w:val="2"/>
          </w:tcPr>
          <w:p>
            <w:pPr>
              <w:jc w:val="center"/>
              <w:ind w:right="400"/>
              <w:spacing w:after="0"/>
              <w:rPr>
                <w:sz w:val="20"/>
                <w:szCs w:val="20"/>
                <w:color w:val="auto"/>
              </w:rPr>
            </w:pPr>
            <w:r>
              <w:rPr>
                <w:rFonts w:ascii="Arial" w:cs="Arial" w:eastAsia="Arial" w:hAnsi="Arial"/>
                <w:sz w:val="18"/>
                <w:szCs w:val="18"/>
                <w:color w:val="auto"/>
                <w:w w:val="90"/>
              </w:rPr>
              <w:t>Chairman of the Board, President,</w:t>
            </w:r>
          </w:p>
        </w:tc>
        <w:tc>
          <w:tcPr>
            <w:tcW w:w="23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30"/>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c>
          <w:tcPr>
            <w:tcW w:w="400" w:type="dxa"/>
            <w:vAlign w:val="bottom"/>
          </w:tcPr>
          <w:p>
            <w:pPr>
              <w:spacing w:after="0"/>
              <w:rPr>
                <w:sz w:val="20"/>
                <w:szCs w:val="20"/>
                <w:color w:val="auto"/>
              </w:rPr>
            </w:pPr>
          </w:p>
        </w:tc>
        <w:tc>
          <w:tcPr>
            <w:tcW w:w="4340" w:type="dxa"/>
            <w:vAlign w:val="bottom"/>
            <w:gridSpan w:val="2"/>
          </w:tcPr>
          <w:p>
            <w:pPr>
              <w:jc w:val="center"/>
              <w:ind w:right="400"/>
              <w:spacing w:after="0"/>
              <w:rPr>
                <w:sz w:val="20"/>
                <w:szCs w:val="20"/>
                <w:color w:val="auto"/>
              </w:rPr>
            </w:pPr>
            <w:r>
              <w:rPr>
                <w:rFonts w:ascii="Arial" w:cs="Arial" w:eastAsia="Arial" w:hAnsi="Arial"/>
                <w:sz w:val="18"/>
                <w:szCs w:val="18"/>
                <w:color w:val="auto"/>
                <w:w w:val="92"/>
              </w:rPr>
              <w:t>and Chief Executive Officer</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0"/>
                <w:szCs w:val="20"/>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c>
          <w:tcPr>
            <w:tcW w:w="400" w:type="dxa"/>
            <w:vAlign w:val="bottom"/>
          </w:tcPr>
          <w:p>
            <w:pPr>
              <w:spacing w:after="0"/>
              <w:rPr>
                <w:sz w:val="19"/>
                <w:szCs w:val="19"/>
                <w:color w:val="auto"/>
              </w:rPr>
            </w:pPr>
          </w:p>
        </w:tc>
        <w:tc>
          <w:tcPr>
            <w:tcW w:w="4340" w:type="dxa"/>
            <w:vAlign w:val="bottom"/>
            <w:gridSpan w:val="2"/>
          </w:tcPr>
          <w:p>
            <w:pPr>
              <w:jc w:val="center"/>
              <w:ind w:right="400"/>
              <w:spacing w:after="0"/>
              <w:rPr>
                <w:sz w:val="20"/>
                <w:szCs w:val="20"/>
                <w:color w:val="auto"/>
              </w:rPr>
            </w:pPr>
            <w:r>
              <w:rPr>
                <w:rFonts w:ascii="Arial" w:cs="Arial" w:eastAsia="Arial" w:hAnsi="Arial"/>
                <w:sz w:val="18"/>
                <w:szCs w:val="18"/>
                <w:color w:val="auto"/>
                <w:w w:val="94"/>
              </w:rPr>
              <w:t>(Principal Executive Officer)</w:t>
            </w: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04"/>
        </w:trPr>
        <w:tc>
          <w:tcPr>
            <w:tcW w:w="4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0"/>
              </w:rPr>
              <w:t>Vice President of Finance and Chief</w:t>
            </w:r>
          </w:p>
        </w:tc>
        <w:tc>
          <w:tcPr>
            <w:tcW w:w="23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30"/>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George Hervey</w:t>
            </w:r>
          </w:p>
        </w:tc>
        <w:tc>
          <w:tcPr>
            <w:tcW w:w="400" w:type="dxa"/>
            <w:vAlign w:val="bottom"/>
          </w:tcPr>
          <w:p>
            <w:pPr>
              <w:spacing w:after="0"/>
              <w:rPr>
                <w:sz w:val="20"/>
                <w:szCs w:val="20"/>
                <w:color w:val="auto"/>
              </w:rPr>
            </w:pPr>
          </w:p>
        </w:tc>
        <w:tc>
          <w:tcPr>
            <w:tcW w:w="4340" w:type="dxa"/>
            <w:vAlign w:val="bottom"/>
            <w:gridSpan w:val="2"/>
          </w:tcPr>
          <w:p>
            <w:pPr>
              <w:jc w:val="center"/>
              <w:ind w:right="400"/>
              <w:spacing w:after="0"/>
              <w:rPr>
                <w:sz w:val="20"/>
                <w:szCs w:val="20"/>
                <w:color w:val="auto"/>
              </w:rPr>
            </w:pPr>
            <w:r>
              <w:rPr>
                <w:rFonts w:ascii="Arial" w:cs="Arial" w:eastAsia="Arial" w:hAnsi="Arial"/>
                <w:sz w:val="18"/>
                <w:szCs w:val="18"/>
                <w:color w:val="auto"/>
                <w:w w:val="94"/>
              </w:rPr>
              <w:t>Financial Officer (Principal Financial</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0"/>
                <w:szCs w:val="20"/>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90"/>
              </w:rPr>
              <w:t>George Hervey</w:t>
            </w:r>
          </w:p>
        </w:tc>
        <w:tc>
          <w:tcPr>
            <w:tcW w:w="400" w:type="dxa"/>
            <w:vAlign w:val="bottom"/>
          </w:tcPr>
          <w:p>
            <w:pPr>
              <w:spacing w:after="0"/>
              <w:rPr>
                <w:sz w:val="19"/>
                <w:szCs w:val="19"/>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3"/>
              </w:rPr>
              <w:t>and Accounting Officer)</w:t>
            </w: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Weili Dai</w:t>
            </w:r>
          </w:p>
        </w:tc>
        <w:tc>
          <w:tcPr>
            <w:tcW w:w="400" w:type="dxa"/>
            <w:vAlign w:val="bottom"/>
          </w:tcPr>
          <w:p>
            <w:pPr>
              <w:spacing w:after="0"/>
              <w:rPr>
                <w:sz w:val="24"/>
                <w:szCs w:val="24"/>
                <w:color w:val="auto"/>
              </w:rPr>
            </w:pPr>
          </w:p>
        </w:tc>
        <w:tc>
          <w:tcPr>
            <w:tcW w:w="4340" w:type="dxa"/>
            <w:vAlign w:val="bottom"/>
            <w:gridSpan w:val="2"/>
          </w:tcPr>
          <w:p>
            <w:pPr>
              <w:jc w:val="center"/>
              <w:ind w:right="400"/>
              <w:spacing w:after="0"/>
              <w:rPr>
                <w:sz w:val="20"/>
                <w:szCs w:val="20"/>
                <w:color w:val="auto"/>
              </w:rPr>
            </w:pPr>
            <w:r>
              <w:rPr>
                <w:rFonts w:ascii="Arial" w:cs="Arial" w:eastAsia="Arial" w:hAnsi="Arial"/>
                <w:sz w:val="18"/>
                <w:szCs w:val="18"/>
                <w:color w:val="auto"/>
                <w:w w:val="90"/>
              </w:rPr>
              <w:t>Executive Vice President, Secretary</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4"/>
                <w:szCs w:val="24"/>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95"/>
              </w:rPr>
              <w:t>Weili Dai</w:t>
            </w:r>
          </w:p>
        </w:tc>
        <w:tc>
          <w:tcPr>
            <w:tcW w:w="400" w:type="dxa"/>
            <w:vAlign w:val="bottom"/>
          </w:tcPr>
          <w:p>
            <w:pPr>
              <w:spacing w:after="0"/>
              <w:rPr>
                <w:sz w:val="19"/>
                <w:szCs w:val="19"/>
                <w:color w:val="auto"/>
              </w:rPr>
            </w:pPr>
          </w:p>
        </w:tc>
        <w:tc>
          <w:tcPr>
            <w:tcW w:w="4340" w:type="dxa"/>
            <w:vAlign w:val="bottom"/>
            <w:gridSpan w:val="2"/>
          </w:tcPr>
          <w:p>
            <w:pPr>
              <w:jc w:val="center"/>
              <w:ind w:right="400"/>
              <w:spacing w:after="0"/>
              <w:rPr>
                <w:sz w:val="20"/>
                <w:szCs w:val="20"/>
                <w:color w:val="auto"/>
              </w:rPr>
            </w:pPr>
            <w:r>
              <w:rPr>
                <w:rFonts w:ascii="Arial" w:cs="Arial" w:eastAsia="Arial" w:hAnsi="Arial"/>
                <w:sz w:val="18"/>
                <w:szCs w:val="18"/>
                <w:color w:val="auto"/>
                <w:w w:val="91"/>
              </w:rPr>
              <w:t>and Director</w:t>
            </w: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Pantas Sutardja</w:t>
            </w:r>
          </w:p>
        </w:tc>
        <w:tc>
          <w:tcPr>
            <w:tcW w:w="400" w:type="dxa"/>
            <w:vAlign w:val="bottom"/>
          </w:tcPr>
          <w:p>
            <w:pPr>
              <w:spacing w:after="0"/>
              <w:rPr>
                <w:sz w:val="24"/>
                <w:szCs w:val="24"/>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2"/>
              </w:rPr>
              <w:t>Chief Technology Officer and</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4"/>
                <w:szCs w:val="24"/>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87"/>
              </w:rPr>
              <w:t>Dr. Pantas Sutardja</w:t>
            </w:r>
          </w:p>
        </w:tc>
        <w:tc>
          <w:tcPr>
            <w:tcW w:w="400" w:type="dxa"/>
            <w:vAlign w:val="bottom"/>
          </w:tcPr>
          <w:p>
            <w:pPr>
              <w:spacing w:after="0"/>
              <w:rPr>
                <w:sz w:val="19"/>
                <w:szCs w:val="19"/>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5"/>
              </w:rPr>
              <w:t>Director</w:t>
            </w: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Pr>
          <w:p>
            <w:pPr>
              <w:spacing w:after="0"/>
              <w:rPr>
                <w:sz w:val="24"/>
                <w:szCs w:val="24"/>
                <w:color w:val="auto"/>
              </w:rPr>
            </w:pPr>
          </w:p>
        </w:tc>
        <w:tc>
          <w:tcPr>
            <w:tcW w:w="4340" w:type="dxa"/>
            <w:vAlign w:val="bottom"/>
            <w:gridSpan w:val="2"/>
          </w:tcPr>
          <w:p>
            <w:pPr>
              <w:jc w:val="center"/>
              <w:ind w:right="1512"/>
              <w:spacing w:after="0"/>
              <w:rPr>
                <w:sz w:val="20"/>
                <w:szCs w:val="20"/>
                <w:color w:val="auto"/>
              </w:rPr>
            </w:pPr>
            <w:r>
              <w:rPr>
                <w:rFonts w:ascii="Arial" w:cs="Arial" w:eastAsia="Arial" w:hAnsi="Arial"/>
                <w:sz w:val="18"/>
                <w:szCs w:val="18"/>
                <w:color w:val="auto"/>
                <w:w w:val="99"/>
              </w:rPr>
              <w:t>3</w:t>
            </w:r>
          </w:p>
        </w:tc>
        <w:tc>
          <w:tcPr>
            <w:tcW w:w="40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05"/>
        </w:trPr>
        <w:tc>
          <w:tcPr>
            <w:tcW w:w="434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4340" w:type="dxa"/>
            <w:vAlign w:val="bottom"/>
            <w:tcBorders>
              <w:bottom w:val="single" w:sz="8" w:color="808080"/>
            </w:tcBorders>
            <w:gridSpan w:val="2"/>
          </w:tcPr>
          <w:p>
            <w:pPr>
              <w:spacing w:after="0"/>
              <w:rPr>
                <w:sz w:val="9"/>
                <w:szCs w:val="9"/>
                <w:color w:val="auto"/>
              </w:rPr>
            </w:pPr>
          </w:p>
        </w:tc>
        <w:tc>
          <w:tcPr>
            <w:tcW w:w="23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r>
      <w:tr>
        <w:trPr>
          <w:trHeight w:val="686"/>
        </w:trPr>
        <w:tc>
          <w:tcPr>
            <w:tcW w:w="43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Signature</w:t>
            </w:r>
          </w:p>
        </w:tc>
        <w:tc>
          <w:tcPr>
            <w:tcW w:w="400" w:type="dxa"/>
            <w:vAlign w:val="bottom"/>
          </w:tcPr>
          <w:p>
            <w:pPr>
              <w:spacing w:after="0"/>
              <w:rPr>
                <w:sz w:val="24"/>
                <w:szCs w:val="24"/>
                <w:color w:val="auto"/>
              </w:rPr>
            </w:pPr>
          </w:p>
        </w:tc>
        <w:tc>
          <w:tcPr>
            <w:tcW w:w="39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400" w:type="dxa"/>
            <w:vAlign w:val="bottom"/>
          </w:tcPr>
          <w:p>
            <w:pPr>
              <w:spacing w:after="0"/>
              <w:rPr>
                <w:sz w:val="24"/>
                <w:szCs w:val="24"/>
                <w:color w:val="auto"/>
              </w:rPr>
            </w:pPr>
          </w:p>
        </w:tc>
        <w:tc>
          <w:tcPr>
            <w:tcW w:w="2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c>
          <w:tcPr>
            <w:tcW w:w="20" w:type="dxa"/>
            <w:vAlign w:val="bottom"/>
          </w:tcPr>
          <w:p>
            <w:pPr>
              <w:spacing w:after="0"/>
              <w:rPr>
                <w:sz w:val="24"/>
                <w:szCs w:val="24"/>
                <w:color w:val="auto"/>
              </w:rPr>
            </w:pPr>
          </w:p>
        </w:tc>
      </w:tr>
      <w:tr>
        <w:trPr>
          <w:trHeight w:val="426"/>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Herbert Chang</w:t>
            </w:r>
          </w:p>
        </w:tc>
        <w:tc>
          <w:tcPr>
            <w:tcW w:w="400" w:type="dxa"/>
            <w:vAlign w:val="bottom"/>
          </w:tcPr>
          <w:p>
            <w:pPr>
              <w:spacing w:after="0"/>
              <w:rPr>
                <w:sz w:val="24"/>
                <w:szCs w:val="24"/>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5"/>
              </w:rPr>
              <w:t>Director</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4"/>
                <w:szCs w:val="24"/>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89"/>
              </w:rPr>
              <w:t>Herbert Chang</w:t>
            </w:r>
          </w:p>
        </w:tc>
        <w:tc>
          <w:tcPr>
            <w:tcW w:w="400" w:type="dxa"/>
            <w:vAlign w:val="bottom"/>
          </w:tcPr>
          <w:p>
            <w:pPr>
              <w:spacing w:after="0"/>
              <w:rPr>
                <w:sz w:val="19"/>
                <w:szCs w:val="19"/>
                <w:color w:val="auto"/>
              </w:rPr>
            </w:pPr>
          </w:p>
        </w:tc>
        <w:tc>
          <w:tcPr>
            <w:tcW w:w="39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Dr. John M. Cioffi</w:t>
            </w:r>
          </w:p>
        </w:tc>
        <w:tc>
          <w:tcPr>
            <w:tcW w:w="400" w:type="dxa"/>
            <w:vAlign w:val="bottom"/>
          </w:tcPr>
          <w:p>
            <w:pPr>
              <w:spacing w:after="0"/>
              <w:rPr>
                <w:sz w:val="24"/>
                <w:szCs w:val="24"/>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5"/>
              </w:rPr>
              <w:t>Director</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4"/>
                <w:szCs w:val="24"/>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96"/>
              </w:rPr>
              <w:t>Dr. John M. Cioffi</w:t>
            </w:r>
          </w:p>
        </w:tc>
        <w:tc>
          <w:tcPr>
            <w:tcW w:w="400" w:type="dxa"/>
            <w:vAlign w:val="bottom"/>
          </w:tcPr>
          <w:p>
            <w:pPr>
              <w:spacing w:after="0"/>
              <w:rPr>
                <w:sz w:val="19"/>
                <w:szCs w:val="19"/>
                <w:color w:val="auto"/>
              </w:rPr>
            </w:pPr>
          </w:p>
        </w:tc>
        <w:tc>
          <w:tcPr>
            <w:tcW w:w="39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Dr. Paul R. Gray</w:t>
            </w:r>
          </w:p>
        </w:tc>
        <w:tc>
          <w:tcPr>
            <w:tcW w:w="400" w:type="dxa"/>
            <w:vAlign w:val="bottom"/>
          </w:tcPr>
          <w:p>
            <w:pPr>
              <w:spacing w:after="0"/>
              <w:rPr>
                <w:sz w:val="24"/>
                <w:szCs w:val="24"/>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5"/>
              </w:rPr>
              <w:t>Director</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4"/>
                <w:szCs w:val="24"/>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90"/>
              </w:rPr>
              <w:t>Dr. Paul R. Gray</w:t>
            </w:r>
          </w:p>
        </w:tc>
        <w:tc>
          <w:tcPr>
            <w:tcW w:w="400" w:type="dxa"/>
            <w:vAlign w:val="bottom"/>
          </w:tcPr>
          <w:p>
            <w:pPr>
              <w:spacing w:after="0"/>
              <w:rPr>
                <w:sz w:val="19"/>
                <w:szCs w:val="19"/>
                <w:color w:val="auto"/>
              </w:rPr>
            </w:pPr>
          </w:p>
        </w:tc>
        <w:tc>
          <w:tcPr>
            <w:tcW w:w="39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Douglas King</w:t>
            </w:r>
          </w:p>
        </w:tc>
        <w:tc>
          <w:tcPr>
            <w:tcW w:w="400" w:type="dxa"/>
            <w:vAlign w:val="bottom"/>
          </w:tcPr>
          <w:p>
            <w:pPr>
              <w:spacing w:after="0"/>
              <w:rPr>
                <w:sz w:val="24"/>
                <w:szCs w:val="24"/>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5"/>
              </w:rPr>
              <w:t>Director</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4"/>
                <w:szCs w:val="24"/>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93"/>
              </w:rPr>
              <w:t>Douglas King</w:t>
            </w:r>
          </w:p>
        </w:tc>
        <w:tc>
          <w:tcPr>
            <w:tcW w:w="400" w:type="dxa"/>
            <w:vAlign w:val="bottom"/>
          </w:tcPr>
          <w:p>
            <w:pPr>
              <w:spacing w:after="0"/>
              <w:rPr>
                <w:sz w:val="19"/>
                <w:szCs w:val="19"/>
                <w:color w:val="auto"/>
              </w:rPr>
            </w:pPr>
          </w:p>
        </w:tc>
        <w:tc>
          <w:tcPr>
            <w:tcW w:w="39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Ronald Verdoorn</w:t>
            </w:r>
          </w:p>
        </w:tc>
        <w:tc>
          <w:tcPr>
            <w:tcW w:w="400" w:type="dxa"/>
            <w:vAlign w:val="bottom"/>
          </w:tcPr>
          <w:p>
            <w:pPr>
              <w:spacing w:after="0"/>
              <w:rPr>
                <w:sz w:val="24"/>
                <w:szCs w:val="24"/>
                <w:color w:val="auto"/>
              </w:rPr>
            </w:pPr>
          </w:p>
        </w:tc>
        <w:tc>
          <w:tcPr>
            <w:tcW w:w="4340" w:type="dxa"/>
            <w:vAlign w:val="bottom"/>
            <w:gridSpan w:val="2"/>
          </w:tcPr>
          <w:p>
            <w:pPr>
              <w:jc w:val="center"/>
              <w:ind w:right="420"/>
              <w:spacing w:after="0"/>
              <w:rPr>
                <w:sz w:val="20"/>
                <w:szCs w:val="20"/>
                <w:color w:val="auto"/>
              </w:rPr>
            </w:pPr>
            <w:r>
              <w:rPr>
                <w:rFonts w:ascii="Arial" w:cs="Arial" w:eastAsia="Arial" w:hAnsi="Arial"/>
                <w:sz w:val="18"/>
                <w:szCs w:val="18"/>
                <w:color w:val="auto"/>
                <w:w w:val="95"/>
              </w:rPr>
              <w:t>Director</w:t>
            </w:r>
          </w:p>
        </w:tc>
        <w:tc>
          <w:tcPr>
            <w:tcW w:w="2340" w:type="dxa"/>
            <w:vAlign w:val="bottom"/>
          </w:tcPr>
          <w:p>
            <w:pPr>
              <w:jc w:val="center"/>
              <w:spacing w:after="0"/>
              <w:rPr>
                <w:sz w:val="20"/>
                <w:szCs w:val="20"/>
                <w:color w:val="auto"/>
              </w:rPr>
            </w:pPr>
            <w:r>
              <w:rPr>
                <w:rFonts w:ascii="Arial" w:cs="Arial" w:eastAsia="Arial" w:hAnsi="Arial"/>
                <w:sz w:val="18"/>
                <w:szCs w:val="18"/>
                <w:color w:val="auto"/>
                <w:w w:val="95"/>
              </w:rPr>
              <w:t>April 14, 2005</w:t>
            </w:r>
          </w:p>
        </w:tc>
        <w:tc>
          <w:tcPr>
            <w:tcW w:w="20" w:type="dxa"/>
            <w:vAlign w:val="bottom"/>
          </w:tcPr>
          <w:p>
            <w:pPr>
              <w:spacing w:after="0"/>
              <w:rPr>
                <w:sz w:val="24"/>
                <w:szCs w:val="24"/>
                <w:color w:val="auto"/>
              </w:rPr>
            </w:pPr>
          </w:p>
        </w:tc>
      </w:tr>
      <w:tr>
        <w:trPr>
          <w:trHeight w:val="224"/>
        </w:trPr>
        <w:tc>
          <w:tcPr>
            <w:tcW w:w="4340" w:type="dxa"/>
            <w:vAlign w:val="bottom"/>
          </w:tcPr>
          <w:p>
            <w:pPr>
              <w:jc w:val="center"/>
              <w:spacing w:after="0"/>
              <w:rPr>
                <w:sz w:val="20"/>
                <w:szCs w:val="20"/>
                <w:color w:val="auto"/>
              </w:rPr>
            </w:pPr>
            <w:r>
              <w:rPr>
                <w:rFonts w:ascii="Arial" w:cs="Arial" w:eastAsia="Arial" w:hAnsi="Arial"/>
                <w:sz w:val="18"/>
                <w:szCs w:val="18"/>
                <w:color w:val="auto"/>
                <w:w w:val="91"/>
              </w:rPr>
              <w:t>Ronald Verdoorn</w:t>
            </w:r>
          </w:p>
        </w:tc>
        <w:tc>
          <w:tcPr>
            <w:tcW w:w="400" w:type="dxa"/>
            <w:vAlign w:val="bottom"/>
          </w:tcPr>
          <w:p>
            <w:pPr>
              <w:spacing w:after="0"/>
              <w:rPr>
                <w:sz w:val="19"/>
                <w:szCs w:val="19"/>
                <w:color w:val="auto"/>
              </w:rPr>
            </w:pPr>
          </w:p>
        </w:tc>
        <w:tc>
          <w:tcPr>
            <w:tcW w:w="39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34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340" w:type="dxa"/>
            <w:vAlign w:val="bottom"/>
          </w:tcPr>
          <w:p>
            <w:pPr>
              <w:spacing w:after="0"/>
              <w:rPr>
                <w:sz w:val="24"/>
                <w:szCs w:val="24"/>
                <w:color w:val="auto"/>
              </w:rPr>
            </w:pPr>
          </w:p>
        </w:tc>
        <w:tc>
          <w:tcPr>
            <w:tcW w:w="4340" w:type="dxa"/>
            <w:vAlign w:val="bottom"/>
            <w:gridSpan w:val="2"/>
          </w:tcPr>
          <w:p>
            <w:pPr>
              <w:jc w:val="center"/>
              <w:ind w:right="1512"/>
              <w:spacing w:after="0"/>
              <w:rPr>
                <w:sz w:val="20"/>
                <w:szCs w:val="20"/>
                <w:color w:val="auto"/>
              </w:rPr>
            </w:pPr>
            <w:r>
              <w:rPr>
                <w:rFonts w:ascii="Arial" w:cs="Arial" w:eastAsia="Arial" w:hAnsi="Arial"/>
                <w:sz w:val="18"/>
                <w:szCs w:val="18"/>
                <w:color w:val="auto"/>
                <w:w w:val="99"/>
              </w:rPr>
              <w:t>4</w:t>
            </w:r>
          </w:p>
        </w:tc>
        <w:tc>
          <w:tcPr>
            <w:tcW w:w="40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05"/>
        </w:trPr>
        <w:tc>
          <w:tcPr>
            <w:tcW w:w="434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4340" w:type="dxa"/>
            <w:vAlign w:val="bottom"/>
            <w:tcBorders>
              <w:bottom w:val="single" w:sz="8" w:color="808080"/>
            </w:tcBorders>
            <w:gridSpan w:val="2"/>
          </w:tcPr>
          <w:p>
            <w:pPr>
              <w:spacing w:after="0"/>
              <w:rPr>
                <w:sz w:val="9"/>
                <w:szCs w:val="9"/>
                <w:color w:val="auto"/>
              </w:rPr>
            </w:pPr>
          </w:p>
        </w:tc>
        <w:tc>
          <w:tcPr>
            <w:tcW w:w="23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r>
      <w:tr>
        <w:trPr>
          <w:trHeight w:val="767"/>
        </w:trPr>
        <w:tc>
          <w:tcPr>
            <w:tcW w:w="4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340" w:type="dxa"/>
            <w:vAlign w:val="bottom"/>
            <w:gridSpan w:val="2"/>
          </w:tcPr>
          <w:p>
            <w:pPr>
              <w:jc w:val="center"/>
              <w:ind w:right="2380"/>
              <w:spacing w:after="0"/>
              <w:rPr>
                <w:sz w:val="20"/>
                <w:szCs w:val="20"/>
                <w:color w:val="auto"/>
              </w:rPr>
            </w:pPr>
            <w:r>
              <w:rPr>
                <w:rFonts w:ascii="Arial" w:cs="Arial" w:eastAsia="Arial" w:hAnsi="Arial"/>
                <w:sz w:val="18"/>
                <w:szCs w:val="18"/>
                <w:b w:val="1"/>
                <w:bCs w:val="1"/>
                <w:color w:val="auto"/>
              </w:rPr>
              <w:t>EXHIBIT INDEX</w:t>
            </w:r>
          </w:p>
        </w:tc>
        <w:tc>
          <w:tcPr>
            <w:tcW w:w="234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-3399790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-3399790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-501015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-501015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9" w:right="219" w:bottom="0" w:gutter="0" w:footer="0" w:header="0"/>
        </w:sectPr>
      </w:pPr>
    </w:p>
    <w:p>
      <w:pPr>
        <w:spacing w:after="0" w:line="18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0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580" w:type="dxa"/>
            <w:vAlign w:val="bottom"/>
            <w:vMerge w:val="restart"/>
          </w:tcPr>
          <w:p>
            <w:pPr>
              <w:ind w:left="2880"/>
              <w:spacing w:after="0"/>
              <w:rPr>
                <w:sz w:val="20"/>
                <w:szCs w:val="20"/>
                <w:color w:val="auto"/>
              </w:rPr>
            </w:pPr>
            <w:r>
              <w:rPr>
                <w:rFonts w:ascii="Arial" w:cs="Arial" w:eastAsia="Arial" w:hAnsi="Arial"/>
                <w:sz w:val="14"/>
                <w:szCs w:val="14"/>
                <w:b w:val="1"/>
                <w:bCs w:val="1"/>
                <w:color w:val="auto"/>
                <w:w w:val="88"/>
              </w:rPr>
              <w:t>Description</w:t>
            </w:r>
          </w:p>
        </w:tc>
        <w:tc>
          <w:tcPr>
            <w:tcW w:w="0" w:type="dxa"/>
            <w:vAlign w:val="bottom"/>
          </w:tcPr>
          <w:p>
            <w:pPr>
              <w:spacing w:after="0"/>
              <w:rPr>
                <w:sz w:val="1"/>
                <w:szCs w:val="1"/>
                <w:color w:val="auto"/>
              </w:rPr>
            </w:pPr>
          </w:p>
        </w:tc>
      </w:tr>
      <w:tr>
        <w:trPr>
          <w:trHeight w:val="186"/>
        </w:trPr>
        <w:tc>
          <w:tcPr>
            <w:tcW w:w="3400" w:type="dxa"/>
            <w:vAlign w:val="bottom"/>
          </w:tcPr>
          <w:p>
            <w:pPr>
              <w:spacing w:after="0"/>
              <w:rPr>
                <w:sz w:val="20"/>
                <w:szCs w:val="20"/>
                <w:color w:val="auto"/>
              </w:rPr>
            </w:pPr>
            <w:r>
              <w:rPr>
                <w:rFonts w:ascii="Arial" w:cs="Arial" w:eastAsia="Arial" w:hAnsi="Arial"/>
                <w:sz w:val="14"/>
                <w:szCs w:val="14"/>
                <w:b w:val="1"/>
                <w:bCs w:val="1"/>
                <w:color w:val="auto"/>
              </w:rPr>
              <w:t>Number</w:t>
            </w:r>
          </w:p>
        </w:tc>
        <w:tc>
          <w:tcPr>
            <w:tcW w:w="35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-8890</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40"/>
          </w:cols>
          <w:pgMar w:left="240" w:top="129" w:right="219" w:bottom="0" w:gutter="0" w:footer="0" w:header="0"/>
          <w:type w:val="continuous"/>
        </w:sectPr>
      </w:pPr>
    </w:p>
    <w:bookmarkStart w:id="3" w:name="page4"/>
    <w:bookmarkEnd w:id="3"/>
    <w:tbl>
      <w:tblPr>
        <w:tblLayout w:type="fixed"/>
        <w:tblInd w:w="580" w:type="dxa"/>
        <w:tblCellMar>
          <w:top w:w="0" w:type="dxa"/>
          <w:left w:w="0" w:type="dxa"/>
          <w:bottom w:w="0" w:type="dxa"/>
          <w:right w:w="0" w:type="dxa"/>
        </w:tblCellMar>
      </w:tblPr>
      <w:tr>
        <w:trPr>
          <w:trHeight w:val="230"/>
        </w:trPr>
        <w:tc>
          <w:tcPr>
            <w:tcW w:w="880" w:type="dxa"/>
            <w:vAlign w:val="bottom"/>
          </w:tcPr>
          <w:p>
            <w:pPr>
              <w:jc w:val="right"/>
              <w:ind w:right="470"/>
              <w:spacing w:after="0"/>
              <w:rPr>
                <w:sz w:val="20"/>
                <w:szCs w:val="20"/>
                <w:color w:val="auto"/>
              </w:rPr>
            </w:pPr>
            <w:r>
              <w:rPr>
                <w:rFonts w:ascii="Arial" w:cs="Arial" w:eastAsia="Arial" w:hAnsi="Arial"/>
                <w:sz w:val="18"/>
                <w:szCs w:val="18"/>
                <w:color w:val="auto"/>
              </w:rPr>
              <w:t>5.1</w:t>
            </w:r>
          </w:p>
        </w:tc>
        <w:tc>
          <w:tcPr>
            <w:tcW w:w="6980" w:type="dxa"/>
            <w:vAlign w:val="bottom"/>
          </w:tcPr>
          <w:p>
            <w:pPr>
              <w:ind w:left="380"/>
              <w:spacing w:after="0"/>
              <w:rPr>
                <w:sz w:val="20"/>
                <w:szCs w:val="20"/>
                <w:color w:val="auto"/>
              </w:rPr>
            </w:pPr>
            <w:r>
              <w:rPr>
                <w:rFonts w:ascii="Arial" w:cs="Arial" w:eastAsia="Arial" w:hAnsi="Arial"/>
                <w:sz w:val="18"/>
                <w:szCs w:val="18"/>
                <w:color w:val="auto"/>
              </w:rPr>
              <w:t>Opinion of Appleby Spurling Hunter.</w:t>
            </w:r>
          </w:p>
        </w:tc>
      </w:tr>
      <w:tr>
        <w:trPr>
          <w:trHeight w:val="432"/>
        </w:trPr>
        <w:tc>
          <w:tcPr>
            <w:tcW w:w="880" w:type="dxa"/>
            <w:vAlign w:val="bottom"/>
          </w:tcPr>
          <w:p>
            <w:pPr>
              <w:jc w:val="right"/>
              <w:ind w:right="470"/>
              <w:spacing w:after="0"/>
              <w:rPr>
                <w:sz w:val="20"/>
                <w:szCs w:val="20"/>
                <w:color w:val="auto"/>
              </w:rPr>
            </w:pPr>
            <w:r>
              <w:rPr>
                <w:rFonts w:ascii="Arial" w:cs="Arial" w:eastAsia="Arial" w:hAnsi="Arial"/>
                <w:sz w:val="18"/>
                <w:szCs w:val="18"/>
                <w:color w:val="auto"/>
                <w:w w:val="85"/>
              </w:rPr>
              <w:t>23.1</w:t>
            </w:r>
          </w:p>
        </w:tc>
        <w:tc>
          <w:tcPr>
            <w:tcW w:w="6980" w:type="dxa"/>
            <w:vAlign w:val="bottom"/>
          </w:tcPr>
          <w:p>
            <w:pPr>
              <w:ind w:left="380"/>
              <w:spacing w:after="0"/>
              <w:rPr>
                <w:sz w:val="20"/>
                <w:szCs w:val="20"/>
                <w:color w:val="auto"/>
              </w:rPr>
            </w:pPr>
            <w:r>
              <w:rPr>
                <w:rFonts w:ascii="Arial" w:cs="Arial" w:eastAsia="Arial" w:hAnsi="Arial"/>
                <w:sz w:val="18"/>
                <w:szCs w:val="18"/>
                <w:color w:val="auto"/>
                <w:w w:val="90"/>
              </w:rPr>
              <w:t>Consent of PricewaterhouseCoopers LLP, Independent Registered Public Accounting Firm.</w:t>
            </w:r>
          </w:p>
        </w:tc>
      </w:tr>
      <w:tr>
        <w:trPr>
          <w:trHeight w:val="432"/>
        </w:trPr>
        <w:tc>
          <w:tcPr>
            <w:tcW w:w="880" w:type="dxa"/>
            <w:vAlign w:val="bottom"/>
          </w:tcPr>
          <w:p>
            <w:pPr>
              <w:jc w:val="right"/>
              <w:ind w:right="470"/>
              <w:spacing w:after="0"/>
              <w:rPr>
                <w:sz w:val="20"/>
                <w:szCs w:val="20"/>
                <w:color w:val="auto"/>
              </w:rPr>
            </w:pPr>
            <w:r>
              <w:rPr>
                <w:rFonts w:ascii="Arial" w:cs="Arial" w:eastAsia="Arial" w:hAnsi="Arial"/>
                <w:sz w:val="18"/>
                <w:szCs w:val="18"/>
                <w:color w:val="auto"/>
                <w:w w:val="85"/>
              </w:rPr>
              <w:t>23.2</w:t>
            </w:r>
          </w:p>
        </w:tc>
        <w:tc>
          <w:tcPr>
            <w:tcW w:w="6980" w:type="dxa"/>
            <w:vAlign w:val="bottom"/>
          </w:tcPr>
          <w:p>
            <w:pPr>
              <w:ind w:left="380"/>
              <w:spacing w:after="0"/>
              <w:rPr>
                <w:sz w:val="20"/>
                <w:szCs w:val="20"/>
                <w:color w:val="auto"/>
              </w:rPr>
            </w:pPr>
            <w:r>
              <w:rPr>
                <w:rFonts w:ascii="Arial" w:cs="Arial" w:eastAsia="Arial" w:hAnsi="Arial"/>
                <w:sz w:val="18"/>
                <w:szCs w:val="18"/>
                <w:color w:val="auto"/>
              </w:rPr>
              <w:t>Consent of Appleby Spurling Hunter (included in Exhibit 5.1 hereto).</w:t>
            </w:r>
          </w:p>
        </w:tc>
      </w:tr>
      <w:tr>
        <w:trPr>
          <w:trHeight w:val="432"/>
        </w:trPr>
        <w:tc>
          <w:tcPr>
            <w:tcW w:w="880" w:type="dxa"/>
            <w:vAlign w:val="bottom"/>
          </w:tcPr>
          <w:p>
            <w:pPr>
              <w:jc w:val="right"/>
              <w:ind w:right="470"/>
              <w:spacing w:after="0"/>
              <w:rPr>
                <w:sz w:val="20"/>
                <w:szCs w:val="20"/>
                <w:color w:val="auto"/>
              </w:rPr>
            </w:pPr>
            <w:r>
              <w:rPr>
                <w:rFonts w:ascii="Arial" w:cs="Arial" w:eastAsia="Arial" w:hAnsi="Arial"/>
                <w:sz w:val="18"/>
                <w:szCs w:val="18"/>
                <w:color w:val="auto"/>
                <w:w w:val="85"/>
              </w:rPr>
              <w:t>24.1</w:t>
            </w:r>
          </w:p>
        </w:tc>
        <w:tc>
          <w:tcPr>
            <w:tcW w:w="6980" w:type="dxa"/>
            <w:vAlign w:val="bottom"/>
          </w:tcPr>
          <w:p>
            <w:pPr>
              <w:ind w:left="380"/>
              <w:spacing w:after="0"/>
              <w:rPr>
                <w:sz w:val="20"/>
                <w:szCs w:val="20"/>
                <w:color w:val="auto"/>
              </w:rPr>
            </w:pPr>
            <w:r>
              <w:rPr>
                <w:rFonts w:ascii="Arial" w:cs="Arial" w:eastAsia="Arial" w:hAnsi="Arial"/>
                <w:sz w:val="18"/>
                <w:szCs w:val="18"/>
                <w:color w:val="auto"/>
              </w:rPr>
              <w:t>Power of Attorney (included on signature page hereto).</w:t>
            </w:r>
          </w:p>
        </w:tc>
      </w:tr>
      <w:tr>
        <w:trPr>
          <w:trHeight w:val="432"/>
        </w:trPr>
        <w:tc>
          <w:tcPr>
            <w:tcW w:w="880" w:type="dxa"/>
            <w:vAlign w:val="bottom"/>
          </w:tcPr>
          <w:p>
            <w:pPr>
              <w:jc w:val="right"/>
              <w:ind w:right="390"/>
              <w:spacing w:after="0"/>
              <w:rPr>
                <w:sz w:val="20"/>
                <w:szCs w:val="20"/>
                <w:color w:val="auto"/>
              </w:rPr>
            </w:pPr>
            <w:r>
              <w:rPr>
                <w:rFonts w:ascii="Arial" w:cs="Arial" w:eastAsia="Arial" w:hAnsi="Arial"/>
                <w:sz w:val="18"/>
                <w:szCs w:val="18"/>
                <w:color w:val="auto"/>
                <w:w w:val="90"/>
              </w:rPr>
              <w:t>99.1*</w:t>
            </w:r>
          </w:p>
        </w:tc>
        <w:tc>
          <w:tcPr>
            <w:tcW w:w="6980" w:type="dxa"/>
            <w:vAlign w:val="bottom"/>
          </w:tcPr>
          <w:p>
            <w:pPr>
              <w:ind w:left="380"/>
              <w:spacing w:after="0"/>
              <w:rPr>
                <w:sz w:val="20"/>
                <w:szCs w:val="20"/>
                <w:color w:val="auto"/>
              </w:rPr>
            </w:pPr>
            <w:r>
              <w:rPr>
                <w:rFonts w:ascii="Arial" w:cs="Arial" w:eastAsia="Arial" w:hAnsi="Arial"/>
                <w:sz w:val="18"/>
                <w:szCs w:val="18"/>
                <w:color w:val="auto"/>
              </w:rPr>
              <w:t>Marvell Technology Group Ltd. Amended and Restated 1995 Stock Option Plan.</w:t>
            </w:r>
          </w:p>
        </w:tc>
      </w:tr>
      <w:tr>
        <w:trPr>
          <w:trHeight w:val="432"/>
        </w:trPr>
        <w:tc>
          <w:tcPr>
            <w:tcW w:w="880" w:type="dxa"/>
            <w:vAlign w:val="bottom"/>
          </w:tcPr>
          <w:p>
            <w:pPr>
              <w:jc w:val="right"/>
              <w:ind w:right="290"/>
              <w:spacing w:after="0"/>
              <w:rPr>
                <w:sz w:val="20"/>
                <w:szCs w:val="20"/>
                <w:color w:val="auto"/>
              </w:rPr>
            </w:pPr>
            <w:r>
              <w:rPr>
                <w:rFonts w:ascii="Arial" w:cs="Arial" w:eastAsia="Arial" w:hAnsi="Arial"/>
                <w:sz w:val="18"/>
                <w:szCs w:val="18"/>
                <w:color w:val="auto"/>
                <w:w w:val="97"/>
              </w:rPr>
              <w:t>99.2**</w:t>
            </w:r>
          </w:p>
        </w:tc>
        <w:tc>
          <w:tcPr>
            <w:tcW w:w="6980" w:type="dxa"/>
            <w:vAlign w:val="bottom"/>
          </w:tcPr>
          <w:p>
            <w:pPr>
              <w:ind w:left="380"/>
              <w:spacing w:after="0"/>
              <w:rPr>
                <w:sz w:val="20"/>
                <w:szCs w:val="20"/>
                <w:color w:val="auto"/>
              </w:rPr>
            </w:pPr>
            <w:r>
              <w:rPr>
                <w:rFonts w:ascii="Arial" w:cs="Arial" w:eastAsia="Arial" w:hAnsi="Arial"/>
                <w:sz w:val="18"/>
                <w:szCs w:val="18"/>
                <w:color w:val="auto"/>
              </w:rPr>
              <w:t>Marvell Technology Group Ltd. Amended 2000 Employee Stock Purchase Plan.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82689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71" w:lineRule="exact"/>
        <w:rPr>
          <w:sz w:val="20"/>
          <w:szCs w:val="20"/>
          <w:color w:val="auto"/>
        </w:rPr>
      </w:pPr>
    </w:p>
    <w:p>
      <w:pPr>
        <w:ind w:left="640" w:hanging="632"/>
        <w:spacing w:after="0"/>
        <w:tabs>
          <w:tab w:leader="none" w:pos="640" w:val="left"/>
        </w:tabs>
        <w:numPr>
          <w:ilvl w:val="0"/>
          <w:numId w:val="5"/>
        </w:numPr>
        <w:rPr>
          <w:rFonts w:ascii="Arial" w:cs="Arial" w:eastAsia="Arial" w:hAnsi="Arial"/>
          <w:sz w:val="16"/>
          <w:szCs w:val="16"/>
          <w:color w:val="auto"/>
        </w:rPr>
      </w:pPr>
      <w:r>
        <w:rPr>
          <w:rFonts w:ascii="Arial" w:cs="Arial" w:eastAsia="Arial" w:hAnsi="Arial"/>
          <w:sz w:val="16"/>
          <w:szCs w:val="16"/>
          <w:color w:val="auto"/>
        </w:rPr>
        <w:t>Incorporated by reference to Exhibit 10.20 of the registrant’s quarterly report on 10-Q for the period ended August 2, 2003 as filed on September 15,</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2003.</w:t>
      </w:r>
    </w:p>
    <w:p>
      <w:pPr>
        <w:spacing w:after="0" w:line="211" w:lineRule="exact"/>
        <w:rPr>
          <w:sz w:val="20"/>
          <w:szCs w:val="20"/>
          <w:color w:val="auto"/>
        </w:rPr>
      </w:pPr>
    </w:p>
    <w:p>
      <w:pPr>
        <w:ind w:left="5660" w:right="1320" w:hanging="5652"/>
        <w:spacing w:after="0" w:line="528" w:lineRule="auto"/>
        <w:tabs>
          <w:tab w:leader="none" w:pos="6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Incorporated by reference to Appendix A of the registrant’s proxy statement for the 2003 Annual General Meeting of Shareholders 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-99060</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40"/>
          </w:cols>
          <w:pgMar w:left="240" w:top="274" w:right="31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5.1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Opinion of Appleby Spurling Hunter</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[APPLEBY SPURLING HUNTER LETTERHEAD]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OPINION OF APPLEBY SPURLING HUNTER</w:t>
      </w:r>
    </w:p>
    <w:p>
      <w:pPr>
        <w:spacing w:after="0" w:line="229" w:lineRule="exact"/>
        <w:rPr>
          <w:sz w:val="20"/>
          <w:szCs w:val="20"/>
          <w:color w:val="auto"/>
        </w:rPr>
      </w:pPr>
    </w:p>
    <w:p>
      <w:pPr>
        <w:ind w:left="10360"/>
        <w:spacing w:after="0"/>
        <w:rPr>
          <w:sz w:val="20"/>
          <w:szCs w:val="20"/>
          <w:color w:val="auto"/>
        </w:rPr>
      </w:pPr>
      <w:r>
        <w:rPr>
          <w:rFonts w:ascii="Arial" w:cs="Arial" w:eastAsia="Arial" w:hAnsi="Arial"/>
          <w:sz w:val="17"/>
          <w:szCs w:val="17"/>
          <w:color w:val="auto"/>
        </w:rPr>
        <w:t>April 14, 2005</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Argyle House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41A Cedar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11M 12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(the “Company”)</w:t>
      </w:r>
    </w:p>
    <w:p>
      <w:pPr>
        <w:spacing w:after="0" w:line="229"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13,880,104 of the Company’s common shares of par value US $0.002 per share to be issued pursuant to the terms of the Marvell Technology Group Ltd. Amended and Restated 1995 Stock Option Plan and 4,000,000 of the Company’s common shares of par value US $0.002 per share to be issued pursuant to the terms of the Marvell Technology Group Ltd. Amended 2000 Employee Stock Purchase Plan (the “Common Shares”).</w:t>
      </w:r>
    </w:p>
    <w:p>
      <w:pPr>
        <w:spacing w:after="0" w:line="173"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Assumptions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225" w:lineRule="exact"/>
        <w:rPr>
          <w:sz w:val="20"/>
          <w:szCs w:val="20"/>
          <w:color w:val="auto"/>
        </w:rPr>
      </w:pPr>
    </w:p>
    <w:p>
      <w:pPr>
        <w:jc w:val="both"/>
        <w:ind w:left="660" w:right="720" w:hanging="652"/>
        <w:spacing w:after="0" w:line="264"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181" w:lineRule="exact"/>
        <w:rPr>
          <w:rFonts w:ascii="Arial" w:cs="Arial" w:eastAsia="Arial" w:hAnsi="Arial"/>
          <w:sz w:val="18"/>
          <w:szCs w:val="18"/>
          <w:color w:val="auto"/>
        </w:rPr>
      </w:pPr>
    </w:p>
    <w:p>
      <w:pPr>
        <w:ind w:left="720" w:hanging="712"/>
        <w:spacing w:after="0"/>
        <w:tabs>
          <w:tab w:leader="none" w:pos="7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6" w:lineRule="exact"/>
        <w:rPr>
          <w:rFonts w:ascii="Arial" w:cs="Arial" w:eastAsia="Arial" w:hAnsi="Arial"/>
          <w:sz w:val="18"/>
          <w:szCs w:val="18"/>
          <w:color w:val="auto"/>
        </w:rPr>
      </w:pPr>
    </w:p>
    <w:p>
      <w:pPr>
        <w:ind w:left="660" w:right="300" w:hanging="652"/>
        <w:spacing w:after="0" w:line="277"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170" w:lineRule="exact"/>
        <w:rPr>
          <w:rFonts w:ascii="Arial" w:cs="Arial" w:eastAsia="Arial" w:hAnsi="Arial"/>
          <w:sz w:val="18"/>
          <w:szCs w:val="18"/>
          <w:color w:val="auto"/>
        </w:rPr>
      </w:pPr>
    </w:p>
    <w:p>
      <w:pPr>
        <w:ind w:left="660" w:right="520" w:hanging="652"/>
        <w:spacing w:after="0" w:line="277" w:lineRule="auto"/>
        <w:tabs>
          <w:tab w:leader="none" w:pos="667"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170" w:lineRule="exact"/>
        <w:rPr>
          <w:rFonts w:ascii="Arial" w:cs="Arial" w:eastAsia="Arial" w:hAnsi="Arial"/>
          <w:sz w:val="18"/>
          <w:szCs w:val="18"/>
          <w:color w:val="auto"/>
        </w:rPr>
      </w:pPr>
    </w:p>
    <w:p>
      <w:pPr>
        <w:ind w:left="660" w:right="340" w:hanging="652"/>
        <w:spacing w:after="0" w:line="277"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Plans and the Resolutions, other than as to the laws of Bermuda, are true, accurate and complete in all material respects;</w:t>
      </w:r>
    </w:p>
    <w:p>
      <w:pPr>
        <w:spacing w:after="0" w:line="170" w:lineRule="exact"/>
        <w:rPr>
          <w:rFonts w:ascii="Arial" w:cs="Arial" w:eastAsia="Arial" w:hAnsi="Arial"/>
          <w:sz w:val="18"/>
          <w:szCs w:val="18"/>
          <w:color w:val="auto"/>
        </w:rPr>
      </w:pPr>
    </w:p>
    <w:p>
      <w:pPr>
        <w:ind w:left="660" w:right="20" w:hanging="652"/>
        <w:spacing w:after="0" w:line="255" w:lineRule="auto"/>
        <w:tabs>
          <w:tab w:leader="none" w:pos="678"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bring about the issue of the Common Shares by the Company under the terms of the Plans, not disclosed by the Constitutional Documents or the Resolutions, which would have any adverse implication in relation to the opinions expressed herein;</w:t>
      </w:r>
    </w:p>
    <w:p>
      <w:pPr>
        <w:spacing w:after="0" w:line="189" w:lineRule="exact"/>
        <w:rPr>
          <w:rFonts w:ascii="Arial" w:cs="Arial" w:eastAsia="Arial" w:hAnsi="Arial"/>
          <w:sz w:val="18"/>
          <w:szCs w:val="18"/>
          <w:color w:val="auto"/>
        </w:rPr>
      </w:pPr>
    </w:p>
    <w:p>
      <w:pPr>
        <w:ind w:left="660" w:hanging="652"/>
        <w:spacing w:after="0" w:line="277" w:lineRule="auto"/>
        <w:tabs>
          <w:tab w:leader="none" w:pos="667"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any awards granted under the Plans relevant to this opinion (collectively, “Awards”) will constitute the legal, valid and binding obligations of the parties thereto, other than the Company;</w:t>
      </w:r>
    </w:p>
    <w:p>
      <w:pPr>
        <w:spacing w:after="0" w:line="170" w:lineRule="exact"/>
        <w:rPr>
          <w:rFonts w:ascii="Arial" w:cs="Arial" w:eastAsia="Arial" w:hAnsi="Arial"/>
          <w:sz w:val="18"/>
          <w:szCs w:val="18"/>
          <w:color w:val="auto"/>
        </w:rPr>
      </w:pPr>
    </w:p>
    <w:p>
      <w:pPr>
        <w:ind w:left="660" w:right="140" w:hanging="652"/>
        <w:spacing w:after="0" w:line="277" w:lineRule="auto"/>
        <w:tabs>
          <w:tab w:leader="none" w:pos="667"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170" w:lineRule="exact"/>
        <w:rPr>
          <w:rFonts w:ascii="Arial" w:cs="Arial" w:eastAsia="Arial" w:hAnsi="Arial"/>
          <w:sz w:val="18"/>
          <w:szCs w:val="18"/>
          <w:color w:val="auto"/>
        </w:rPr>
      </w:pPr>
    </w:p>
    <w:p>
      <w:pPr>
        <w:ind w:left="660" w:right="140" w:hanging="652"/>
        <w:spacing w:after="0" w:line="342" w:lineRule="auto"/>
        <w:tabs>
          <w:tab w:leader="none" w:pos="681" w:val="left"/>
        </w:tabs>
        <w:numPr>
          <w:ilvl w:val="0"/>
          <w:numId w:val="7"/>
        </w:numPr>
        <w:rPr>
          <w:rFonts w:ascii="Arial" w:cs="Arial" w:eastAsia="Arial" w:hAnsi="Arial"/>
          <w:sz w:val="16"/>
          <w:szCs w:val="16"/>
          <w:color w:val="auto"/>
        </w:rPr>
      </w:pPr>
      <w:r>
        <w:rPr>
          <w:rFonts w:ascii="Arial" w:cs="Arial" w:eastAsia="Arial" w:hAnsi="Arial"/>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-3841115</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right="20" w:hanging="652"/>
        <w:spacing w:after="0" w:line="286" w:lineRule="auto"/>
        <w:tabs>
          <w:tab w:leader="none" w:pos="681" w:val="left"/>
        </w:tabs>
        <w:numPr>
          <w:ilvl w:val="0"/>
          <w:numId w:val="8"/>
        </w:numPr>
        <w:rPr>
          <w:rFonts w:ascii="Arial" w:cs="Arial" w:eastAsia="Arial" w:hAnsi="Arial"/>
          <w:sz w:val="17"/>
          <w:szCs w:val="17"/>
          <w:color w:val="auto"/>
        </w:rPr>
      </w:pPr>
      <w:r>
        <w:rPr>
          <w:rFonts w:ascii="Arial" w:cs="Arial" w:eastAsia="Arial" w:hAnsi="Arial"/>
          <w:sz w:val="17"/>
          <w:szCs w:val="17"/>
          <w:color w:val="auto"/>
        </w:rPr>
        <w:t>that at the time of issue by the Stock Option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ectPr>
          <w:pgSz w:w="11900" w:h="16838" w:orient="portrait"/>
          <w:cols w:equalWidth="0" w:num="1">
            <w:col w:w="11420"/>
          </w:cols>
          <w:pgMar w:left="240" w:top="121" w:right="239" w:bottom="0" w:gutter="0" w:footer="0" w:header="0"/>
        </w:sectPr>
      </w:pPr>
    </w:p>
    <w:bookmarkStart w:id="5" w:name="page6"/>
    <w:bookmarkEnd w:id="5"/>
    <w:p>
      <w:pPr>
        <w:ind w:left="660" w:hanging="652"/>
        <w:spacing w:after="0" w:line="312" w:lineRule="auto"/>
        <w:tabs>
          <w:tab w:leader="none" w:pos="681" w:val="left"/>
        </w:tabs>
        <w:numPr>
          <w:ilvl w:val="0"/>
          <w:numId w:val="9"/>
        </w:numPr>
        <w:rPr>
          <w:rFonts w:ascii="Arial" w:cs="Arial" w:eastAsia="Arial" w:hAnsi="Arial"/>
          <w:sz w:val="16"/>
          <w:szCs w:val="16"/>
          <w:color w:val="auto"/>
        </w:rPr>
      </w:pPr>
      <w:r>
        <w:rPr>
          <w:rFonts w:ascii="Arial" w:cs="Arial" w:eastAsia="Arial" w:hAnsi="Arial"/>
          <w:sz w:val="16"/>
          <w:szCs w:val="16"/>
          <w:color w:val="auto"/>
        </w:rPr>
        <w:t>that the approval of the issue of any Awards and of any Common Shares under Awards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146" w:lineRule="exact"/>
        <w:rPr>
          <w:rFonts w:ascii="Arial" w:cs="Arial" w:eastAsia="Arial" w:hAnsi="Arial"/>
          <w:sz w:val="16"/>
          <w:szCs w:val="16"/>
          <w:color w:val="auto"/>
        </w:rPr>
      </w:pPr>
    </w:p>
    <w:p>
      <w:pPr>
        <w:ind w:left="660" w:right="40" w:hanging="652"/>
        <w:spacing w:after="0" w:line="264" w:lineRule="auto"/>
        <w:tabs>
          <w:tab w:leader="none" w:pos="681"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181" w:lineRule="exact"/>
        <w:rPr>
          <w:rFonts w:ascii="Arial" w:cs="Arial" w:eastAsia="Arial" w:hAnsi="Arial"/>
          <w:sz w:val="18"/>
          <w:szCs w:val="18"/>
          <w:color w:val="auto"/>
        </w:rPr>
      </w:pPr>
    </w:p>
    <w:p>
      <w:pPr>
        <w:jc w:val="both"/>
        <w:ind w:left="660" w:right="100" w:hanging="652"/>
        <w:spacing w:after="0" w:line="312" w:lineRule="auto"/>
        <w:tabs>
          <w:tab w:leader="none" w:pos="69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Award;</w:t>
      </w:r>
    </w:p>
    <w:p>
      <w:pPr>
        <w:spacing w:after="0" w:line="146" w:lineRule="exact"/>
        <w:rPr>
          <w:rFonts w:ascii="Arial" w:cs="Arial" w:eastAsia="Arial" w:hAnsi="Arial"/>
          <w:sz w:val="16"/>
          <w:szCs w:val="16"/>
          <w:color w:val="auto"/>
        </w:rPr>
      </w:pPr>
    </w:p>
    <w:p>
      <w:pPr>
        <w:ind w:left="660" w:right="500" w:hanging="652"/>
        <w:spacing w:after="0" w:line="277" w:lineRule="auto"/>
        <w:tabs>
          <w:tab w:leader="none" w:pos="667"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when filed with the Securities and Exchange Commission, the Registration Statement will not differ in any material respect from the draft referred to in paragraph 1 of the Schedule;</w:t>
      </w:r>
    </w:p>
    <w:p>
      <w:pPr>
        <w:spacing w:after="0" w:line="170" w:lineRule="exact"/>
        <w:rPr>
          <w:rFonts w:ascii="Arial" w:cs="Arial" w:eastAsia="Arial" w:hAnsi="Arial"/>
          <w:sz w:val="18"/>
          <w:szCs w:val="18"/>
          <w:color w:val="auto"/>
        </w:rPr>
      </w:pPr>
    </w:p>
    <w:p>
      <w:pPr>
        <w:ind w:left="660" w:right="120" w:hanging="652"/>
        <w:spacing w:after="0" w:line="342" w:lineRule="auto"/>
        <w:tabs>
          <w:tab w:leader="none" w:pos="667" w:val="left"/>
        </w:tabs>
        <w:numPr>
          <w:ilvl w:val="0"/>
          <w:numId w:val="9"/>
        </w:numPr>
        <w:rPr>
          <w:rFonts w:ascii="Arial" w:cs="Arial" w:eastAsia="Arial" w:hAnsi="Arial"/>
          <w:sz w:val="16"/>
          <w:szCs w:val="16"/>
          <w:color w:val="auto"/>
        </w:rPr>
      </w:pPr>
      <w:r>
        <w:rPr>
          <w:rFonts w:ascii="Arial" w:cs="Arial" w:eastAsia="Arial" w:hAnsi="Arial"/>
          <w:sz w:val="16"/>
          <w:szCs w:val="16"/>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right="120" w:hanging="652"/>
        <w:spacing w:after="0" w:line="342" w:lineRule="auto"/>
        <w:tabs>
          <w:tab w:leader="none" w:pos="667"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229"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Awards and when fully paid for pursuant to and in accordance with the terms and conditions of the Plans, as contemplated by the Plans, the Common Shares will be validly issued, fully-paid and non-assessable shares in the capital of the Company.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225" w:lineRule="exact"/>
        <w:rPr>
          <w:sz w:val="20"/>
          <w:szCs w:val="20"/>
          <w:color w:val="auto"/>
        </w:rPr>
      </w:pPr>
    </w:p>
    <w:p>
      <w:pPr>
        <w:ind w:left="660" w:right="280" w:hanging="652"/>
        <w:spacing w:after="0" w:line="264" w:lineRule="auto"/>
        <w:tabs>
          <w:tab w:leader="none" w:pos="671"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1" w:lineRule="exact"/>
        <w:rPr>
          <w:rFonts w:ascii="Arial" w:cs="Arial" w:eastAsia="Arial" w:hAnsi="Arial"/>
          <w:sz w:val="18"/>
          <w:szCs w:val="18"/>
          <w:color w:val="auto"/>
        </w:rPr>
      </w:pPr>
    </w:p>
    <w:p>
      <w:pPr>
        <w:ind w:left="660" w:right="160" w:hanging="652"/>
        <w:spacing w:after="0" w:line="257" w:lineRule="auto"/>
        <w:tabs>
          <w:tab w:leader="none" w:pos="667"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8" w:lineRule="exact"/>
        <w:rPr>
          <w:rFonts w:ascii="Arial" w:cs="Arial" w:eastAsia="Arial" w:hAnsi="Arial"/>
          <w:sz w:val="18"/>
          <w:szCs w:val="18"/>
          <w:color w:val="auto"/>
        </w:rPr>
      </w:pPr>
    </w:p>
    <w:p>
      <w:pPr>
        <w:ind w:left="660" w:right="420" w:hanging="652"/>
        <w:spacing w:after="0" w:line="277" w:lineRule="auto"/>
        <w:tabs>
          <w:tab w:leader="none" w:pos="671" w:val="left"/>
        </w:tabs>
        <w:numPr>
          <w:ilvl w:val="0"/>
          <w:numId w:val="11"/>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300" w:right="380" w:hanging="644"/>
        <w:spacing w:after="0" w:line="312" w:lineRule="auto"/>
        <w:tabs>
          <w:tab w:leader="none" w:pos="1321" w:val="left"/>
        </w:tabs>
        <w:numPr>
          <w:ilvl w:val="0"/>
          <w:numId w:val="12"/>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46" w:lineRule="exact"/>
        <w:rPr>
          <w:rFonts w:ascii="Arial" w:cs="Arial" w:eastAsia="Arial" w:hAnsi="Arial"/>
          <w:sz w:val="16"/>
          <w:szCs w:val="16"/>
          <w:color w:val="auto"/>
        </w:rPr>
      </w:pPr>
    </w:p>
    <w:p>
      <w:pPr>
        <w:ind w:left="1300" w:right="700" w:hanging="644"/>
        <w:spacing w:after="0" w:line="277" w:lineRule="auto"/>
        <w:tabs>
          <w:tab w:leader="none" w:pos="1331" w:val="left"/>
        </w:tabs>
        <w:numPr>
          <w:ilvl w:val="0"/>
          <w:numId w:val="12"/>
        </w:numPr>
        <w:rPr>
          <w:rFonts w:ascii="Arial" w:cs="Arial" w:eastAsia="Arial" w:hAnsi="Arial"/>
          <w:sz w:val="18"/>
          <w:szCs w:val="18"/>
          <w:color w:val="auto"/>
        </w:rPr>
      </w:pPr>
      <w:r>
        <w:rPr>
          <w:rFonts w:ascii="Arial" w:cs="Arial" w:eastAsia="Arial" w:hAnsi="Arial"/>
          <w:sz w:val="18"/>
          <w:szCs w:val="18"/>
          <w:color w:val="auto"/>
        </w:rPr>
        <w:t>details of matters which should have been lodged for registration but have not been lodged for registration at the date the search is concluded.</w:t>
      </w:r>
    </w:p>
    <w:p>
      <w:pPr>
        <w:spacing w:after="0" w:line="170" w:lineRule="exact"/>
        <w:rPr>
          <w:sz w:val="20"/>
          <w:szCs w:val="20"/>
          <w:color w:val="auto"/>
        </w:rPr>
      </w:pPr>
    </w:p>
    <w:p>
      <w:pPr>
        <w:ind w:left="660" w:right="480" w:hanging="652"/>
        <w:spacing w:after="0" w:line="277" w:lineRule="auto"/>
        <w:tabs>
          <w:tab w:leader="none" w:pos="667"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5 and 6 of the Schedule and have not enquired as to whether there has been any change since the date of the Searches.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229"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47"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 SPURLING HUNTER</w:t>
      </w:r>
    </w:p>
    <w:p>
      <w:pPr>
        <w:sectPr>
          <w:pgSz w:w="11900" w:h="16838" w:orient="portrait"/>
          <w:cols w:equalWidth="0" w:num="1">
            <w:col w:w="11400"/>
          </w:cols>
          <w:pgMar w:left="240" w:top="125" w:right="259" w:bottom="0" w:gutter="0" w:footer="0" w:header="0"/>
        </w:sectPr>
      </w:pPr>
    </w:p>
    <w:bookmarkStart w:id="6" w:name="page7"/>
    <w:bookmarkEnd w:id="6"/>
    <w:p>
      <w:pPr>
        <w:ind w:left="12"/>
        <w:spacing w:after="0"/>
        <w:rPr>
          <w:sz w:val="20"/>
          <w:szCs w:val="20"/>
          <w:color w:val="auto"/>
        </w:rPr>
      </w:pPr>
      <w:r>
        <w:rPr>
          <w:rFonts w:ascii="Arial" w:cs="Arial" w:eastAsia="Arial" w:hAnsi="Arial"/>
          <w:sz w:val="18"/>
          <w:szCs w:val="18"/>
          <w:color w:val="auto"/>
        </w:rPr>
        <w:t>/s/ APPLEBY SPURLING HUNTER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14605</wp:posOffset>
            </wp:positionV>
            <wp:extent cx="247840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2478405" cy="8890"/>
                    </a:xfrm>
                    <a:prstGeom prst="rect">
                      <a:avLst/>
                    </a:prstGeom>
                    <a:noFill/>
                  </pic:spPr>
                </pic:pic>
              </a:graphicData>
            </a:graphic>
          </wp:anchor>
        </w:drawing>
      </w:r>
    </w:p>
    <w:p>
      <w:pPr>
        <w:spacing w:after="0" w:line="21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64135</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u w:val="single" w:color="auto"/>
          <w:color w:val="auto"/>
        </w:rPr>
        <w:t>SCHEDULE</w:t>
      </w:r>
    </w:p>
    <w:p>
      <w:pPr>
        <w:spacing w:after="0" w:line="229" w:lineRule="exact"/>
        <w:rPr>
          <w:sz w:val="20"/>
          <w:szCs w:val="20"/>
          <w:color w:val="auto"/>
        </w:rPr>
      </w:pPr>
    </w:p>
    <w:p>
      <w:pPr>
        <w:ind w:left="652" w:right="680" w:hanging="652"/>
        <w:spacing w:after="0" w:line="277" w:lineRule="auto"/>
        <w:tabs>
          <w:tab w:leader="none" w:pos="665"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 electronic copy of the draft of the Registration Statement received on 8 April 2004 (excluding the exhibits and excluding the documents incorporated by reference).</w:t>
      </w:r>
    </w:p>
    <w:p>
      <w:pPr>
        <w:spacing w:after="0" w:line="170" w:lineRule="exact"/>
        <w:rPr>
          <w:rFonts w:ascii="Arial" w:cs="Arial" w:eastAsia="Arial" w:hAnsi="Arial"/>
          <w:sz w:val="18"/>
          <w:szCs w:val="18"/>
          <w:color w:val="auto"/>
        </w:rPr>
      </w:pPr>
    </w:p>
    <w:p>
      <w:pPr>
        <w:ind w:left="672" w:hanging="672"/>
        <w:spacing w:after="0"/>
        <w:tabs>
          <w:tab w:leader="none" w:pos="672" w:val="left"/>
        </w:tabs>
        <w:numPr>
          <w:ilvl w:val="0"/>
          <w:numId w:val="14"/>
        </w:numPr>
        <w:rPr>
          <w:rFonts w:ascii="Arial" w:cs="Arial" w:eastAsia="Arial" w:hAnsi="Arial"/>
          <w:sz w:val="16"/>
          <w:szCs w:val="16"/>
          <w:color w:val="auto"/>
        </w:rPr>
      </w:pPr>
      <w:r>
        <w:rPr>
          <w:rFonts w:ascii="Arial" w:cs="Arial" w:eastAsia="Arial" w:hAnsi="Arial"/>
          <w:sz w:val="16"/>
          <w:szCs w:val="16"/>
          <w:color w:val="auto"/>
        </w:rPr>
        <w:t>An electronic copy of the Marvell Technology Group Ltd. Amended and Restated 1995 Stock Option Plan (as amended through 27 June 2003).</w:t>
      </w:r>
    </w:p>
    <w:p>
      <w:pPr>
        <w:spacing w:after="0" w:line="248" w:lineRule="exact"/>
        <w:rPr>
          <w:rFonts w:ascii="Arial" w:cs="Arial" w:eastAsia="Arial" w:hAnsi="Arial"/>
          <w:sz w:val="16"/>
          <w:szCs w:val="16"/>
          <w:color w:val="auto"/>
        </w:rPr>
      </w:pPr>
    </w:p>
    <w:p>
      <w:pPr>
        <w:ind w:left="652" w:right="380" w:hanging="652"/>
        <w:spacing w:after="0" w:line="501" w:lineRule="auto"/>
        <w:tabs>
          <w:tab w:leader="none" w:pos="638" w:val="left"/>
        </w:tabs>
        <w:numPr>
          <w:ilvl w:val="0"/>
          <w:numId w:val="14"/>
        </w:numPr>
        <w:rPr>
          <w:rFonts w:ascii="Arial" w:cs="Arial" w:eastAsia="Arial" w:hAnsi="Arial"/>
          <w:sz w:val="18"/>
          <w:szCs w:val="18"/>
          <w:color w:val="auto"/>
        </w:rPr>
      </w:pPr>
      <w:r>
        <w:rPr>
          <w:rFonts w:ascii="Arial" w:cs="Arial" w:eastAsia="Arial" w:hAnsi="Arial"/>
          <w:sz w:val="5"/>
          <w:szCs w:val="5"/>
          <w:color w:val="auto"/>
        </w:rPr>
        <w:t xml:space="preserve">0; </w:t>
      </w:r>
      <w:r>
        <w:rPr>
          <w:rFonts w:ascii="Arial" w:cs="Arial" w:eastAsia="Arial" w:hAnsi="Arial"/>
          <w:sz w:val="18"/>
          <w:szCs w:val="18"/>
          <w:color w:val="auto"/>
        </w:rPr>
        <w:t>An electronic copy of the Marvell Technology Group Ltd. Amended 2000 Employee Stock Purchase Plan (as amended through 27 June 2003).</w:t>
      </w:r>
      <w:r>
        <w:rPr>
          <w:rFonts w:ascii="Arial" w:cs="Arial" w:eastAsia="Arial" w:hAnsi="Arial"/>
          <w:sz w:val="5"/>
          <w:szCs w:val="5"/>
          <w:color w:val="auto"/>
        </w:rPr>
        <w:t xml:space="preserve"> </w:t>
      </w:r>
      <w:r>
        <w:rPr>
          <w:rFonts w:ascii="Arial" w:cs="Arial" w:eastAsia="Arial" w:hAnsi="Arial"/>
          <w:sz w:val="18"/>
          <w:szCs w:val="18"/>
          <w:color w:val="auto"/>
        </w:rPr>
        <w:t>(The documents listed in 2 and 3 above together shall be referred to herein as the “Plans”).</w:t>
      </w:r>
    </w:p>
    <w:p>
      <w:pPr>
        <w:ind w:left="652" w:hanging="652"/>
        <w:spacing w:after="0" w:line="254" w:lineRule="auto"/>
        <w:tabs>
          <w:tab w:leader="none" w:pos="503" w:val="left"/>
        </w:tabs>
        <w:numPr>
          <w:ilvl w:val="0"/>
          <w:numId w:val="14"/>
        </w:numPr>
        <w:rPr>
          <w:rFonts w:ascii="Arial" w:cs="Arial" w:eastAsia="Arial" w:hAnsi="Arial"/>
          <w:sz w:val="18"/>
          <w:szCs w:val="18"/>
          <w:color w:val="auto"/>
        </w:rPr>
      </w:pPr>
      <w:r>
        <w:rPr>
          <w:rFonts w:ascii="Arial" w:cs="Arial" w:eastAsia="Arial" w:hAnsi="Arial"/>
          <w:sz w:val="5"/>
          <w:szCs w:val="5"/>
          <w:color w:val="auto"/>
        </w:rPr>
        <w:t>&amp;# 160;</w:t>
      </w:r>
      <w:r>
        <w:rPr>
          <w:rFonts w:ascii="Arial" w:cs="Arial" w:eastAsia="Arial" w:hAnsi="Arial"/>
          <w:sz w:val="18"/>
          <w:szCs w:val="18"/>
          <w:color w:val="auto"/>
        </w:rPr>
        <w:t>Copies of the Written Resolution of the Board of Directors of the Company effective on 18 April 1995,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Minutes of the Meeting of the Board of Directors of the Company held on 7 May 2003 (the “Board Resolutions”), the Written Resolution of the Members of the Company effective 11 April 1995, the Minutes of the meeting of the Members of the Company held on 17 June 2000, the Minutes of the meeting of the Members of the Company held on 21 June 2001 and the Minutes of the meeting of the Members of the Company held on 27 June 2003 (the “M embers Resolutions” and together with the Board Resolutions are herein referred to as the “Resolutions”).</w:t>
      </w:r>
    </w:p>
    <w:p>
      <w:pPr>
        <w:spacing w:after="0" w:line="192" w:lineRule="exact"/>
        <w:rPr>
          <w:rFonts w:ascii="Arial" w:cs="Arial" w:eastAsia="Arial" w:hAnsi="Arial"/>
          <w:sz w:val="18"/>
          <w:szCs w:val="18"/>
          <w:color w:val="auto"/>
        </w:rPr>
      </w:pPr>
    </w:p>
    <w:p>
      <w:pPr>
        <w:ind w:left="652" w:right="320" w:hanging="652"/>
        <w:spacing w:after="0" w:line="308" w:lineRule="auto"/>
        <w:tabs>
          <w:tab w:leader="none" w:pos="679"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done on 14 April 2005 (the “Company Search”).</w:t>
      </w:r>
    </w:p>
    <w:p>
      <w:pPr>
        <w:spacing w:after="0" w:line="146" w:lineRule="exact"/>
        <w:rPr>
          <w:rFonts w:ascii="Arial" w:cs="Arial" w:eastAsia="Arial" w:hAnsi="Arial"/>
          <w:sz w:val="17"/>
          <w:szCs w:val="17"/>
          <w:color w:val="auto"/>
        </w:rPr>
      </w:pPr>
    </w:p>
    <w:p>
      <w:pPr>
        <w:ind w:left="652" w:right="340" w:hanging="652"/>
        <w:spacing w:after="0" w:line="277" w:lineRule="auto"/>
        <w:tabs>
          <w:tab w:leader="none" w:pos="679"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14 April 2005 (the “Litigation Search”).</w:t>
      </w:r>
    </w:p>
    <w:p>
      <w:pPr>
        <w:spacing w:after="0" w:line="170" w:lineRule="exact"/>
        <w:rPr>
          <w:sz w:val="20"/>
          <w:szCs w:val="20"/>
          <w:color w:val="auto"/>
        </w:rPr>
      </w:pPr>
    </w:p>
    <w:p>
      <w:pPr>
        <w:ind w:left="652"/>
        <w:spacing w:after="0"/>
        <w:rPr>
          <w:sz w:val="20"/>
          <w:szCs w:val="20"/>
          <w:color w:val="auto"/>
        </w:rPr>
      </w:pPr>
      <w:r>
        <w:rPr>
          <w:rFonts w:ascii="Arial" w:cs="Arial" w:eastAsia="Arial" w:hAnsi="Arial"/>
          <w:sz w:val="18"/>
          <w:szCs w:val="18"/>
          <w:color w:val="auto"/>
        </w:rPr>
        <w:t>(The Company Search and the Litigation Search are collectively referred to as the “Searches”)</w:t>
      </w:r>
    </w:p>
    <w:p>
      <w:pPr>
        <w:spacing w:after="0" w:line="225" w:lineRule="exact"/>
        <w:rPr>
          <w:sz w:val="20"/>
          <w:szCs w:val="20"/>
          <w:color w:val="auto"/>
        </w:rPr>
      </w:pPr>
    </w:p>
    <w:p>
      <w:pPr>
        <w:ind w:left="652" w:hanging="652"/>
        <w:spacing w:after="0"/>
        <w:tabs>
          <w:tab w:leader="none" w:pos="652" w:val="left"/>
        </w:tabs>
        <w:numPr>
          <w:ilvl w:val="0"/>
          <w:numId w:val="15"/>
        </w:numPr>
        <w:rPr>
          <w:rFonts w:ascii="Arial" w:cs="Arial" w:eastAsia="Arial" w:hAnsi="Arial"/>
          <w:sz w:val="18"/>
          <w:szCs w:val="18"/>
          <w:color w:val="auto"/>
        </w:rPr>
      </w:pPr>
      <w:r>
        <w:rPr>
          <w:rFonts w:ascii="Arial" w:cs="Arial" w:eastAsia="Arial" w:hAnsi="Arial"/>
          <w:sz w:val="18"/>
          <w:szCs w:val="18"/>
          <w:color w:val="auto"/>
        </w:rPr>
        <w:t>Secretary’s Certificate signed by Weili Dai, Secretary of Marvell Technology Group Ltd. attaching true and correct copies of</w:t>
      </w:r>
    </w:p>
    <w:p>
      <w:pPr>
        <w:spacing w:after="0" w:line="225" w:lineRule="exact"/>
        <w:rPr>
          <w:rFonts w:ascii="Arial" w:cs="Arial" w:eastAsia="Arial" w:hAnsi="Arial"/>
          <w:sz w:val="18"/>
          <w:szCs w:val="18"/>
          <w:color w:val="auto"/>
        </w:rPr>
      </w:pPr>
    </w:p>
    <w:p>
      <w:pPr>
        <w:ind w:left="1292" w:right="20" w:hanging="644"/>
        <w:spacing w:after="0" w:line="277" w:lineRule="auto"/>
        <w:tabs>
          <w:tab w:leader="none" w:pos="1313" w:val="left"/>
        </w:tabs>
        <w:numPr>
          <w:ilvl w:val="1"/>
          <w:numId w:val="15"/>
        </w:numPr>
        <w:rPr>
          <w:rFonts w:ascii="Arial" w:cs="Arial" w:eastAsia="Arial" w:hAnsi="Arial"/>
          <w:sz w:val="18"/>
          <w:szCs w:val="18"/>
          <w:color w:val="auto"/>
        </w:rPr>
      </w:pPr>
      <w:r>
        <w:rPr>
          <w:rFonts w:ascii="Arial" w:cs="Arial" w:eastAsia="Arial" w:hAnsi="Arial"/>
          <w:sz w:val="18"/>
          <w:szCs w:val="18"/>
          <w:color w:val="auto"/>
        </w:rPr>
        <w:t>the Certificate of Incorporation, Memorandum of Association and Bye-laws of the Company incorporating all amendments to 21 June 2001 (collectively referred to as the “Constitutional Documents”); and</w:t>
      </w:r>
    </w:p>
    <w:p>
      <w:pPr>
        <w:spacing w:after="0" w:line="170" w:lineRule="exact"/>
        <w:rPr>
          <w:rFonts w:ascii="Arial" w:cs="Arial" w:eastAsia="Arial" w:hAnsi="Arial"/>
          <w:sz w:val="18"/>
          <w:szCs w:val="18"/>
          <w:color w:val="auto"/>
        </w:rPr>
      </w:pPr>
    </w:p>
    <w:p>
      <w:pPr>
        <w:ind w:left="1292" w:right="700" w:hanging="644"/>
        <w:spacing w:after="0" w:line="277" w:lineRule="auto"/>
        <w:tabs>
          <w:tab w:leader="none" w:pos="1323" w:val="left"/>
        </w:tabs>
        <w:numPr>
          <w:ilvl w:val="1"/>
          <w:numId w:val="15"/>
        </w:numPr>
        <w:rPr>
          <w:rFonts w:ascii="Arial" w:cs="Arial" w:eastAsia="Arial" w:hAnsi="Arial"/>
          <w:sz w:val="18"/>
          <w:szCs w:val="18"/>
          <w:color w:val="auto"/>
        </w:rPr>
      </w:pPr>
      <w:r>
        <w:rPr>
          <w:rFonts w:ascii="Arial" w:cs="Arial" w:eastAsia="Arial" w:hAnsi="Arial"/>
          <w:sz w:val="18"/>
          <w:szCs w:val="18"/>
          <w:color w:val="auto"/>
        </w:rPr>
        <w:t>the permission dated 31 May 2000 given by the Bermuda Monetary Authority under the Exchange Control Act (1972) and related regulations for the issue of shares in the capital of he Company.</w:t>
      </w:r>
    </w:p>
    <w:p>
      <w:pPr>
        <w:spacing w:after="0" w:line="170"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81280</wp:posOffset>
            </wp:positionV>
            <wp:extent cx="7267575"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92"/>
          </w:cols>
          <w:pgMar w:left="248" w:top="125" w:right="259"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23.1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CONSENT OF INDEPENDENT REGISTERED PUBLIC ACCOUNTING FIRM</w:t>
      </w:r>
    </w:p>
    <w:p>
      <w:pPr>
        <w:spacing w:after="0" w:line="225"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S-8 of our report dated April 14, 2005 relating to the consolidated financial statements, management’s assessment of the effectiveness of internal control over financial reporting and the effectiveness of internal control over financial reporting, of Marvell Technology Group Ltd., which appears in Marvell Technology Group Ltd.’s Annual Report on Form 10-K for the year ended January 31, 2005.</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PricewaterhouseCoopers LLP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April 14,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200660</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1)"/>
      <w:numFmt w:val="decimal"/>
      <w:start w:val="1"/>
    </w:lvl>
  </w:abstractNum>
  <w:abstractNum w:abstractNumId="1">
    <w:nsid w:val="515F007C"/>
    <w:multiLevelType w:val="hybridMultilevel"/>
    <w:lvl w:ilvl="0">
      <w:lvlJc w:val="left"/>
      <w:lvlText w:val="(%1)"/>
      <w:numFmt w:val="lowerLetter"/>
      <w:start w:val="1"/>
    </w:lvl>
  </w:abstractNum>
  <w:abstractNum w:abstractNumId="2">
    <w:nsid w:val="5BD062C2"/>
    <w:multiLevelType w:val="hybridMultilevel"/>
    <w:lvl w:ilvl="0">
      <w:lvlJc w:val="left"/>
      <w:lvlText w:val="*"/>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
      <w:numFmt w:val="bullet"/>
      <w:start w:val="1"/>
    </w:lvl>
  </w:abstractNum>
  <w:abstractNum w:abstractNumId="5">
    <w:nsid w:val="216231B"/>
    <w:multiLevelType w:val="hybridMultilevel"/>
    <w:lvl w:ilvl="0">
      <w:lvlJc w:val="left"/>
      <w:lvlText w:val="**"/>
      <w:numFmt w:val="bullet"/>
      <w:start w:val="1"/>
    </w:lvl>
  </w:abstractNum>
  <w:abstractNum w:abstractNumId="6">
    <w:nsid w:val="1F16E9E8"/>
    <w:multiLevelType w:val="hybridMultilevel"/>
    <w:lvl w:ilvl="0">
      <w:lvlJc w:val="left"/>
      <w:lvlText w:val="(%1)"/>
      <w:numFmt w:val="lowerLetter"/>
      <w:start w:val="1"/>
    </w:lvl>
  </w:abstractNum>
  <w:abstractNum w:abstractNumId="7">
    <w:nsid w:val="1190CDE7"/>
    <w:multiLevelType w:val="hybridMultilevel"/>
    <w:lvl w:ilvl="0">
      <w:lvlJc w:val="left"/>
      <w:lvlText w:val="(%1)"/>
      <w:numFmt w:val="lowerLetter"/>
      <w:start w:val="10"/>
    </w:lvl>
  </w:abstractNum>
  <w:abstractNum w:abstractNumId="8">
    <w:nsid w:val="66EF438D"/>
    <w:multiLevelType w:val="hybridMultilevel"/>
    <w:lvl w:ilvl="0">
      <w:lvlJc w:val="left"/>
      <w:lvlText w:val="(%1)"/>
      <w:numFmt w:val="lowerLetter"/>
      <w:start w:val="11"/>
    </w:lvl>
  </w:abstractNum>
  <w:abstractNum w:abstractNumId="9">
    <w:nsid w:val="140E0F76"/>
    <w:multiLevelType w:val="hybridMultilevel"/>
    <w:lvl w:ilvl="0">
      <w:lvlJc w:val="left"/>
      <w:lvlText w:val="(%1)"/>
      <w:numFmt w:val="lowerLetter"/>
      <w:start w:val="16"/>
    </w:lvl>
  </w:abstractNum>
  <w:abstractNum w:abstractNumId="10">
    <w:nsid w:val="3352255A"/>
    <w:multiLevelType w:val="hybridMultilevel"/>
    <w:lvl w:ilvl="0">
      <w:lvlJc w:val="left"/>
      <w:lvlText w:val="(%1)"/>
      <w:numFmt w:val="lowerLetter"/>
      <w:start w:val="1"/>
    </w:lvl>
  </w:abstractNum>
  <w:abstractNum w:abstractNumId="11">
    <w:nsid w:val="109CF92E"/>
    <w:multiLevelType w:val="hybridMultilevel"/>
    <w:lvl w:ilvl="0">
      <w:lvlJc w:val="left"/>
      <w:lvlText w:val="(%1)"/>
      <w:numFmt w:val="lowerRoman"/>
      <w:start w:val="1"/>
    </w:lvl>
  </w:abstractNum>
  <w:abstractNum w:abstractNumId="12">
    <w:nsid w:val="DED7263"/>
    <w:multiLevelType w:val="hybridMultilevel"/>
    <w:lvl w:ilvl="0">
      <w:lvlJc w:val="left"/>
      <w:lvlText w:val="(%1)"/>
      <w:numFmt w:val="lowerLetter"/>
      <w:start w:val="4"/>
    </w:lvl>
  </w:abstractNum>
  <w:abstractNum w:abstractNumId="13">
    <w:nsid w:val="7FDCC233"/>
    <w:multiLevelType w:val="hybridMultilevel"/>
    <w:lvl w:ilvl="0">
      <w:lvlJc w:val="left"/>
      <w:lvlText w:val="%1."/>
      <w:numFmt w:val="decimal"/>
      <w:start w:val="1"/>
    </w:lvl>
  </w:abstractNum>
  <w:abstractNum w:abstractNumId="14">
    <w:nsid w:val="1BEFD79F"/>
    <w:multiLevelType w:val="hybridMultilevel"/>
    <w:lvl w:ilvl="0">
      <w:lvlJc w:val="left"/>
      <w:lvlText w:val="%1."/>
      <w:numFmt w:val="decimal"/>
      <w:start w:val="7"/>
    </w:lvl>
    <w:lvl w:ilvl="1">
      <w:lvlJc w:val="left"/>
      <w:lvlText w:val="(%2)"/>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2019-12-14T20:12:24Z</dcterms:created>
  <dcterms:modified xsi:type="dcterms:W3CDTF">2019-12-14T20:12:24Z</dcterms:modified>
</cp:coreProperties>
</file>