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2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23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19, 2005</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85" w:right="279" w:bottom="0" w:gutter="0" w:footer="0" w:header="0"/>
          <w:type w:val="continuous"/>
        </w:sectPr>
      </w:pP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180" w:firstLine="648"/>
        <w:spacing w:after="0" w:line="277" w:lineRule="auto"/>
        <w:rPr>
          <w:sz w:val="20"/>
          <w:szCs w:val="20"/>
          <w:color w:val="auto"/>
        </w:rPr>
      </w:pPr>
      <w:r>
        <w:rPr>
          <w:rFonts w:ascii="Arial" w:cs="Arial" w:eastAsia="Arial" w:hAnsi="Arial"/>
          <w:sz w:val="18"/>
          <w:szCs w:val="18"/>
          <w:color w:val="auto"/>
        </w:rPr>
        <w:t>On May 19, 2005, Marvell Technology Group Ltd. (“Marvell”) issued a press release regarding its financial results for its first fiscal quarter ended April 30, 2005. The full text of Marvell’s press release is furnished herewith as Exhibit 99.1.</w:t>
      </w:r>
    </w:p>
    <w:p>
      <w:pPr>
        <w:spacing w:after="0" w:line="170" w:lineRule="exact"/>
        <w:rPr>
          <w:sz w:val="24"/>
          <w:szCs w:val="24"/>
          <w:color w:val="auto"/>
        </w:rPr>
      </w:pPr>
    </w:p>
    <w:p>
      <w:pPr>
        <w:jc w:val="both"/>
        <w:ind w:right="280" w:firstLine="648"/>
        <w:spacing w:after="0" w:line="312"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47" w:lineRule="exact"/>
        <w:rPr>
          <w:sz w:val="24"/>
          <w:szCs w:val="24"/>
          <w:color w:val="auto"/>
        </w:rPr>
      </w:pPr>
    </w:p>
    <w:p>
      <w:pPr>
        <w:ind w:firstLine="648"/>
        <w:spacing w:after="0" w:line="259" w:lineRule="auto"/>
        <w:rPr>
          <w:sz w:val="20"/>
          <w:szCs w:val="20"/>
          <w:color w:val="auto"/>
        </w:rPr>
      </w:pPr>
      <w:r>
        <w:rPr>
          <w:rFonts w:ascii="Arial" w:cs="Arial" w:eastAsia="Arial" w:hAnsi="Arial"/>
          <w:sz w:val="18"/>
          <w:szCs w:val="18"/>
          <w:color w:val="auto"/>
        </w:rPr>
        <w:t>Marvell’s management believes this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18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ectPr>
          <w:pgSz w:w="11900" w:h="16838" w:orient="portrait"/>
          <w:cols w:equalWidth="0" w:num="1">
            <w:col w:w="11380"/>
          </w:cols>
          <w:pgMar w:left="240" w:top="585" w:right="279" w:bottom="0"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b w:val="1"/>
          <w:bCs w:val="1"/>
          <w:color w:val="auto"/>
        </w:rPr>
        <w:t>(c) Exhibits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00" w:type="dxa"/>
            <w:vAlign w:val="bottom"/>
            <w:gridSpan w:val="2"/>
          </w:tcPr>
          <w:p>
            <w:pPr>
              <w:jc w:val="center"/>
              <w:ind w:right="890"/>
              <w:spacing w:after="0"/>
              <w:rPr>
                <w:sz w:val="20"/>
                <w:szCs w:val="20"/>
                <w:color w:val="auto"/>
              </w:rPr>
            </w:pPr>
            <w:r>
              <w:rPr>
                <w:rFonts w:ascii="Arial" w:cs="Arial" w:eastAsia="Arial" w:hAnsi="Arial"/>
                <w:sz w:val="14"/>
                <w:szCs w:val="14"/>
                <w:b w:val="1"/>
                <w:bCs w:val="1"/>
                <w:color w:val="auto"/>
                <w:w w:val="95"/>
              </w:rPr>
              <w:t>Exhibit No.</w:t>
            </w:r>
          </w:p>
        </w:tc>
        <w:tc>
          <w:tcPr>
            <w:tcW w:w="600" w:type="dxa"/>
            <w:vAlign w:val="bottom"/>
          </w:tcPr>
          <w:p>
            <w:pPr>
              <w:spacing w:after="0"/>
              <w:rPr>
                <w:sz w:val="14"/>
                <w:szCs w:val="14"/>
                <w:color w:val="auto"/>
              </w:rPr>
            </w:pPr>
          </w:p>
        </w:tc>
        <w:tc>
          <w:tcPr>
            <w:tcW w:w="7700" w:type="dxa"/>
            <w:vAlign w:val="bottom"/>
          </w:tcPr>
          <w:p>
            <w:pPr>
              <w:jc w:val="right"/>
              <w:ind w:right="3419"/>
              <w:spacing w:after="0"/>
              <w:rPr>
                <w:sz w:val="20"/>
                <w:szCs w:val="20"/>
                <w:color w:val="auto"/>
              </w:rPr>
            </w:pPr>
            <w:r>
              <w:rPr>
                <w:rFonts w:ascii="Arial" w:cs="Arial" w:eastAsia="Arial" w:hAnsi="Arial"/>
                <w:sz w:val="14"/>
                <w:szCs w:val="14"/>
                <w:b w:val="1"/>
                <w:bCs w:val="1"/>
                <w:color w:val="auto"/>
              </w:rPr>
              <w:t>Description</w:t>
            </w:r>
          </w:p>
        </w:tc>
        <w:tc>
          <w:tcPr>
            <w:tcW w:w="140" w:type="dxa"/>
            <w:vAlign w:val="bottom"/>
          </w:tcPr>
          <w:p>
            <w:pPr>
              <w:spacing w:after="0"/>
              <w:rPr>
                <w:sz w:val="14"/>
                <w:szCs w:val="14"/>
                <w:color w:val="auto"/>
              </w:rPr>
            </w:pPr>
          </w:p>
        </w:tc>
      </w:tr>
      <w:tr>
        <w:trPr>
          <w:trHeight w:val="426"/>
        </w:trPr>
        <w:tc>
          <w:tcPr>
            <w:tcW w:w="660" w:type="dxa"/>
            <w:vAlign w:val="bottom"/>
          </w:tcPr>
          <w:p>
            <w:pPr>
              <w:spacing w:after="0"/>
              <w:rPr>
                <w:sz w:val="24"/>
                <w:szCs w:val="24"/>
                <w:color w:val="auto"/>
              </w:rPr>
            </w:pPr>
          </w:p>
        </w:tc>
        <w:tc>
          <w:tcPr>
            <w:tcW w:w="2340" w:type="dxa"/>
            <w:vAlign w:val="bottom"/>
            <w:tcBorders>
              <w:top w:val="single" w:sz="8" w:color="auto"/>
            </w:tcBorders>
          </w:tcPr>
          <w:p>
            <w:pPr>
              <w:jc w:val="right"/>
              <w:ind w:right="1750"/>
              <w:spacing w:after="0"/>
              <w:rPr>
                <w:sz w:val="20"/>
                <w:szCs w:val="20"/>
                <w:color w:val="auto"/>
              </w:rPr>
            </w:pPr>
            <w:r>
              <w:rPr>
                <w:rFonts w:ascii="Arial" w:cs="Arial" w:eastAsia="Arial" w:hAnsi="Arial"/>
                <w:sz w:val="18"/>
                <w:szCs w:val="18"/>
                <w:color w:val="auto"/>
              </w:rPr>
              <w:t>99.1</w:t>
            </w:r>
          </w:p>
        </w:tc>
        <w:tc>
          <w:tcPr>
            <w:tcW w:w="600" w:type="dxa"/>
            <w:vAlign w:val="bottom"/>
          </w:tcPr>
          <w:p>
            <w:pPr>
              <w:spacing w:after="0"/>
              <w:rPr>
                <w:sz w:val="24"/>
                <w:szCs w:val="24"/>
                <w:color w:val="auto"/>
              </w:rPr>
            </w:pPr>
          </w:p>
        </w:tc>
        <w:tc>
          <w:tcPr>
            <w:tcW w:w="7700" w:type="dxa"/>
            <w:vAlign w:val="bottom"/>
            <w:tcBorders>
              <w:top w:val="single" w:sz="8" w:color="auto"/>
            </w:tcBorders>
          </w:tcPr>
          <w:p>
            <w:pPr>
              <w:jc w:val="right"/>
              <w:ind w:right="5099"/>
              <w:spacing w:after="0"/>
              <w:rPr>
                <w:sz w:val="20"/>
                <w:szCs w:val="20"/>
                <w:color w:val="auto"/>
              </w:rPr>
            </w:pPr>
            <w:r>
              <w:rPr>
                <w:rFonts w:ascii="Arial" w:cs="Arial" w:eastAsia="Arial" w:hAnsi="Arial"/>
                <w:sz w:val="18"/>
                <w:szCs w:val="18"/>
                <w:color w:val="auto"/>
                <w:w w:val="87"/>
              </w:rPr>
              <w:t>Press Release dated May 19, 2005.</w:t>
            </w:r>
          </w:p>
        </w:tc>
        <w:tc>
          <w:tcPr>
            <w:tcW w:w="140" w:type="dxa"/>
            <w:vAlign w:val="bottom"/>
          </w:tcPr>
          <w:p>
            <w:pPr>
              <w:spacing w:after="0"/>
              <w:rPr>
                <w:sz w:val="24"/>
                <w:szCs w:val="24"/>
                <w:color w:val="auto"/>
              </w:rPr>
            </w:pPr>
          </w:p>
        </w:tc>
      </w:tr>
      <w:tr>
        <w:trPr>
          <w:trHeight w:val="432"/>
        </w:trPr>
        <w:tc>
          <w:tcPr>
            <w:tcW w:w="66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300" w:type="dxa"/>
            <w:vAlign w:val="bottom"/>
            <w:gridSpan w:val="2"/>
          </w:tcPr>
          <w:p>
            <w:pPr>
              <w:jc w:val="right"/>
              <w:ind w:right="5459"/>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24"/>
                <w:szCs w:val="24"/>
                <w:color w:val="auto"/>
              </w:rPr>
            </w:pPr>
          </w:p>
        </w:tc>
      </w:tr>
      <w:tr>
        <w:trPr>
          <w:trHeight w:val="105"/>
        </w:trPr>
        <w:tc>
          <w:tcPr>
            <w:tcW w:w="660" w:type="dxa"/>
            <w:vAlign w:val="bottom"/>
            <w:tcBorders>
              <w:bottom w:val="single" w:sz="8" w:color="808080"/>
            </w:tcBorders>
          </w:tcPr>
          <w:p>
            <w:pPr>
              <w:spacing w:after="0"/>
              <w:rPr>
                <w:sz w:val="9"/>
                <w:szCs w:val="9"/>
                <w:color w:val="auto"/>
              </w:rPr>
            </w:pPr>
          </w:p>
        </w:tc>
        <w:tc>
          <w:tcPr>
            <w:tcW w:w="234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77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19, 2005</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620" w:type="dxa"/>
            <w:vAlign w:val="bottom"/>
            <w:gridSpan w:val="2"/>
          </w:tcPr>
          <w:p>
            <w:pPr>
              <w:ind w:left="2020"/>
              <w:spacing w:after="0"/>
              <w:rPr>
                <w:sz w:val="20"/>
                <w:szCs w:val="20"/>
                <w:color w:val="auto"/>
              </w:rPr>
            </w:pPr>
            <w:r>
              <w:rPr>
                <w:rFonts w:ascii="Arial" w:cs="Arial" w:eastAsia="Arial" w:hAnsi="Arial"/>
                <w:sz w:val="18"/>
                <w:szCs w:val="18"/>
                <w:color w:val="auto"/>
              </w:rPr>
              <w:t>MARVELL TECHNOLOGY GROUP LTD.</w:t>
            </w:r>
          </w:p>
        </w:tc>
        <w:tc>
          <w:tcPr>
            <w:tcW w:w="110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648"/>
        </w:trPr>
        <w:tc>
          <w:tcPr>
            <w:tcW w:w="3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620" w:type="dxa"/>
            <w:vAlign w:val="bottom"/>
            <w:gridSpan w:val="2"/>
          </w:tcPr>
          <w:p>
            <w:pPr>
              <w:ind w:left="2020"/>
              <w:spacing w:after="0"/>
              <w:rPr>
                <w:sz w:val="20"/>
                <w:szCs w:val="20"/>
                <w:color w:val="auto"/>
              </w:rPr>
            </w:pPr>
            <w:r>
              <w:rPr>
                <w:rFonts w:ascii="Arial" w:cs="Arial" w:eastAsia="Arial" w:hAnsi="Arial"/>
                <w:sz w:val="18"/>
                <w:szCs w:val="18"/>
                <w:color w:val="auto"/>
              </w:rPr>
              <w:t>By:   /s/ George A. Hervey</w:t>
            </w:r>
          </w:p>
        </w:tc>
        <w:tc>
          <w:tcPr>
            <w:tcW w:w="11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95"/>
        </w:trPr>
        <w:tc>
          <w:tcPr>
            <w:tcW w:w="3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424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1"/>
              </w:rPr>
              <w:t>George A. Hervey</w:t>
            </w:r>
          </w:p>
        </w:tc>
        <w:tc>
          <w:tcPr>
            <w:tcW w:w="1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16"/>
        </w:trPr>
        <w:tc>
          <w:tcPr>
            <w:tcW w:w="3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89"/>
              </w:rPr>
              <w:t>Vice President of Finance and</w:t>
            </w:r>
          </w:p>
        </w:tc>
        <w:tc>
          <w:tcPr>
            <w:tcW w:w="110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30"/>
        </w:trPr>
        <w:tc>
          <w:tcPr>
            <w:tcW w:w="3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c>
          <w:tcPr>
            <w:tcW w:w="110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32"/>
        </w:trPr>
        <w:tc>
          <w:tcPr>
            <w:tcW w:w="3120" w:type="dxa"/>
            <w:vAlign w:val="bottom"/>
          </w:tcPr>
          <w:p>
            <w:pPr>
              <w:spacing w:after="0"/>
              <w:rPr>
                <w:sz w:val="24"/>
                <w:szCs w:val="24"/>
                <w:color w:val="auto"/>
              </w:rPr>
            </w:pPr>
          </w:p>
        </w:tc>
        <w:tc>
          <w:tcPr>
            <w:tcW w:w="2960" w:type="dxa"/>
            <w:vAlign w:val="bottom"/>
            <w:gridSpan w:val="2"/>
          </w:tcPr>
          <w:p>
            <w:pPr>
              <w:jc w:val="center"/>
              <w:ind w:left="2130"/>
              <w:spacing w:after="0"/>
              <w:rPr>
                <w:sz w:val="20"/>
                <w:szCs w:val="20"/>
                <w:color w:val="auto"/>
              </w:rPr>
            </w:pPr>
            <w:r>
              <w:rPr>
                <w:rFonts w:ascii="Arial" w:cs="Arial" w:eastAsia="Arial" w:hAnsi="Arial"/>
                <w:sz w:val="18"/>
                <w:szCs w:val="18"/>
                <w:color w:val="auto"/>
                <w:w w:val="99"/>
              </w:rPr>
              <w:t>3</w:t>
            </w:r>
          </w:p>
        </w:tc>
        <w:tc>
          <w:tcPr>
            <w:tcW w:w="4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312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620" w:type="dxa"/>
            <w:vAlign w:val="bottom"/>
            <w:tcBorders>
              <w:bottom w:val="single" w:sz="8" w:color="808080"/>
            </w:tcBorders>
            <w:gridSpan w:val="2"/>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r>
        <w:trPr>
          <w:trHeight w:val="767"/>
        </w:trPr>
        <w:tc>
          <w:tcPr>
            <w:tcW w:w="3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620" w:type="dxa"/>
            <w:vAlign w:val="bottom"/>
            <w:gridSpan w:val="2"/>
          </w:tcPr>
          <w:p>
            <w:pPr>
              <w:jc w:val="center"/>
              <w:ind w:right="2494"/>
              <w:spacing w:after="0"/>
              <w:rPr>
                <w:sz w:val="20"/>
                <w:szCs w:val="20"/>
                <w:color w:val="auto"/>
              </w:rPr>
            </w:pPr>
            <w:r>
              <w:rPr>
                <w:rFonts w:ascii="Arial" w:cs="Arial" w:eastAsia="Arial" w:hAnsi="Arial"/>
                <w:sz w:val="18"/>
                <w:szCs w:val="18"/>
                <w:b w:val="1"/>
                <w:bCs w:val="1"/>
                <w:color w:val="auto"/>
              </w:rPr>
              <w:t>EXHIBIT INDEX</w:t>
            </w:r>
          </w:p>
        </w:tc>
        <w:tc>
          <w:tcPr>
            <w:tcW w:w="11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365"/>
        </w:trPr>
        <w:tc>
          <w:tcPr>
            <w:tcW w:w="3120" w:type="dxa"/>
            <w:vAlign w:val="bottom"/>
            <w:tcBorders>
              <w:bottom w:val="single" w:sz="8" w:color="auto"/>
            </w:tcBorders>
          </w:tcPr>
          <w:p>
            <w:pPr>
              <w:jc w:val="right"/>
              <w:ind w:right="2319"/>
              <w:spacing w:after="0"/>
              <w:rPr>
                <w:sz w:val="20"/>
                <w:szCs w:val="20"/>
                <w:color w:val="auto"/>
              </w:rPr>
            </w:pPr>
            <w:r>
              <w:rPr>
                <w:rFonts w:ascii="Arial" w:cs="Arial" w:eastAsia="Arial" w:hAnsi="Arial"/>
                <w:sz w:val="14"/>
                <w:szCs w:val="14"/>
                <w:b w:val="1"/>
                <w:bCs w:val="1"/>
                <w:color w:val="auto"/>
                <w:w w:val="95"/>
              </w:rPr>
              <w:t>Exhibit No.</w:t>
            </w:r>
          </w:p>
        </w:tc>
        <w:tc>
          <w:tcPr>
            <w:tcW w:w="580" w:type="dxa"/>
            <w:vAlign w:val="bottom"/>
          </w:tcPr>
          <w:p>
            <w:pPr>
              <w:spacing w:after="0"/>
              <w:rPr>
                <w:sz w:val="24"/>
                <w:szCs w:val="24"/>
                <w:color w:val="auto"/>
              </w:rPr>
            </w:pPr>
          </w:p>
        </w:tc>
        <w:tc>
          <w:tcPr>
            <w:tcW w:w="2380" w:type="dxa"/>
            <w:vAlign w:val="bottom"/>
            <w:tcBorders>
              <w:bottom w:val="single" w:sz="8" w:color="auto"/>
            </w:tcBorders>
          </w:tcPr>
          <w:p>
            <w:pPr>
              <w:spacing w:after="0"/>
              <w:rPr>
                <w:sz w:val="24"/>
                <w:szCs w:val="24"/>
                <w:color w:val="auto"/>
              </w:rPr>
            </w:pPr>
          </w:p>
        </w:tc>
        <w:tc>
          <w:tcPr>
            <w:tcW w:w="4240" w:type="dxa"/>
            <w:vAlign w:val="bottom"/>
            <w:tcBorders>
              <w:bottom w:val="single" w:sz="8" w:color="auto"/>
            </w:tcBorders>
          </w:tcPr>
          <w:p>
            <w:pPr>
              <w:ind w:left="1120"/>
              <w:spacing w:after="0"/>
              <w:rPr>
                <w:sz w:val="20"/>
                <w:szCs w:val="20"/>
                <w:color w:val="auto"/>
              </w:rPr>
            </w:pPr>
            <w:r>
              <w:rPr>
                <w:rFonts w:ascii="Arial" w:cs="Arial" w:eastAsia="Arial" w:hAnsi="Arial"/>
                <w:sz w:val="14"/>
                <w:szCs w:val="14"/>
                <w:b w:val="1"/>
                <w:bCs w:val="1"/>
                <w:color w:val="auto"/>
              </w:rPr>
              <w:t>Description</w:t>
            </w:r>
          </w:p>
        </w:tc>
        <w:tc>
          <w:tcPr>
            <w:tcW w:w="110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r>
      <w:tr>
        <w:trPr>
          <w:trHeight w:val="426"/>
        </w:trPr>
        <w:tc>
          <w:tcPr>
            <w:tcW w:w="3120" w:type="dxa"/>
            <w:vAlign w:val="bottom"/>
          </w:tcPr>
          <w:p>
            <w:pPr>
              <w:jc w:val="right"/>
              <w:ind w:right="2359"/>
              <w:spacing w:after="0"/>
              <w:rPr>
                <w:sz w:val="20"/>
                <w:szCs w:val="20"/>
                <w:color w:val="auto"/>
              </w:rPr>
            </w:pPr>
            <w:r>
              <w:rPr>
                <w:rFonts w:ascii="Arial" w:cs="Arial" w:eastAsia="Arial" w:hAnsi="Arial"/>
                <w:sz w:val="18"/>
                <w:szCs w:val="18"/>
                <w:color w:val="auto"/>
              </w:rPr>
              <w:t>99.1</w:t>
            </w:r>
          </w:p>
        </w:tc>
        <w:tc>
          <w:tcPr>
            <w:tcW w:w="7200" w:type="dxa"/>
            <w:vAlign w:val="bottom"/>
            <w:gridSpan w:val="3"/>
          </w:tcPr>
          <w:p>
            <w:pPr>
              <w:ind w:left="580"/>
              <w:spacing w:after="0"/>
              <w:rPr>
                <w:sz w:val="20"/>
                <w:szCs w:val="20"/>
                <w:color w:val="auto"/>
              </w:rPr>
            </w:pPr>
            <w:r>
              <w:rPr>
                <w:rFonts w:ascii="Arial" w:cs="Arial" w:eastAsia="Arial" w:hAnsi="Arial"/>
                <w:sz w:val="18"/>
                <w:szCs w:val="18"/>
                <w:color w:val="auto"/>
              </w:rPr>
              <w:t>Press Release dated May 19, 2005.</w:t>
            </w:r>
          </w:p>
        </w:tc>
        <w:tc>
          <w:tcPr>
            <w:tcW w:w="11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32"/>
        </w:trPr>
        <w:tc>
          <w:tcPr>
            <w:tcW w:w="3120" w:type="dxa"/>
            <w:vAlign w:val="bottom"/>
          </w:tcPr>
          <w:p>
            <w:pPr>
              <w:spacing w:after="0"/>
              <w:rPr>
                <w:sz w:val="24"/>
                <w:szCs w:val="24"/>
                <w:color w:val="auto"/>
              </w:rPr>
            </w:pPr>
          </w:p>
        </w:tc>
        <w:tc>
          <w:tcPr>
            <w:tcW w:w="2960" w:type="dxa"/>
            <w:vAlign w:val="bottom"/>
            <w:gridSpan w:val="2"/>
          </w:tcPr>
          <w:p>
            <w:pPr>
              <w:jc w:val="center"/>
              <w:ind w:left="2130"/>
              <w:spacing w:after="0"/>
              <w:rPr>
                <w:sz w:val="20"/>
                <w:szCs w:val="20"/>
                <w:color w:val="auto"/>
              </w:rPr>
            </w:pPr>
            <w:r>
              <w:rPr>
                <w:rFonts w:ascii="Arial" w:cs="Arial" w:eastAsia="Arial" w:hAnsi="Arial"/>
                <w:sz w:val="18"/>
                <w:szCs w:val="18"/>
                <w:color w:val="auto"/>
                <w:w w:val="99"/>
              </w:rPr>
              <w:t>4</w:t>
            </w:r>
          </w:p>
        </w:tc>
        <w:tc>
          <w:tcPr>
            <w:tcW w:w="4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91"/>
        </w:trPr>
        <w:tc>
          <w:tcPr>
            <w:tcW w:w="3120" w:type="dxa"/>
            <w:vAlign w:val="bottom"/>
            <w:tcBorders>
              <w:bottom w:val="single" w:sz="8" w:color="808080"/>
            </w:tcBorders>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380" w:type="dxa"/>
            <w:vAlign w:val="bottom"/>
            <w:tcBorders>
              <w:bottom w:val="single" w:sz="8" w:color="808080"/>
            </w:tcBorders>
          </w:tcPr>
          <w:p>
            <w:pPr>
              <w:spacing w:after="0"/>
              <w:rPr>
                <w:sz w:val="7"/>
                <w:szCs w:val="7"/>
                <w:color w:val="auto"/>
              </w:rPr>
            </w:pPr>
          </w:p>
        </w:tc>
        <w:tc>
          <w:tcPr>
            <w:tcW w:w="4240" w:type="dxa"/>
            <w:vAlign w:val="bottom"/>
            <w:tcBorders>
              <w:bottom w:val="single" w:sz="8" w:color="808080"/>
            </w:tcBorders>
          </w:tcPr>
          <w:p>
            <w:pPr>
              <w:spacing w:after="0"/>
              <w:rPr>
                <w:sz w:val="7"/>
                <w:szCs w:val="7"/>
                <w:color w:val="auto"/>
              </w:rPr>
            </w:pPr>
          </w:p>
        </w:tc>
        <w:tc>
          <w:tcPr>
            <w:tcW w:w="110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-1360805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-1360805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2" w:name="page3"/>
    <w:bookmarkEnd w:id="2"/>
    <w:p>
      <w:pPr>
        <w:ind w:left="10480"/>
        <w:spacing w:after="0"/>
        <w:rPr>
          <w:sz w:val="20"/>
          <w:szCs w:val="20"/>
          <w:color w:val="auto"/>
        </w:rPr>
      </w:pPr>
      <w:r>
        <w:rPr>
          <w:rFonts w:ascii="Arial" w:cs="Arial" w:eastAsia="Arial" w:hAnsi="Arial"/>
          <w:sz w:val="16"/>
          <w:szCs w:val="16"/>
          <w:b w:val="1"/>
          <w:bCs w:val="1"/>
          <w:color w:val="auto"/>
        </w:rPr>
        <w:t>Exhibit 99.1</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NEWS RELEASE</w:t>
      </w:r>
    </w:p>
    <w:p>
      <w:pPr>
        <w:spacing w:after="0" w:line="15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Marvell</w:t>
      </w:r>
      <w:r>
        <w:rPr>
          <w:rFonts w:ascii="Arial" w:cs="Arial" w:eastAsia="Arial" w:hAnsi="Arial"/>
          <w:sz w:val="30"/>
          <w:szCs w:val="30"/>
          <w:b w:val="1"/>
          <w:bCs w:val="1"/>
          <w:color w:val="auto"/>
          <w:vertAlign w:val="superscript"/>
        </w:rPr>
        <w:t>®</w:t>
      </w:r>
      <w:r>
        <w:rPr>
          <w:rFonts w:ascii="Arial" w:cs="Arial" w:eastAsia="Arial" w:hAnsi="Arial"/>
          <w:sz w:val="18"/>
          <w:szCs w:val="18"/>
          <w:b w:val="1"/>
          <w:bCs w:val="1"/>
          <w:color w:val="auto"/>
        </w:rPr>
        <w:t xml:space="preserve"> Technology Group Ltd. Reports</w:t>
      </w:r>
    </w:p>
    <w:p>
      <w:pPr>
        <w:ind w:left="4140"/>
        <w:spacing w:after="0"/>
        <w:rPr>
          <w:sz w:val="20"/>
          <w:szCs w:val="20"/>
          <w:color w:val="auto"/>
        </w:rPr>
      </w:pPr>
      <w:r>
        <w:rPr>
          <w:rFonts w:ascii="Arial" w:cs="Arial" w:eastAsia="Arial" w:hAnsi="Arial"/>
          <w:sz w:val="18"/>
          <w:szCs w:val="18"/>
          <w:b w:val="1"/>
          <w:bCs w:val="1"/>
          <w:color w:val="auto"/>
        </w:rPr>
        <w:t>Record First Quarter Fiscal 2006 Results</w:t>
      </w:r>
    </w:p>
    <w:p>
      <w:pPr>
        <w:spacing w:after="0" w:line="213" w:lineRule="exact"/>
        <w:rPr>
          <w:sz w:val="20"/>
          <w:szCs w:val="20"/>
          <w:color w:val="auto"/>
        </w:rPr>
      </w:pPr>
    </w:p>
    <w:p>
      <w:pPr>
        <w:ind w:right="300"/>
        <w:spacing w:after="0" w:line="210" w:lineRule="auto"/>
        <w:rPr>
          <w:sz w:val="20"/>
          <w:szCs w:val="20"/>
          <w:color w:val="auto"/>
        </w:rPr>
      </w:pPr>
      <w:r>
        <w:rPr>
          <w:rFonts w:ascii="Arial" w:cs="Arial" w:eastAsia="Arial" w:hAnsi="Arial"/>
          <w:sz w:val="18"/>
          <w:szCs w:val="18"/>
          <w:color w:val="auto"/>
        </w:rPr>
        <w:t xml:space="preserve">Sunnyvale, CA. (May 19, 2005) </w:t>
      </w:r>
      <w:r>
        <w:rPr>
          <w:rFonts w:ascii="Arial" w:cs="Arial" w:eastAsia="Arial" w:hAnsi="Arial"/>
          <w:sz w:val="18"/>
          <w:szCs w:val="18"/>
          <w:b w:val="1"/>
          <w:bCs w:val="1"/>
          <w:color w:val="auto"/>
        </w:rPr>
        <w:t>–</w:t>
      </w:r>
      <w:r>
        <w:rPr>
          <w:rFonts w:ascii="Arial" w:cs="Arial" w:eastAsia="Arial" w:hAnsi="Arial"/>
          <w:sz w:val="18"/>
          <w:szCs w:val="18"/>
          <w:color w:val="auto"/>
        </w:rPr>
        <w:t xml:space="preserve"> Marvell</w:t>
      </w:r>
      <w:r>
        <w:rPr>
          <w:rFonts w:ascii="Arial" w:cs="Arial" w:eastAsia="Arial" w:hAnsi="Arial"/>
          <w:sz w:val="30"/>
          <w:szCs w:val="30"/>
          <w:color w:val="auto"/>
          <w:vertAlign w:val="superscript"/>
        </w:rPr>
        <w:t>®</w:t>
      </w:r>
      <w:r>
        <w:rPr>
          <w:rFonts w:ascii="Arial" w:cs="Arial" w:eastAsia="Arial" w:hAnsi="Arial"/>
          <w:sz w:val="18"/>
          <w:szCs w:val="18"/>
          <w:color w:val="auto"/>
        </w:rPr>
        <w:t xml:space="preserve"> Technology Group Ltd. (NASDAQ: MRVL), the technology leader in the development of extreme broadband communications and storage solutions, today reported financial results for its first fiscal quarter ended April 30, 2005.</w:t>
      </w:r>
    </w:p>
    <w:p>
      <w:pPr>
        <w:spacing w:after="0" w:line="202"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Net revenue for the first quarter of fiscal 2006 was a record $364.8 million, an increase of 35% over net revenue of $269.6 million for the first quarter of fiscal 2005 and a 7% sequential increase from net revenue of $340.3 million for the fourth quarter of fiscal 2005. Net income under generally accepted accounting principles (GAAP) was $63.5 million, or $0.20 per share (diluted), for the first quarter of fiscal 2006, compared with a net income under GAAP of $14.5 million, or $0.05 per share (diluted), for the first quarter of fiscal 2005.</w:t>
      </w:r>
    </w:p>
    <w:p>
      <w:pPr>
        <w:spacing w:after="0" w:line="187"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and amortization of stock-based compensation. Pro forma net income was $84.2 million, or $0.27 per share (diluted), for the first quarter of fiscal 2006, compared with pro forma net income of $49.1 million, or $0.17 per share (diluted), for the first quarter of fiscal 2005. Shares used in computing net income per share for the first quarter of fiscal 2006 increased to 310.7 million, compared with 293.2 million for the first quarter of fiscal 2005.</w:t>
      </w:r>
    </w:p>
    <w:p>
      <w:pPr>
        <w:spacing w:after="0" w:line="173"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181"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160020</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color w:val="auto"/>
        </w:rPr>
        <w:t>“Q1 was another very strong quarter for Marvell with record revenues and profits,” stated Dr. Sehat Sutardja, Marvell’s President and CEO. “We currently enjoy strong momentum across all of our served markets and continue to execute strongly on our business strategies. As we continue to grow in our existing markets, we are also focused on aggressively expanding our portfolio of technologies and developing products for new market opportunities.”</w:t>
      </w:r>
    </w:p>
    <w:p>
      <w:pPr>
        <w:spacing w:after="0" w:line="147"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Revenue for the first quarter was a record for Marvell and represented the 30th consecutive quarter of sequential revenue growth. During the quarter, Marvell continued to generate strong positive cash flows and reported its highest level of cash, cash equivalents and short-term investments with a balance of $726.8 million. The following is a review of fiscal first quarter highlights:</w:t>
      </w:r>
    </w:p>
    <w:p>
      <w:pPr>
        <w:spacing w:after="0" w:line="208" w:lineRule="exact"/>
        <w:rPr>
          <w:sz w:val="20"/>
          <w:szCs w:val="20"/>
          <w:color w:val="auto"/>
        </w:rPr>
      </w:pPr>
    </w:p>
    <w:p>
      <w:pPr>
        <w:ind w:left="660" w:right="20" w:hanging="328"/>
        <w:spacing w:after="0" w:line="241"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Marvell announced the world’s first silicon solution that embeds WLAN into digital cordless phones, VoIP phones, video phones and other consumer electronic devices. The Marvell 88W8385 is the first chip to provide complete 802.11 a/b/g WLAN processing for these consumer platforms by offering embedded CPU and sufficient on-chip memory for complete host off-load processing. Additionally, the Marvell solution provides support for high-speed SDIO, SPI and other serial interfaces for reduced footprint.</w:t>
      </w:r>
    </w:p>
    <w:p>
      <w:pPr>
        <w:spacing w:after="0" w:line="229" w:lineRule="exact"/>
        <w:rPr>
          <w:rFonts w:ascii="Arial" w:cs="Arial" w:eastAsia="Arial" w:hAnsi="Arial"/>
          <w:sz w:val="22"/>
          <w:szCs w:val="22"/>
          <w:color w:val="auto"/>
        </w:rPr>
      </w:pPr>
    </w:p>
    <w:p>
      <w:pPr>
        <w:ind w:left="660" w:right="240" w:hanging="328"/>
        <w:spacing w:after="0" w:line="245"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Earlier this month at Network Interop 2005 in Las Vegas, Marvell demonstrated its leadership position in the switching market. During this show, Marvell displayed customer equipment covering the very high-end metro class equipment to the high-volume value class switches. Marvell also announced a number of products including the Prestera™ 98DX2x3, which provides wire-speed IPv4/IPv6 routing, flexible policy-based security and QoS engines, and comprehensive network shield for protecting against denial of service attacks. Additionally, Marvell and NextHop Technologies, Inc. intend to introduce an integrated wireless LAN switching solution based on Marvell’s Prestera chipset and integrated Wireless LAN Controller Software from NextHop.</w:t>
      </w:r>
    </w:p>
    <w:p>
      <w:pPr>
        <w:spacing w:after="0" w:line="224" w:lineRule="exact"/>
        <w:rPr>
          <w:rFonts w:ascii="Arial" w:cs="Arial" w:eastAsia="Arial" w:hAnsi="Arial"/>
          <w:sz w:val="22"/>
          <w:szCs w:val="22"/>
          <w:color w:val="auto"/>
        </w:rPr>
      </w:pPr>
    </w:p>
    <w:p>
      <w:pPr>
        <w:ind w:left="660" w:right="320" w:hanging="328"/>
        <w:spacing w:after="0" w:line="245"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Freescale Semiconductor, Inc. and Marvell announced plans to offer WLAN solutions for mobile devices through Freescale’s wireless platforms. Together, Marvell and Freescale plan to provide WLAN capability into mobile handsets, smartphones and entertainment devices. Freescale customers will receive Marvell’s IEEE 802.11 reference designs, ICs, software and tools to simplify customer development and time-to-market. Complementing Freescale’s market-leading 3G Innovative Convergence™ and EDGE Mobile Extreme Convergence platforms, as well as i.MX applications processor family, Marvell has a complete multi-mode, lower power IEEE 802.11 product line enabling connectivity using 802.11b, 802.11g or 802.11a/b/g.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192405</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will be conducting a conference call today at 1:45 p.m. PST to discuss its first quarter financial results. To listen to the conference call, investors can dial (706) 679-0800 approximately ten minutes prior to the initiation of the teleconference and refer to conference code 5618271. Replay of the conference call will be available until May 26, 2005 at midnight PST by dialing (706) 645-9291. The conference call will also be available via the web at www.marvell.com. Please visit the Investor Events section. Replay on the Internet will be available until May 19, 2006.</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The financial results included in this release are unaudited.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280"/>
        <w:spacing w:after="0" w:line="302" w:lineRule="auto"/>
        <w:rPr>
          <w:sz w:val="20"/>
          <w:szCs w:val="20"/>
          <w:color w:val="auto"/>
        </w:rPr>
      </w:pPr>
      <w:r>
        <w:rPr>
          <w:rFonts w:ascii="Arial" w:cs="Arial" w:eastAsia="Arial" w:hAnsi="Arial"/>
          <w:sz w:val="16"/>
          <w:szCs w:val="16"/>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w:t>
      </w:r>
    </w:p>
    <w:p>
      <w:pPr>
        <w:sectPr>
          <w:pgSz w:w="11900" w:h="16838" w:orient="portrait"/>
          <w:cols w:equalWidth="0" w:num="1">
            <w:col w:w="11420"/>
          </w:cols>
          <w:pgMar w:left="240" w:top="121" w:right="239" w:bottom="0" w:gutter="0" w:footer="0" w:header="0"/>
        </w:sectPr>
      </w:pPr>
    </w:p>
    <w:bookmarkStart w:id="3" w:name="page4"/>
    <w:bookmarkEnd w:id="3"/>
    <w:p>
      <w:pPr>
        <w:spacing w:after="0" w:line="62" w:lineRule="exact"/>
        <w:rPr>
          <w:sz w:val="20"/>
          <w:szCs w:val="20"/>
          <w:color w:val="auto"/>
        </w:rPr>
      </w:pPr>
    </w:p>
    <w:p>
      <w:pPr>
        <w:jc w:val="both"/>
        <w:ind w:right="340"/>
        <w:spacing w:after="0" w:line="264" w:lineRule="auto"/>
        <w:rPr>
          <w:sz w:val="20"/>
          <w:szCs w:val="20"/>
          <w:color w:val="auto"/>
        </w:rPr>
      </w:pPr>
      <w:r>
        <w:rPr>
          <w:rFonts w:ascii="Arial" w:cs="Arial" w:eastAsia="Arial" w:hAnsi="Arial"/>
          <w:sz w:val="18"/>
          <w:szCs w:val="18"/>
          <w:color w:val="auto"/>
        </w:rPr>
        <w:t>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execution of our business strategies, continued growth in our existing markets, expanding our portfolio of technologies and developing products for new opportunities, our intent to introduce integrated wireless LAN switching solutions, our plans to offer WLAN solutions for mobile devices and our plans to provide WLAN capability into mobile handsets, smartphones and entertainment devices.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29, 2005. We undertake no obligation to revise or update publicly any forward-looking statements.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86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540" w:type="dxa"/>
            <w:vAlign w:val="bottom"/>
          </w:tcPr>
          <w:p>
            <w:pPr>
              <w:spacing w:after="0"/>
              <w:rPr>
                <w:sz w:val="10"/>
                <w:szCs w:val="10"/>
                <w:color w:val="auto"/>
              </w:rPr>
            </w:pPr>
          </w:p>
        </w:tc>
        <w:tc>
          <w:tcPr>
            <w:tcW w:w="174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400" w:type="dxa"/>
            <w:vAlign w:val="bottom"/>
            <w:tcBorders>
              <w:top w:val="single" w:sz="8" w:color="auto"/>
            </w:tcBorders>
            <w:gridSpan w:val="2"/>
          </w:tcPr>
          <w:p>
            <w:pPr>
              <w:ind w:left="160"/>
              <w:spacing w:after="0" w:line="119" w:lineRule="exact"/>
              <w:rPr>
                <w:sz w:val="20"/>
                <w:szCs w:val="20"/>
                <w:color w:val="auto"/>
              </w:rPr>
            </w:pPr>
            <w:r>
              <w:rPr>
                <w:rFonts w:ascii="Arial" w:cs="Arial" w:eastAsia="Arial" w:hAnsi="Arial"/>
                <w:sz w:val="13"/>
                <w:szCs w:val="13"/>
                <w:b w:val="1"/>
                <w:bCs w:val="1"/>
                <w:color w:val="auto"/>
              </w:rPr>
              <w:t>April 30,</w:t>
            </w:r>
          </w:p>
        </w:tc>
        <w:tc>
          <w:tcPr>
            <w:tcW w:w="28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392"/>
              <w:spacing w:after="0" w:line="119" w:lineRule="exact"/>
              <w:rPr>
                <w:sz w:val="20"/>
                <w:szCs w:val="20"/>
                <w:color w:val="auto"/>
              </w:rPr>
            </w:pPr>
            <w:r>
              <w:rPr>
                <w:rFonts w:ascii="Arial" w:cs="Arial" w:eastAsia="Arial" w:hAnsi="Arial"/>
                <w:sz w:val="13"/>
                <w:szCs w:val="13"/>
                <w:b w:val="1"/>
                <w:bCs w:val="1"/>
                <w:color w:val="auto"/>
              </w:rPr>
              <w:t>May 1,</w:t>
            </w: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54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00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364,770</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269,577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Cost of goods sold</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175,244</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127,836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189,526</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141,741</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Operating expenses:</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71,898</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63,272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20,989</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18,701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6,738</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ind w:left="340"/>
              <w:spacing w:after="0"/>
              <w:rPr>
                <w:sz w:val="20"/>
                <w:szCs w:val="20"/>
                <w:color w:val="auto"/>
              </w:rPr>
            </w:pPr>
            <w:r>
              <w:rPr>
                <w:rFonts w:ascii="Arial" w:cs="Arial" w:eastAsia="Arial" w:hAnsi="Arial"/>
                <w:sz w:val="18"/>
                <w:szCs w:val="18"/>
                <w:color w:val="auto"/>
              </w:rPr>
              <w:t>Amortization of stock-based compensation</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871</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1,388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Amortization/write-off of acquired intangible assets and other</w:t>
            </w:r>
          </w:p>
        </w:tc>
        <w:tc>
          <w:tcPr>
            <w:tcW w:w="1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19,759</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33,258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tcBorders>
              <w:bottom w:val="single" w:sz="8" w:color="CCEEFF"/>
            </w:tcBorders>
          </w:tcPr>
          <w:p>
            <w:pPr>
              <w:ind w:left="700"/>
              <w:spacing w:after="0"/>
              <w:rPr>
                <w:sz w:val="20"/>
                <w:szCs w:val="20"/>
                <w:color w:val="auto"/>
              </w:rPr>
            </w:pPr>
            <w:r>
              <w:rPr>
                <w:rFonts w:ascii="Arial" w:cs="Arial" w:eastAsia="Arial" w:hAnsi="Arial"/>
                <w:sz w:val="18"/>
                <w:szCs w:val="18"/>
                <w:color w:val="auto"/>
              </w:rPr>
              <w:t>Total operating expenses</w:t>
            </w:r>
          </w:p>
        </w:tc>
        <w:tc>
          <w:tcPr>
            <w:tcW w:w="174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120,255</w:t>
            </w:r>
          </w:p>
        </w:tc>
        <w:tc>
          <w:tcPr>
            <w:tcW w:w="2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123,456</w:t>
            </w:r>
          </w:p>
        </w:tc>
        <w:tc>
          <w:tcPr>
            <w:tcW w:w="10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69,271</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18,285</w:t>
            </w: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3,612</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1,672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7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72,883</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19,957</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9,351</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5,460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5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174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14,497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54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00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0.23</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0.05</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tcBorders>
              <w:top w:val="single" w:sz="8" w:color="CCEEFF"/>
              <w:bottom w:val="single" w:sz="8" w:color="CCEEFF"/>
            </w:tcBorders>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1740" w:type="dxa"/>
            <w:vAlign w:val="bottom"/>
            <w:tcBorders>
              <w:top w:val="single" w:sz="8" w:color="CCEEFF"/>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jc w:val="right"/>
              <w:ind w:right="70"/>
              <w:spacing w:after="0" w:line="203" w:lineRule="exact"/>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280" w:type="dxa"/>
            <w:vAlign w:val="bottom"/>
            <w:tcBorders>
              <w:top w:val="single" w:sz="8" w:color="CCEEFF"/>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0.05</w:t>
            </w:r>
          </w:p>
        </w:tc>
        <w:tc>
          <w:tcPr>
            <w:tcW w:w="100" w:type="dxa"/>
            <w:vAlign w:val="bottom"/>
            <w:tcBorders>
              <w:top w:val="single" w:sz="8" w:color="CCEEFF"/>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54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1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278,793</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264,478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17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310,736</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293,174</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4"/>
        </w:trPr>
        <w:tc>
          <w:tcPr>
            <w:tcW w:w="20" w:type="dxa"/>
            <w:vAlign w:val="bottom"/>
          </w:tcPr>
          <w:p>
            <w:pPr>
              <w:spacing w:after="0"/>
              <w:rPr>
                <w:sz w:val="24"/>
                <w:szCs w:val="24"/>
                <w:color w:val="auto"/>
              </w:rPr>
            </w:pPr>
          </w:p>
        </w:tc>
        <w:tc>
          <w:tcPr>
            <w:tcW w:w="6540" w:type="dxa"/>
            <w:vAlign w:val="bottom"/>
            <w:tcBorders>
              <w:bottom w:val="single" w:sz="8" w:color="808080"/>
            </w:tcBorders>
          </w:tcPr>
          <w:p>
            <w:pPr>
              <w:spacing w:after="0"/>
              <w:rPr>
                <w:sz w:val="24"/>
                <w:szCs w:val="24"/>
                <w:color w:val="auto"/>
              </w:rPr>
            </w:pPr>
          </w:p>
        </w:tc>
        <w:tc>
          <w:tcPr>
            <w:tcW w:w="174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11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08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Pro Forma 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38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86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380" w:type="dxa"/>
            <w:vAlign w:val="bottom"/>
          </w:tcPr>
          <w:p>
            <w:pPr>
              <w:spacing w:after="0"/>
              <w:rPr>
                <w:sz w:val="10"/>
                <w:szCs w:val="10"/>
                <w:color w:val="auto"/>
              </w:rPr>
            </w:pPr>
          </w:p>
        </w:tc>
        <w:tc>
          <w:tcPr>
            <w:tcW w:w="290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400" w:type="dxa"/>
            <w:vAlign w:val="bottom"/>
            <w:tcBorders>
              <w:top w:val="single" w:sz="8" w:color="auto"/>
            </w:tcBorders>
            <w:gridSpan w:val="2"/>
          </w:tcPr>
          <w:p>
            <w:pPr>
              <w:ind w:left="160"/>
              <w:spacing w:after="0" w:line="119" w:lineRule="exact"/>
              <w:rPr>
                <w:sz w:val="20"/>
                <w:szCs w:val="20"/>
                <w:color w:val="auto"/>
              </w:rPr>
            </w:pPr>
            <w:r>
              <w:rPr>
                <w:rFonts w:ascii="Arial" w:cs="Arial" w:eastAsia="Arial" w:hAnsi="Arial"/>
                <w:sz w:val="13"/>
                <w:szCs w:val="13"/>
                <w:b w:val="1"/>
                <w:bCs w:val="1"/>
                <w:color w:val="auto"/>
              </w:rPr>
              <w:t>April 30,</w:t>
            </w:r>
          </w:p>
        </w:tc>
        <w:tc>
          <w:tcPr>
            <w:tcW w:w="28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394"/>
              <w:spacing w:after="0" w:line="119" w:lineRule="exact"/>
              <w:rPr>
                <w:sz w:val="20"/>
                <w:szCs w:val="20"/>
                <w:color w:val="auto"/>
              </w:rPr>
            </w:pPr>
            <w:r>
              <w:rPr>
                <w:rFonts w:ascii="Arial" w:cs="Arial" w:eastAsia="Arial" w:hAnsi="Arial"/>
                <w:sz w:val="13"/>
                <w:szCs w:val="13"/>
                <w:b w:val="1"/>
                <w:bCs w:val="1"/>
                <w:color w:val="auto"/>
              </w:rPr>
              <w:t>May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38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38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364,770</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269,577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Cost of goods sold</w:t>
            </w:r>
          </w:p>
        </w:tc>
        <w:tc>
          <w:tcPr>
            <w:tcW w:w="2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175,244</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127,836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9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189,526</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141,741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Operating expenses:</w:t>
            </w:r>
          </w:p>
        </w:tc>
        <w:tc>
          <w:tcPr>
            <w:tcW w:w="2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71,898</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63,272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2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20,989</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18,701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2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6,738</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6,837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80" w:type="dxa"/>
            <w:vAlign w:val="bottom"/>
            <w:tcBorders>
              <w:bottom w:val="single" w:sz="8" w:color="CCEEFF"/>
            </w:tcBorders>
          </w:tcPr>
          <w:p>
            <w:pPr>
              <w:ind w:left="700"/>
              <w:spacing w:after="0"/>
              <w:rPr>
                <w:sz w:val="20"/>
                <w:szCs w:val="20"/>
                <w:color w:val="auto"/>
              </w:rPr>
            </w:pPr>
            <w:r>
              <w:rPr>
                <w:rFonts w:ascii="Arial" w:cs="Arial" w:eastAsia="Arial" w:hAnsi="Arial"/>
                <w:sz w:val="18"/>
                <w:szCs w:val="18"/>
                <w:color w:val="auto"/>
              </w:rPr>
              <w:t>Total operating expenses</w:t>
            </w:r>
          </w:p>
        </w:tc>
        <w:tc>
          <w:tcPr>
            <w:tcW w:w="290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99,625</w:t>
            </w:r>
          </w:p>
        </w:tc>
        <w:tc>
          <w:tcPr>
            <w:tcW w:w="2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88,810</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89,901</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3,612</w:t>
            </w:r>
          </w:p>
        </w:tc>
        <w:tc>
          <w:tcPr>
            <w:tcW w:w="28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1,672</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5380" w:type="dxa"/>
            <w:vAlign w:val="bottom"/>
            <w:tcBorders>
              <w:top w:val="single" w:sz="8" w:color="CCEEFF"/>
            </w:tcBorders>
            <w:shd w:val="clear" w:color="auto" w:fill="CCEEFF"/>
          </w:tcPr>
          <w:p>
            <w:pPr>
              <w:spacing w:after="0"/>
              <w:rPr>
                <w:sz w:val="14"/>
                <w:szCs w:val="14"/>
                <w:color w:val="auto"/>
              </w:rPr>
            </w:pPr>
          </w:p>
        </w:tc>
        <w:tc>
          <w:tcPr>
            <w:tcW w:w="2900" w:type="dxa"/>
            <w:vAlign w:val="bottom"/>
            <w:tcBorders>
              <w:top w:val="single" w:sz="8" w:color="CCEEFF"/>
            </w:tcBorders>
            <w:shd w:val="clear" w:color="auto" w:fill="CCEEFF"/>
          </w:tcPr>
          <w:p>
            <w:pPr>
              <w:spacing w:after="0"/>
              <w:rPr>
                <w:sz w:val="14"/>
                <w:szCs w:val="14"/>
                <w:color w:val="auto"/>
              </w:rPr>
            </w:pPr>
          </w:p>
        </w:tc>
        <w:tc>
          <w:tcPr>
            <w:tcW w:w="260" w:type="dxa"/>
            <w:vAlign w:val="bottom"/>
            <w:tcBorders>
              <w:top w:val="single" w:sz="8" w:color="auto"/>
            </w:tcBorders>
            <w:shd w:val="clear" w:color="auto" w:fill="CCEEFF"/>
          </w:tcPr>
          <w:p>
            <w:pPr>
              <w:spacing w:after="0"/>
              <w:rPr>
                <w:sz w:val="14"/>
                <w:szCs w:val="14"/>
                <w:color w:val="auto"/>
              </w:rPr>
            </w:pPr>
          </w:p>
        </w:tc>
        <w:tc>
          <w:tcPr>
            <w:tcW w:w="1120" w:type="dxa"/>
            <w:vAlign w:val="bottom"/>
            <w:tcBorders>
              <w:top w:val="single" w:sz="8" w:color="auto"/>
            </w:tcBorders>
            <w:shd w:val="clear" w:color="auto" w:fill="CCEEFF"/>
          </w:tcPr>
          <w:p>
            <w:pPr>
              <w:spacing w:after="0"/>
              <w:rPr>
                <w:sz w:val="14"/>
                <w:szCs w:val="14"/>
                <w:color w:val="auto"/>
              </w:rPr>
            </w:pPr>
          </w:p>
        </w:tc>
        <w:tc>
          <w:tcPr>
            <w:tcW w:w="280" w:type="dxa"/>
            <w:vAlign w:val="bottom"/>
            <w:tcBorders>
              <w:top w:val="single" w:sz="8" w:color="CCEEFF"/>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spacing w:after="0"/>
              <w:rPr>
                <w:sz w:val="14"/>
                <w:szCs w:val="14"/>
                <w:color w:val="auto"/>
              </w:rPr>
            </w:pPr>
          </w:p>
        </w:tc>
        <w:tc>
          <w:tcPr>
            <w:tcW w:w="10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bl>
    <w:p>
      <w:pPr>
        <w:sectPr>
          <w:pgSz w:w="11900" w:h="16900" w:orient="portrait"/>
          <w:cols w:equalWidth="0" w:num="1">
            <w:col w:w="11440"/>
          </w:cols>
          <w:pgMar w:left="240" w:top="125" w:right="219" w:bottom="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8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93,513</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54,603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9,351</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5,460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4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Pro forma net income</w:t>
            </w:r>
          </w:p>
        </w:tc>
        <w:tc>
          <w:tcPr>
            <w:tcW w:w="180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84,162</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49,143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4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Basic pro forma net income per share</w:t>
            </w:r>
          </w:p>
        </w:tc>
        <w:tc>
          <w:tcPr>
            <w:tcW w:w="2240" w:type="dxa"/>
            <w:vAlign w:val="bottom"/>
            <w:gridSpan w:val="2"/>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0.30</w:t>
            </w: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480" w:type="dxa"/>
            <w:vAlign w:val="bottom"/>
            <w:tcBorders>
              <w:top w:val="single" w:sz="8" w:color="CCEEFF"/>
              <w:bottom w:val="single" w:sz="8" w:color="CCEEFF"/>
            </w:tcBorders>
          </w:tcPr>
          <w:p>
            <w:pPr>
              <w:spacing w:after="0" w:line="203" w:lineRule="exact"/>
              <w:rPr>
                <w:sz w:val="20"/>
                <w:szCs w:val="20"/>
                <w:color w:val="auto"/>
              </w:rPr>
            </w:pPr>
            <w:r>
              <w:rPr>
                <w:rFonts w:ascii="Arial" w:cs="Arial" w:eastAsia="Arial" w:hAnsi="Arial"/>
                <w:sz w:val="18"/>
                <w:szCs w:val="18"/>
                <w:color w:val="auto"/>
              </w:rPr>
              <w:t>Diluted pro forma net income per share</w:t>
            </w:r>
          </w:p>
        </w:tc>
        <w:tc>
          <w:tcPr>
            <w:tcW w:w="1800" w:type="dxa"/>
            <w:vAlign w:val="bottom"/>
            <w:tcBorders>
              <w:top w:val="single" w:sz="8" w:color="CCEEFF"/>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jc w:val="right"/>
              <w:ind w:right="250"/>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0.27</w:t>
            </w:r>
          </w:p>
        </w:tc>
        <w:tc>
          <w:tcPr>
            <w:tcW w:w="280" w:type="dxa"/>
            <w:vAlign w:val="bottom"/>
            <w:tcBorders>
              <w:top w:val="single" w:sz="8" w:color="CCEEFF"/>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jc w:val="right"/>
              <w:ind w:right="230"/>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0.17</w:t>
            </w:r>
          </w:p>
        </w:tc>
        <w:tc>
          <w:tcPr>
            <w:tcW w:w="100" w:type="dxa"/>
            <w:vAlign w:val="bottom"/>
            <w:tcBorders>
              <w:top w:val="single" w:sz="8" w:color="CCEEFF"/>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4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1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278,793</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264,478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180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310,736</w:t>
            </w:r>
          </w:p>
        </w:tc>
        <w:tc>
          <w:tcPr>
            <w:tcW w:w="2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293,174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4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Reconciliation of GAAP net income to pro forma net income:</w:t>
            </w:r>
          </w:p>
        </w:tc>
        <w:tc>
          <w:tcPr>
            <w:tcW w:w="18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GAAP net income</w:t>
            </w:r>
          </w:p>
        </w:tc>
        <w:tc>
          <w:tcPr>
            <w:tcW w:w="2240" w:type="dxa"/>
            <w:vAlign w:val="bottom"/>
            <w:gridSpan w:val="2"/>
          </w:tcPr>
          <w:p>
            <w:pPr>
              <w:jc w:val="right"/>
              <w:ind w:right="25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63,532</w:t>
            </w:r>
          </w:p>
        </w:tc>
        <w:tc>
          <w:tcPr>
            <w:tcW w:w="420" w:type="dxa"/>
            <w:vAlign w:val="bottom"/>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14,497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stock-based compensation</w:t>
            </w:r>
          </w:p>
        </w:tc>
        <w:tc>
          <w:tcPr>
            <w:tcW w:w="18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871</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Amortization/write-off of acquired intangible assets and other</w:t>
            </w:r>
          </w:p>
        </w:tc>
        <w:tc>
          <w:tcPr>
            <w:tcW w:w="1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19,759</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33,258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4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Pro forma net income</w:t>
            </w:r>
          </w:p>
        </w:tc>
        <w:tc>
          <w:tcPr>
            <w:tcW w:w="180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84,162</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49,143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60"/>
        <w:spacing w:after="0" w:line="257" w:lineRule="auto"/>
        <w:rPr>
          <w:sz w:val="20"/>
          <w:szCs w:val="20"/>
          <w:color w:val="auto"/>
        </w:rPr>
      </w:pPr>
      <w:r>
        <w:rPr>
          <w:rFonts w:ascii="Arial" w:cs="Arial" w:eastAsia="Arial" w:hAnsi="Arial"/>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and other write-off related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177800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4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April 30,</w:t>
            </w:r>
          </w:p>
        </w:tc>
        <w:tc>
          <w:tcPr>
            <w:tcW w:w="200" w:type="dxa"/>
            <w:vAlign w:val="bottom"/>
          </w:tcPr>
          <w:p>
            <w:pPr>
              <w:spacing w:after="0"/>
              <w:rPr>
                <w:sz w:val="14"/>
                <w:szCs w:val="14"/>
                <w:color w:val="auto"/>
              </w:rPr>
            </w:pPr>
          </w:p>
        </w:tc>
        <w:tc>
          <w:tcPr>
            <w:tcW w:w="126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January 29,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140" w:type="dxa"/>
            <w:vAlign w:val="bottom"/>
            <w:tcBorders>
              <w:bottom w:val="single" w:sz="8" w:color="CCEEFF"/>
            </w:tcBorders>
          </w:tcPr>
          <w:p>
            <w:pPr>
              <w:spacing w:after="0"/>
              <w:rPr>
                <w:sz w:val="14"/>
                <w:szCs w:val="14"/>
                <w:color w:val="auto"/>
              </w:rPr>
            </w:pPr>
          </w:p>
        </w:tc>
        <w:tc>
          <w:tcPr>
            <w:tcW w:w="214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1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Current assets: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240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726,771</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660,014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205,143</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200,954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Inventory, net</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113,225</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128,889</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64,499</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27,937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40" w:type="dxa"/>
            <w:vAlign w:val="bottom"/>
            <w:tcBorders>
              <w:top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2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1,109,638</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188,548</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161,770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Goodwill and acquired intangible assets</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1,540,877</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1,560,636</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53,679</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48,762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140" w:type="dxa"/>
            <w:vAlign w:val="bottom"/>
            <w:tcBorders>
              <w:top w:val="single" w:sz="8" w:color="CCEEFF"/>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Total assets</w:t>
            </w:r>
          </w:p>
        </w:tc>
        <w:tc>
          <w:tcPr>
            <w:tcW w:w="214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2,892,742</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14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Current liabilities: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240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122,300</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129,728</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52,508</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52,740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Income taxes payable</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2,418</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3,195</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18,513</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15,938</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Current portion of capital lease obligations</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16,309</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13,204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4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214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212,048</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214,805</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24,836</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11,590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74,635</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65,137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40" w:type="dxa"/>
            <w:vAlign w:val="bottom"/>
            <w:tcBorders>
              <w:top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Total liabilities</w:t>
            </w:r>
          </w:p>
        </w:tc>
        <w:tc>
          <w:tcPr>
            <w:tcW w:w="2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311,519</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14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80"/>
              <w:spacing w:after="0"/>
              <w:rPr>
                <w:sz w:val="20"/>
                <w:szCs w:val="20"/>
                <w:color w:val="auto"/>
              </w:rPr>
            </w:pPr>
            <w:r>
              <w:rPr>
                <w:rFonts w:ascii="Arial" w:cs="Arial" w:eastAsia="Arial" w:hAnsi="Arial"/>
                <w:sz w:val="18"/>
                <w:szCs w:val="18"/>
                <w:color w:val="auto"/>
              </w:rPr>
              <w:t>559</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555</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3,055,315</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3,035,200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Deferred stock-based compensation</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(2,528)</w:t>
            </w: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(3,400)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Accumulated other comprehensive loss</w:t>
            </w:r>
          </w:p>
        </w:tc>
        <w:tc>
          <w:tcPr>
            <w:tcW w:w="2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(2,537)</w:t>
            </w:r>
          </w:p>
        </w:tc>
        <w:tc>
          <w:tcPr>
            <w:tcW w:w="20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(1,807)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340"/>
              <w:spacing w:after="0"/>
              <w:rPr>
                <w:sz w:val="20"/>
                <w:szCs w:val="20"/>
                <w:color w:val="auto"/>
              </w:rPr>
            </w:pPr>
            <w:r>
              <w:rPr>
                <w:rFonts w:ascii="Arial" w:cs="Arial" w:eastAsia="Arial" w:hAnsi="Arial"/>
                <w:sz w:val="18"/>
                <w:szCs w:val="18"/>
                <w:color w:val="auto"/>
              </w:rPr>
              <w:t>Accumulated deficit</w:t>
            </w:r>
          </w:p>
        </w:tc>
        <w:tc>
          <w:tcPr>
            <w:tcW w:w="2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(469,586)</w:t>
            </w: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(533,118)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40" w:type="dxa"/>
            <w:vAlign w:val="bottom"/>
            <w:tcBorders>
              <w:top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Total shareholders’ equity</w:t>
            </w:r>
          </w:p>
        </w:tc>
        <w:tc>
          <w:tcPr>
            <w:tcW w:w="2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2,581,223</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140" w:type="dxa"/>
            <w:vAlign w:val="bottom"/>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2140" w:type="dxa"/>
            <w:vAlign w:val="bottom"/>
          </w:tcPr>
          <w:p>
            <w:pPr>
              <w:spacing w:after="0"/>
              <w:rPr>
                <w:sz w:val="18"/>
                <w:szCs w:val="18"/>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2,892,742</w:t>
            </w:r>
          </w:p>
        </w:tc>
        <w:tc>
          <w:tcPr>
            <w:tcW w:w="280" w:type="dxa"/>
            <w:vAlign w:val="bottom"/>
          </w:tcPr>
          <w:p>
            <w:pPr>
              <w:spacing w:after="0"/>
              <w:rPr>
                <w:sz w:val="18"/>
                <w:szCs w:val="18"/>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6140" w:type="dxa"/>
            <w:vAlign w:val="bottom"/>
            <w:tcBorders>
              <w:bottom w:val="single" w:sz="8" w:color="808080"/>
            </w:tcBorders>
          </w:tcPr>
          <w:p>
            <w:pPr>
              <w:spacing w:after="0"/>
              <w:rPr>
                <w:sz w:val="24"/>
                <w:szCs w:val="24"/>
                <w:color w:val="auto"/>
              </w:rPr>
            </w:pPr>
          </w:p>
        </w:tc>
        <w:tc>
          <w:tcPr>
            <w:tcW w:w="214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11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40"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2019-12-14T19:23:28Z</dcterms:created>
  <dcterms:modified xsi:type="dcterms:W3CDTF">2019-12-14T19:23:28Z</dcterms:modified>
</cp:coreProperties>
</file>