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20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August 10, 2005</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85" w:right="27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6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60"/>
          </w:cols>
          <w:pgMar w:left="240" w:top="585" w:right="279" w:bottom="0" w:gutter="0" w:footer="0" w:header="0"/>
          <w:type w:val="continuous"/>
        </w:sectPr>
      </w:pP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7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85"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34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450215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3.01.</w:t>
      </w:r>
      <w:r>
        <w:rPr>
          <w:sz w:val="20"/>
          <w:szCs w:val="20"/>
          <w:color w:val="auto"/>
        </w:rPr>
        <w:tab/>
      </w:r>
      <w:r>
        <w:rPr>
          <w:rFonts w:ascii="Arial" w:cs="Arial" w:eastAsia="Arial" w:hAnsi="Arial"/>
          <w:sz w:val="16"/>
          <w:szCs w:val="16"/>
          <w:b w:val="1"/>
          <w:bCs w:val="1"/>
          <w:color w:val="auto"/>
        </w:rPr>
        <w:t>Notice of Delisting or Failure to Satisfy a Continued Listing Rule or Standard; Transfer of Listing.</w:t>
      </w:r>
    </w:p>
    <w:p>
      <w:pPr>
        <w:spacing w:after="0" w:line="243" w:lineRule="exact"/>
        <w:rPr>
          <w:sz w:val="24"/>
          <w:szCs w:val="24"/>
          <w:color w:val="auto"/>
        </w:rPr>
      </w:pPr>
    </w:p>
    <w:p>
      <w:pPr>
        <w:ind w:right="100" w:firstLine="656"/>
        <w:spacing w:after="0" w:line="254" w:lineRule="auto"/>
        <w:tabs>
          <w:tab w:leader="none" w:pos="893" w:val="left"/>
        </w:tabs>
        <w:numPr>
          <w:ilvl w:val="0"/>
          <w:numId w:val="1"/>
        </w:numPr>
        <w:rPr>
          <w:rFonts w:ascii="Arial" w:cs="Arial" w:eastAsia="Arial" w:hAnsi="Arial"/>
          <w:sz w:val="18"/>
          <w:szCs w:val="18"/>
          <w:color w:val="auto"/>
        </w:rPr>
      </w:pPr>
      <w:r>
        <w:rPr>
          <w:rFonts w:ascii="Arial" w:cs="Arial" w:eastAsia="Arial" w:hAnsi="Arial"/>
          <w:sz w:val="18"/>
          <w:szCs w:val="18"/>
          <w:color w:val="auto"/>
        </w:rPr>
        <w:t>As previously reported by Marvell Technology Group Ltd. (“Marvell”) in its Form 8-K filed on June 10, 2005, Marvell notified the Nasdaq National Market (“Nasdaq”) on June 6, 2005 that as a result of a director’s retirement from the Board of Directors, Marvell would not be in compliance with Nasdaq Rule 4350(d)(2)(A), which requires that the Audit Committee for a company listed on the Nasdaq National Market have a minimum of three members. In accordance with Nasdaq Rule 4350(d)(4)(B), Marvell had been provided with a cure period until the earlier of Marvell’s next Annual General Meeting or June 10, 2006, whichever is earlier, in order to regain compliance with Nasdaq Rule 4350(d)(2)(A). Marvell announced on August 10, 2005 the appointment of a new director who will be a member of the Audit Committee of the Board of Directors and meets the independence requirements under the Nasdaq listing rules and has informed Nasdaq of same. This appointment satisfies Nasdaq Rule 4350(d)(2)(A) and Marvell therefore is now in compliance with Nasdaq Rule 4350(d)(2)(A).</w:t>
      </w:r>
    </w:p>
    <w:p>
      <w:pPr>
        <w:spacing w:after="0" w:line="188" w:lineRule="exact"/>
        <w:rPr>
          <w:sz w:val="24"/>
          <w:szCs w:val="24"/>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5.02.</w:t>
      </w:r>
      <w:r>
        <w:rPr>
          <w:sz w:val="20"/>
          <w:szCs w:val="20"/>
          <w:color w:val="auto"/>
        </w:rPr>
        <w:tab/>
      </w:r>
      <w:r>
        <w:rPr>
          <w:rFonts w:ascii="Arial" w:cs="Arial" w:eastAsia="Arial" w:hAnsi="Arial"/>
          <w:sz w:val="16"/>
          <w:szCs w:val="16"/>
          <w:b w:val="1"/>
          <w:bCs w:val="1"/>
          <w:color w:val="auto"/>
        </w:rPr>
        <w:t>Departure of Directors or Principal Officers; Election of Directors; Appointment of Principal Officers.</w:t>
      </w:r>
    </w:p>
    <w:p>
      <w:pPr>
        <w:spacing w:after="0" w:line="243" w:lineRule="exact"/>
        <w:rPr>
          <w:sz w:val="24"/>
          <w:szCs w:val="24"/>
          <w:color w:val="auto"/>
        </w:rPr>
      </w:pPr>
    </w:p>
    <w:p>
      <w:pPr>
        <w:ind w:right="360" w:firstLine="656"/>
        <w:spacing w:after="0" w:line="291" w:lineRule="auto"/>
        <w:tabs>
          <w:tab w:leader="none" w:pos="903" w:val="left"/>
        </w:tabs>
        <w:numPr>
          <w:ilvl w:val="0"/>
          <w:numId w:val="2"/>
        </w:numPr>
        <w:rPr>
          <w:rFonts w:ascii="Arial" w:cs="Arial" w:eastAsia="Arial" w:hAnsi="Arial"/>
          <w:sz w:val="16"/>
          <w:szCs w:val="16"/>
          <w:color w:val="auto"/>
        </w:rPr>
      </w:pPr>
      <w:r>
        <w:rPr>
          <w:rFonts w:ascii="Arial" w:cs="Arial" w:eastAsia="Arial" w:hAnsi="Arial"/>
          <w:sz w:val="16"/>
          <w:szCs w:val="16"/>
          <w:color w:val="auto"/>
        </w:rPr>
        <w:t>On August 9, 2005, Arturo Krueger was appointed to Marvell’s Board of Directors by the Board. Mr. Krueger will serve as Chairman of the Governance Committee and as a member of the Audit Committee of the Board of Directors. There are no arrangements or understandings between</w:t>
      </w:r>
    </w:p>
    <w:p>
      <w:pPr>
        <w:ind w:right="180"/>
        <w:spacing w:after="0" w:line="255" w:lineRule="auto"/>
        <w:rPr>
          <w:rFonts w:ascii="Arial" w:cs="Arial" w:eastAsia="Arial" w:hAnsi="Arial"/>
          <w:sz w:val="16"/>
          <w:szCs w:val="16"/>
          <w:color w:val="auto"/>
        </w:rPr>
      </w:pPr>
      <w:r>
        <w:rPr>
          <w:rFonts w:ascii="Arial" w:cs="Arial" w:eastAsia="Arial" w:hAnsi="Arial"/>
          <w:sz w:val="18"/>
          <w:szCs w:val="18"/>
          <w:color w:val="auto"/>
        </w:rPr>
        <w:t>Mr. Krueger and any other persons pursuant to which Mr. Krueger was selected as a director, and there are no related party transactions between Marvell or any of its subsidiaries and Mr. Krueger that are reportable under Item 404(a) of Regulation S-K. Marvell issued a press release on August 10, 2005 announcing the appointment. The full text of Marvell’s press release is furnished herewith as Exhibit 99.1.</w:t>
      </w:r>
    </w:p>
    <w:p>
      <w:pPr>
        <w:spacing w:after="0" w:line="186" w:lineRule="exact"/>
        <w:rPr>
          <w:sz w:val="24"/>
          <w:szCs w:val="24"/>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ectPr>
          <w:pgSz w:w="11900" w:h="16838" w:orient="portrait"/>
          <w:cols w:equalWidth="0" w:num="1">
            <w:col w:w="11380"/>
          </w:cols>
          <w:pgMar w:left="240" w:top="585" w:right="279" w:bottom="0" w:gutter="0" w:footer="0" w:header="0"/>
          <w:type w:val="continuous"/>
        </w:sectPr>
      </w:pPr>
    </w:p>
    <w:bookmarkStart w:id="1" w:name="page2"/>
    <w:bookmarkEnd w:id="1"/>
    <w:p>
      <w:pPr>
        <w:ind w:left="660"/>
        <w:spacing w:after="0"/>
        <w:rPr>
          <w:sz w:val="20"/>
          <w:szCs w:val="20"/>
          <w:color w:val="auto"/>
        </w:rPr>
      </w:pPr>
      <w:r>
        <w:rPr>
          <w:rFonts w:ascii="Arial" w:cs="Arial" w:eastAsia="Arial" w:hAnsi="Arial"/>
          <w:sz w:val="18"/>
          <w:szCs w:val="18"/>
          <w:color w:val="auto"/>
        </w:rPr>
        <w:t>(c) Exhibits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20" w:type="dxa"/>
            <w:vAlign w:val="bottom"/>
          </w:tcPr>
          <w:p>
            <w:pPr>
              <w:spacing w:after="0"/>
              <w:rPr>
                <w:sz w:val="14"/>
                <w:szCs w:val="14"/>
                <w:color w:val="auto"/>
              </w:rPr>
            </w:pPr>
          </w:p>
        </w:tc>
        <w:tc>
          <w:tcPr>
            <w:tcW w:w="132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8820" w:type="dxa"/>
            <w:vAlign w:val="bottom"/>
          </w:tcPr>
          <w:p>
            <w:pPr>
              <w:jc w:val="right"/>
              <w:ind w:right="3956"/>
              <w:spacing w:after="0"/>
              <w:rPr>
                <w:sz w:val="20"/>
                <w:szCs w:val="20"/>
                <w:color w:val="auto"/>
              </w:rPr>
            </w:pPr>
            <w:r>
              <w:rPr>
                <w:rFonts w:ascii="Arial" w:cs="Arial" w:eastAsia="Arial" w:hAnsi="Arial"/>
                <w:sz w:val="14"/>
                <w:szCs w:val="14"/>
                <w:b w:val="1"/>
                <w:bCs w:val="1"/>
                <w:color w:val="auto"/>
              </w:rPr>
              <w:t>Description</w:t>
            </w:r>
          </w:p>
        </w:tc>
        <w:tc>
          <w:tcPr>
            <w:tcW w:w="580" w:type="dxa"/>
            <w:vAlign w:val="bottom"/>
          </w:tcPr>
          <w:p>
            <w:pPr>
              <w:spacing w:after="0"/>
              <w:rPr>
                <w:sz w:val="14"/>
                <w:szCs w:val="14"/>
                <w:color w:val="auto"/>
              </w:rPr>
            </w:pPr>
          </w:p>
        </w:tc>
      </w:tr>
      <w:tr>
        <w:trPr>
          <w:trHeight w:val="426"/>
        </w:trPr>
        <w:tc>
          <w:tcPr>
            <w:tcW w:w="720" w:type="dxa"/>
            <w:vAlign w:val="bottom"/>
          </w:tcPr>
          <w:p>
            <w:pPr>
              <w:spacing w:after="0"/>
              <w:rPr>
                <w:sz w:val="24"/>
                <w:szCs w:val="24"/>
                <w:color w:val="auto"/>
              </w:rPr>
            </w:pPr>
          </w:p>
        </w:tc>
        <w:tc>
          <w:tcPr>
            <w:tcW w:w="1080" w:type="dxa"/>
            <w:vAlign w:val="bottom"/>
            <w:tcBorders>
              <w:top w:val="single" w:sz="8" w:color="auto"/>
            </w:tcBorders>
          </w:tcPr>
          <w:p>
            <w:pPr>
              <w:jc w:val="right"/>
              <w:ind w:right="419"/>
              <w:spacing w:after="0"/>
              <w:rPr>
                <w:sz w:val="20"/>
                <w:szCs w:val="20"/>
                <w:color w:val="auto"/>
              </w:rPr>
            </w:pPr>
            <w:r>
              <w:rPr>
                <w:rFonts w:ascii="Arial" w:cs="Arial" w:eastAsia="Arial" w:hAnsi="Arial"/>
                <w:sz w:val="18"/>
                <w:szCs w:val="18"/>
                <w:color w:val="auto"/>
              </w:rPr>
              <w:t>99.1</w:t>
            </w:r>
          </w:p>
        </w:tc>
        <w:tc>
          <w:tcPr>
            <w:tcW w:w="240" w:type="dxa"/>
            <w:vAlign w:val="bottom"/>
          </w:tcPr>
          <w:p>
            <w:pPr>
              <w:spacing w:after="0"/>
              <w:rPr>
                <w:sz w:val="24"/>
                <w:szCs w:val="24"/>
                <w:color w:val="auto"/>
              </w:rPr>
            </w:pPr>
          </w:p>
        </w:tc>
        <w:tc>
          <w:tcPr>
            <w:tcW w:w="8820" w:type="dxa"/>
            <w:vAlign w:val="bottom"/>
            <w:tcBorders>
              <w:top w:val="single" w:sz="8" w:color="auto"/>
            </w:tcBorders>
          </w:tcPr>
          <w:p>
            <w:pPr>
              <w:jc w:val="right"/>
              <w:ind w:right="6036"/>
              <w:spacing w:after="0"/>
              <w:rPr>
                <w:sz w:val="20"/>
                <w:szCs w:val="20"/>
                <w:color w:val="auto"/>
              </w:rPr>
            </w:pPr>
            <w:r>
              <w:rPr>
                <w:rFonts w:ascii="Arial" w:cs="Arial" w:eastAsia="Arial" w:hAnsi="Arial"/>
                <w:sz w:val="18"/>
                <w:szCs w:val="18"/>
                <w:color w:val="auto"/>
                <w:w w:val="86"/>
              </w:rPr>
              <w:t>Press Release dated August 10, 2005.</w:t>
            </w:r>
          </w:p>
        </w:tc>
        <w:tc>
          <w:tcPr>
            <w:tcW w:w="580" w:type="dxa"/>
            <w:vAlign w:val="bottom"/>
          </w:tcPr>
          <w:p>
            <w:pPr>
              <w:spacing w:after="0"/>
              <w:rPr>
                <w:sz w:val="24"/>
                <w:szCs w:val="24"/>
                <w:color w:val="auto"/>
              </w:rPr>
            </w:pPr>
          </w:p>
        </w:tc>
      </w:tr>
      <w:tr>
        <w:trPr>
          <w:trHeight w:val="432"/>
        </w:trPr>
        <w:tc>
          <w:tcPr>
            <w:tcW w:w="7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820" w:type="dxa"/>
            <w:vAlign w:val="bottom"/>
          </w:tcPr>
          <w:p>
            <w:pPr>
              <w:jc w:val="right"/>
              <w:ind w:right="5016"/>
              <w:spacing w:after="0"/>
              <w:rPr>
                <w:sz w:val="20"/>
                <w:szCs w:val="20"/>
                <w:color w:val="auto"/>
              </w:rPr>
            </w:pPr>
            <w:r>
              <w:rPr>
                <w:rFonts w:ascii="Arial" w:cs="Arial" w:eastAsia="Arial" w:hAnsi="Arial"/>
                <w:sz w:val="18"/>
                <w:szCs w:val="18"/>
                <w:color w:val="auto"/>
              </w:rPr>
              <w:t>2</w:t>
            </w:r>
          </w:p>
        </w:tc>
        <w:tc>
          <w:tcPr>
            <w:tcW w:w="580" w:type="dxa"/>
            <w:vAlign w:val="bottom"/>
          </w:tcPr>
          <w:p>
            <w:pPr>
              <w:spacing w:after="0"/>
              <w:rPr>
                <w:sz w:val="24"/>
                <w:szCs w:val="24"/>
                <w:color w:val="auto"/>
              </w:rPr>
            </w:pPr>
          </w:p>
        </w:tc>
      </w:tr>
      <w:tr>
        <w:trPr>
          <w:trHeight w:val="105"/>
        </w:trPr>
        <w:tc>
          <w:tcPr>
            <w:tcW w:w="7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820" w:type="dxa"/>
            <w:vAlign w:val="bottom"/>
            <w:tcBorders>
              <w:bottom w:val="single" w:sz="8" w:color="808080"/>
            </w:tcBorders>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29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50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August 10, 2005</w:t>
      </w:r>
    </w:p>
    <w:p>
      <w:pPr>
        <w:spacing w:after="0" w:line="225"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5720"/>
        <w:spacing w:after="0"/>
        <w:tabs>
          <w:tab w:leader="none" w:pos="6240" w:val="left"/>
        </w:tabs>
        <w:rPr>
          <w:sz w:val="20"/>
          <w:szCs w:val="20"/>
          <w:color w:val="auto"/>
        </w:rPr>
      </w:pPr>
      <w:r>
        <w:rPr>
          <w:rFonts w:ascii="Arial" w:cs="Arial" w:eastAsia="Arial" w:hAnsi="Arial"/>
          <w:sz w:val="18"/>
          <w:szCs w:val="18"/>
          <w:color w:val="auto"/>
        </w:rPr>
        <w:t>By:</w:t>
        <w:tab/>
        <w:t>/s/ George A. Hervey</w:t>
      </w:r>
    </w:p>
    <w:p>
      <w:pPr>
        <w:spacing w:after="0" w:line="23" w:lineRule="exact"/>
        <w:rPr>
          <w:sz w:val="20"/>
          <w:szCs w:val="20"/>
          <w:color w:val="auto"/>
        </w:rPr>
      </w:pPr>
    </w:p>
    <w:p>
      <w:pPr>
        <w:ind w:left="728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3915410</wp:posOffset>
            </wp:positionH>
            <wp:positionV relativeFrom="paragraph">
              <wp:posOffset>-130810</wp:posOffset>
            </wp:positionV>
            <wp:extent cx="33362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3336290" cy="8890"/>
                    </a:xfrm>
                    <a:prstGeom prst="rect">
                      <a:avLst/>
                    </a:prstGeom>
                    <a:noFill/>
                  </pic:spPr>
                </pic:pic>
              </a:graphicData>
            </a:graphic>
          </wp:anchor>
        </w:drawing>
      </w:r>
    </w:p>
    <w:p>
      <w:pPr>
        <w:spacing w:after="0" w:line="3" w:lineRule="exact"/>
        <w:rPr>
          <w:sz w:val="20"/>
          <w:szCs w:val="20"/>
          <w:color w:val="auto"/>
        </w:rPr>
      </w:pPr>
    </w:p>
    <w:p>
      <w:pPr>
        <w:jc w:val="center"/>
        <w:ind w:left="448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jc w:val="center"/>
        <w:ind w:left="4480"/>
        <w:spacing w:after="0"/>
        <w:rPr>
          <w:sz w:val="20"/>
          <w:szCs w:val="20"/>
          <w:color w:val="auto"/>
        </w:rPr>
      </w:pPr>
      <w:r>
        <w:rPr>
          <w:rFonts w:ascii="Arial" w:cs="Arial" w:eastAsia="Arial" w:hAnsi="Arial"/>
          <w:sz w:val="18"/>
          <w:szCs w:val="18"/>
          <w:color w:val="auto"/>
        </w:rPr>
        <w:t>Chief Financial Officer</w:t>
      </w:r>
    </w:p>
    <w:p>
      <w:pPr>
        <w:spacing w:after="0" w:line="211"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0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100" w:type="dxa"/>
            <w:vAlign w:val="bottom"/>
          </w:tcPr>
          <w:p>
            <w:pPr>
              <w:jc w:val="center"/>
              <w:ind w:right="1219"/>
              <w:spacing w:after="0"/>
              <w:rPr>
                <w:sz w:val="20"/>
                <w:szCs w:val="20"/>
                <w:color w:val="auto"/>
              </w:rPr>
            </w:pPr>
            <w:r>
              <w:rPr>
                <w:rFonts w:ascii="Arial" w:cs="Arial" w:eastAsia="Arial" w:hAnsi="Arial"/>
                <w:sz w:val="18"/>
                <w:szCs w:val="18"/>
                <w:b w:val="1"/>
                <w:bCs w:val="1"/>
                <w:color w:val="auto"/>
              </w:rPr>
              <w:t>EXHIBIT INDEX</w:t>
            </w:r>
          </w:p>
        </w:tc>
        <w:tc>
          <w:tcPr>
            <w:tcW w:w="20" w:type="dxa"/>
            <w:vAlign w:val="bottom"/>
          </w:tcPr>
          <w:p>
            <w:pPr>
              <w:spacing w:after="0"/>
              <w:rPr>
                <w:sz w:val="20"/>
                <w:szCs w:val="20"/>
                <w:color w:val="auto"/>
              </w:rPr>
            </w:pPr>
          </w:p>
        </w:tc>
      </w:tr>
      <w:tr>
        <w:trPr>
          <w:trHeight w:val="365"/>
        </w:trPr>
        <w:tc>
          <w:tcPr>
            <w:tcW w:w="1040" w:type="dxa"/>
            <w:vAlign w:val="bottom"/>
            <w:tcBorders>
              <w:bottom w:val="single" w:sz="8" w:color="auto"/>
            </w:tcBorders>
          </w:tcPr>
          <w:p>
            <w:pPr>
              <w:jc w:val="center"/>
              <w:ind w:right="239"/>
              <w:spacing w:after="0"/>
              <w:rPr>
                <w:sz w:val="20"/>
                <w:szCs w:val="20"/>
                <w:color w:val="auto"/>
              </w:rPr>
            </w:pPr>
            <w:r>
              <w:rPr>
                <w:rFonts w:ascii="Arial" w:cs="Arial" w:eastAsia="Arial" w:hAnsi="Arial"/>
                <w:sz w:val="14"/>
                <w:szCs w:val="14"/>
                <w:b w:val="1"/>
                <w:bCs w:val="1"/>
                <w:color w:val="auto"/>
                <w:w w:val="98"/>
              </w:rPr>
              <w:t>Exhibit No.</w:t>
            </w:r>
          </w:p>
        </w:tc>
        <w:tc>
          <w:tcPr>
            <w:tcW w:w="280" w:type="dxa"/>
            <w:vAlign w:val="bottom"/>
          </w:tcPr>
          <w:p>
            <w:pPr>
              <w:spacing w:after="0"/>
              <w:rPr>
                <w:sz w:val="24"/>
                <w:szCs w:val="24"/>
                <w:color w:val="auto"/>
              </w:rPr>
            </w:pPr>
          </w:p>
        </w:tc>
        <w:tc>
          <w:tcPr>
            <w:tcW w:w="10100" w:type="dxa"/>
            <w:vAlign w:val="bottom"/>
            <w:tcBorders>
              <w:bottom w:val="single" w:sz="8" w:color="auto"/>
            </w:tcBorders>
          </w:tcPr>
          <w:p>
            <w:pPr>
              <w:ind w:left="4700"/>
              <w:spacing w:after="0"/>
              <w:rPr>
                <w:sz w:val="20"/>
                <w:szCs w:val="20"/>
                <w:color w:val="auto"/>
              </w:rPr>
            </w:pPr>
            <w:r>
              <w:rPr>
                <w:rFonts w:ascii="Arial" w:cs="Arial" w:eastAsia="Arial" w:hAnsi="Arial"/>
                <w:sz w:val="14"/>
                <w:szCs w:val="14"/>
                <w:b w:val="1"/>
                <w:bCs w:val="1"/>
                <w:color w:val="auto"/>
              </w:rPr>
              <w:t>Description</w:t>
            </w:r>
          </w:p>
        </w:tc>
        <w:tc>
          <w:tcPr>
            <w:tcW w:w="20" w:type="dxa"/>
            <w:vAlign w:val="bottom"/>
          </w:tcPr>
          <w:p>
            <w:pPr>
              <w:spacing w:after="0"/>
              <w:rPr>
                <w:sz w:val="24"/>
                <w:szCs w:val="24"/>
                <w:color w:val="auto"/>
              </w:rPr>
            </w:pPr>
          </w:p>
        </w:tc>
      </w:tr>
      <w:tr>
        <w:trPr>
          <w:trHeight w:val="426"/>
        </w:trPr>
        <w:tc>
          <w:tcPr>
            <w:tcW w:w="1040" w:type="dxa"/>
            <w:vAlign w:val="bottom"/>
          </w:tcPr>
          <w:p>
            <w:pPr>
              <w:jc w:val="right"/>
              <w:ind w:right="459"/>
              <w:spacing w:after="0"/>
              <w:rPr>
                <w:sz w:val="20"/>
                <w:szCs w:val="20"/>
                <w:color w:val="auto"/>
              </w:rPr>
            </w:pPr>
            <w:r>
              <w:rPr>
                <w:rFonts w:ascii="Arial" w:cs="Arial" w:eastAsia="Arial" w:hAnsi="Arial"/>
                <w:sz w:val="18"/>
                <w:szCs w:val="18"/>
                <w:color w:val="auto"/>
              </w:rPr>
              <w:t>99.1</w:t>
            </w:r>
          </w:p>
        </w:tc>
        <w:tc>
          <w:tcPr>
            <w:tcW w:w="10380" w:type="dxa"/>
            <w:vAlign w:val="bottom"/>
            <w:gridSpan w:val="2"/>
          </w:tcPr>
          <w:p>
            <w:pPr>
              <w:ind w:left="280"/>
              <w:spacing w:after="0"/>
              <w:rPr>
                <w:sz w:val="20"/>
                <w:szCs w:val="20"/>
                <w:color w:val="auto"/>
              </w:rPr>
            </w:pPr>
            <w:r>
              <w:rPr>
                <w:rFonts w:ascii="Arial" w:cs="Arial" w:eastAsia="Arial" w:hAnsi="Arial"/>
                <w:sz w:val="18"/>
                <w:szCs w:val="18"/>
                <w:color w:val="auto"/>
              </w:rPr>
              <w:t>Press Release dated August 10, 2005.</w:t>
            </w:r>
          </w:p>
        </w:tc>
        <w:tc>
          <w:tcPr>
            <w:tcW w:w="20" w:type="dxa"/>
            <w:vAlign w:val="bottom"/>
          </w:tcPr>
          <w:p>
            <w:pPr>
              <w:spacing w:after="0"/>
              <w:rPr>
                <w:sz w:val="24"/>
                <w:szCs w:val="24"/>
                <w:color w:val="auto"/>
              </w:rPr>
            </w:pPr>
          </w:p>
        </w:tc>
      </w:tr>
      <w:tr>
        <w:trPr>
          <w:trHeight w:val="432"/>
        </w:trPr>
        <w:tc>
          <w:tcPr>
            <w:tcW w:w="1040" w:type="dxa"/>
            <w:vAlign w:val="bottom"/>
          </w:tcPr>
          <w:p>
            <w:pPr>
              <w:spacing w:after="0"/>
              <w:rPr>
                <w:sz w:val="24"/>
                <w:szCs w:val="24"/>
                <w:color w:val="auto"/>
              </w:rPr>
            </w:pPr>
          </w:p>
        </w:tc>
        <w:tc>
          <w:tcPr>
            <w:tcW w:w="10380" w:type="dxa"/>
            <w:vAlign w:val="bottom"/>
            <w:gridSpan w:val="2"/>
          </w:tcPr>
          <w:p>
            <w:pPr>
              <w:jc w:val="right"/>
              <w:ind w:right="5579"/>
              <w:spacing w:after="0"/>
              <w:rPr>
                <w:sz w:val="20"/>
                <w:szCs w:val="20"/>
                <w:color w:val="auto"/>
              </w:rPr>
            </w:pPr>
            <w:r>
              <w:rPr>
                <w:rFonts w:ascii="Arial" w:cs="Arial" w:eastAsia="Arial" w:hAnsi="Arial"/>
                <w:sz w:val="18"/>
                <w:szCs w:val="18"/>
                <w:color w:val="auto"/>
              </w:rPr>
              <w:t>4</w:t>
            </w:r>
          </w:p>
        </w:tc>
        <w:tc>
          <w:tcPr>
            <w:tcW w:w="20" w:type="dxa"/>
            <w:vAlign w:val="bottom"/>
          </w:tcPr>
          <w:p>
            <w:pPr>
              <w:spacing w:after="0"/>
              <w:rPr>
                <w:sz w:val="24"/>
                <w:szCs w:val="24"/>
                <w:color w:val="auto"/>
              </w:rPr>
            </w:pPr>
          </w:p>
        </w:tc>
      </w:tr>
      <w:tr>
        <w:trPr>
          <w:trHeight w:val="91"/>
        </w:trPr>
        <w:tc>
          <w:tcPr>
            <w:tcW w:w="1040" w:type="dxa"/>
            <w:vAlign w:val="bottom"/>
            <w:tcBorders>
              <w:bottom w:val="single" w:sz="8" w:color="808080"/>
            </w:tcBorders>
          </w:tcPr>
          <w:p>
            <w:pPr>
              <w:spacing w:after="0"/>
              <w:rPr>
                <w:sz w:val="7"/>
                <w:szCs w:val="7"/>
                <w:color w:val="auto"/>
              </w:rPr>
            </w:pPr>
          </w:p>
        </w:tc>
        <w:tc>
          <w:tcPr>
            <w:tcW w:w="280" w:type="dxa"/>
            <w:vAlign w:val="bottom"/>
            <w:tcBorders>
              <w:bottom w:val="single" w:sz="8" w:color="808080"/>
            </w:tcBorders>
          </w:tcPr>
          <w:p>
            <w:pPr>
              <w:spacing w:after="0"/>
              <w:rPr>
                <w:sz w:val="7"/>
                <w:szCs w:val="7"/>
                <w:color w:val="auto"/>
              </w:rPr>
            </w:pPr>
          </w:p>
        </w:tc>
        <w:tc>
          <w:tcPr>
            <w:tcW w:w="1010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125" w:right="21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3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w:t>
      </w:r>
      <w:r>
        <w:rPr>
          <w:rFonts w:ascii="Arial" w:cs="Arial" w:eastAsia="Arial" w:hAnsi="Arial"/>
          <w:sz w:val="30"/>
          <w:szCs w:val="30"/>
          <w:color w:val="auto"/>
          <w:vertAlign w:val="superscript"/>
        </w:rPr>
        <w:t>®</w:t>
      </w:r>
      <w:r>
        <w:rPr>
          <w:rFonts w:ascii="Arial" w:cs="Arial" w:eastAsia="Arial" w:hAnsi="Arial"/>
          <w:sz w:val="18"/>
          <w:szCs w:val="18"/>
          <w:b w:val="1"/>
          <w:bCs w:val="1"/>
          <w:color w:val="auto"/>
        </w:rPr>
        <w:t xml:space="preserve"> ANNOUNCES APPOINTMENT OF ARTURO KRUEGER TO BOARD OF DIRECTORS</w:t>
      </w:r>
    </w:p>
    <w:p>
      <w:pPr>
        <w:spacing w:after="0" w:line="128" w:lineRule="exact"/>
        <w:rPr>
          <w:sz w:val="20"/>
          <w:szCs w:val="20"/>
          <w:color w:val="auto"/>
        </w:rPr>
      </w:pPr>
    </w:p>
    <w:p>
      <w:pPr>
        <w:ind w:right="460"/>
        <w:spacing w:after="0"/>
        <w:rPr>
          <w:sz w:val="20"/>
          <w:szCs w:val="20"/>
          <w:color w:val="auto"/>
        </w:rPr>
      </w:pPr>
      <w:r>
        <w:rPr>
          <w:rFonts w:ascii="Arial" w:cs="Arial" w:eastAsia="Arial" w:hAnsi="Arial"/>
          <w:sz w:val="16"/>
          <w:szCs w:val="16"/>
          <w:color w:val="auto"/>
        </w:rPr>
        <w:t>SUNNYVALE, CALIFORNIA, (August 10, 2005) — Marvell</w:t>
      </w:r>
      <w:r>
        <w:rPr>
          <w:rFonts w:ascii="Arial" w:cs="Arial" w:eastAsia="Arial" w:hAnsi="Arial"/>
          <w:sz w:val="26"/>
          <w:szCs w:val="26"/>
          <w:color w:val="auto"/>
          <w:vertAlign w:val="superscript"/>
        </w:rPr>
        <w:t>®</w:t>
      </w:r>
      <w:r>
        <w:rPr>
          <w:rFonts w:ascii="Arial" w:cs="Arial" w:eastAsia="Arial" w:hAnsi="Arial"/>
          <w:sz w:val="16"/>
          <w:szCs w:val="16"/>
          <w:color w:val="auto"/>
        </w:rPr>
        <w:t xml:space="preserve"> Technology Group Ltd. (NASDAQ: MRVL), the leader in development of storage, communications, and consumer silicon solutions, annou nced today that Arturo Krueger has joined Marvell’s Board of Directors, effective immediately.</w:t>
      </w:r>
    </w:p>
    <w:p>
      <w:pPr>
        <w:spacing w:after="0" w:line="202" w:lineRule="exact"/>
        <w:rPr>
          <w:sz w:val="20"/>
          <w:szCs w:val="20"/>
          <w:color w:val="auto"/>
        </w:rPr>
      </w:pPr>
    </w:p>
    <w:p>
      <w:pPr>
        <w:ind w:right="140"/>
        <w:spacing w:after="0" w:line="293" w:lineRule="auto"/>
        <w:rPr>
          <w:sz w:val="20"/>
          <w:szCs w:val="20"/>
          <w:color w:val="auto"/>
        </w:rPr>
      </w:pPr>
      <w:r>
        <w:rPr>
          <w:rFonts w:ascii="Arial" w:cs="Arial" w:eastAsia="Arial" w:hAnsi="Arial"/>
          <w:sz w:val="16"/>
          <w:szCs w:val="16"/>
          <w:color w:val="auto"/>
        </w:rPr>
        <w:t>Mr. Krueger has more than 40 years of experience in semiconductor business management, including past service as corporate officer for a major, multi-national semiconductor company and current service as a director of the board of QuickLogic Corporation. Since February 2001, Mr. Krueger has been a consultant to OEM automobile manufacturers and to semiconductor companies that serve global automotive and telecom markets. Mr. Krueger’s semiconductor management experience includes serving as corporate Vice President and General Manager of Motorola’s Semiconductor Products Sector for Europe, Middle East and Africa (EMEA) from January 1998 until Feb ruary 2001. Mr. Krueger holds a Masters of Science degree in Electrical Engineering from the Institute of Technology in Switzerland, and he has studied Advanced Computer Science at the University of Minnesota.</w:t>
      </w:r>
    </w:p>
    <w:p>
      <w:pPr>
        <w:spacing w:after="0" w:line="165"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“We are very excited to have Arturo join our Board,” stated Dr. Sehat Sutardja, Marvell’s Chairman, President and CEO. “With the decades of experience in the semiconductor industry that Arturo has, he is an extremely important addition to our team. Arturo possesses highly relevant industry knowledge, and we expect that his appointment will benefit our shareholders greatly. In addition, Arturo will be an invaluable addition to our Governance Committee in his capacity as Chairman, and also to our Audit Committee in his capaci ty as its third outside director.”</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About Marvell</w:t>
      </w:r>
    </w:p>
    <w:p>
      <w:pPr>
        <w:spacing w:after="0" w:line="225"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Marvell is the leader in development of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Sunnyvale, Calif., and designs, develops and markets products on behalf of MIL and MAPL. MSI may be contacted at (408) 222-2500 or at www.marvell.com.</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color w:val="auto"/>
        </w:rPr>
        <w:t>SAFE HARBOR STATEMENT UNDER THE PRIVATE SECURITIES LITIGATION REFORM ACT OF 1995:</w:t>
      </w:r>
    </w:p>
    <w:p>
      <w:pPr>
        <w:spacing w:after="0" w:line="23" w:lineRule="exact"/>
        <w:rPr>
          <w:sz w:val="20"/>
          <w:szCs w:val="20"/>
          <w:color w:val="auto"/>
        </w:rPr>
      </w:pPr>
    </w:p>
    <w:p>
      <w:pPr>
        <w:ind w:right="140"/>
        <w:spacing w:after="0" w:line="252" w:lineRule="auto"/>
        <w:rPr>
          <w:sz w:val="20"/>
          <w:szCs w:val="20"/>
          <w:color w:val="auto"/>
        </w:rPr>
      </w:pPr>
      <w:r>
        <w:rPr>
          <w:rFonts w:ascii="Arial" w:cs="Arial" w:eastAsia="Arial" w:hAnsi="Arial"/>
          <w:sz w:val="18"/>
          <w:szCs w:val="18"/>
          <w:color w:val="auto"/>
        </w:rPr>
        <w:t>This release contains forward-looking statements, including statements regarding the anticipated value of the addition to our Board of Directors. Words such as “anticipates,” “expects,” “intends,” “plans,” “believes,” “seeks,” “estimates,” “may,” “will,” “should,” and their variations identify forward-looking statements. Statements that refer to, or are based on projections, uncertain events or assumptions also identify forward-looking statements. All such statements are not guarantees of results and are subject to risks and uncertainties. For a discussion of the factors that could cause Marvell’s results to vary fr om expectations, please see the sections titled “Additional Factors That May Affect Future Results” in Marvell’s annual report on Form 10-K for the year ended January 29, 2005 and Marvell’s subsequent reports on Form 10-Q. We undertake no obligation to revise or update publicly any forward-looking statements.</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color w:val="auto"/>
        </w:rPr>
        <w:t>MARVELL</w:t>
      </w:r>
      <w:r>
        <w:rPr>
          <w:rFonts w:ascii="Arial" w:cs="Arial" w:eastAsia="Arial" w:hAnsi="Arial"/>
          <w:sz w:val="30"/>
          <w:szCs w:val="30"/>
          <w:color w:val="auto"/>
          <w:vertAlign w:val="superscript"/>
        </w:rPr>
        <w:t>®</w:t>
      </w:r>
      <w:r>
        <w:rPr>
          <w:rFonts w:ascii="Arial" w:cs="Arial" w:eastAsia="Arial" w:hAnsi="Arial"/>
          <w:sz w:val="18"/>
          <w:szCs w:val="18"/>
          <w:color w:val="auto"/>
        </w:rPr>
        <w:t xml:space="preserve"> AND THE MARVELL LOGO ARE TRADEMARKS OF MARVELL.</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color w:val="auto"/>
        </w:rPr>
        <w:t>MEDIA CONTACT</w:t>
      </w:r>
    </w:p>
    <w:p>
      <w:pPr>
        <w:spacing w:after="0" w:line="15" w:lineRule="exact"/>
        <w:rPr>
          <w:sz w:val="20"/>
          <w:szCs w:val="20"/>
          <w:color w:val="auto"/>
        </w:rPr>
      </w:pPr>
    </w:p>
    <w:p>
      <w:pPr>
        <w:spacing w:after="0"/>
        <w:rPr>
          <w:sz w:val="20"/>
          <w:szCs w:val="20"/>
          <w:color w:val="auto"/>
        </w:rPr>
      </w:pPr>
      <w:r>
        <w:rPr>
          <w:rFonts w:ascii="Arial" w:cs="Arial" w:eastAsia="Arial" w:hAnsi="Arial"/>
          <w:sz w:val="22"/>
          <w:szCs w:val="22"/>
          <w:color w:val="auto"/>
        </w:rPr>
        <w:t>&lt; font size="2" face="Times New Roman" style="font-size:10.0pt;"&gt;Name: Mike Tate</w:t>
      </w:r>
    </w:p>
    <w:p>
      <w:pPr>
        <w:spacing w:after="0"/>
        <w:rPr>
          <w:sz w:val="20"/>
          <w:szCs w:val="20"/>
          <w:color w:val="auto"/>
        </w:rPr>
      </w:pPr>
      <w:r>
        <w:rPr>
          <w:rFonts w:ascii="Arial" w:cs="Arial" w:eastAsia="Arial" w:hAnsi="Arial"/>
          <w:sz w:val="18"/>
          <w:szCs w:val="18"/>
          <w:color w:val="auto"/>
        </w:rPr>
        <w:t>Title: Vice President and Treasurer</w:t>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Tel: 408.222.2500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E-mail: mtate@marvell.com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200660</wp:posOffset>
            </wp:positionV>
            <wp:extent cx="7267575"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lowerLetter"/>
      <w:start w:val="2"/>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2019-12-12T01:56:44Z</dcterms:created>
  <dcterms:modified xsi:type="dcterms:W3CDTF">2019-12-12T01:56:44Z</dcterms:modified>
</cp:coreProperties>
</file>