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23495</wp:posOffset>
            </wp:positionH>
            <wp:positionV relativeFrom="paragraph">
              <wp:posOffset>-10795</wp:posOffset>
            </wp:positionV>
            <wp:extent cx="142240" cy="1917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60" w:hanging="256"/>
        <w:spacing w:after="0" w:line="183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8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8"/>
        </w:trPr>
        <w:tc>
          <w:tcPr>
            <w:tcW w:w="648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55"/>
              <w:spacing w:after="0" w:line="13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55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5447030</wp:posOffset>
            </wp:positionH>
            <wp:positionV relativeFrom="paragraph">
              <wp:posOffset>-636905</wp:posOffset>
            </wp:positionV>
            <wp:extent cx="58420" cy="650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4105275</wp:posOffset>
            </wp:positionH>
            <wp:positionV relativeFrom="paragraph">
              <wp:posOffset>-636905</wp:posOffset>
            </wp:positionV>
            <wp:extent cx="58420" cy="650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17780</wp:posOffset>
            </wp:positionV>
            <wp:extent cx="7275830" cy="93700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830" cy="937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68" w:orient="portrait"/>
          <w:cols w:equalWidth="0" w:num="2">
            <w:col w:w="2280" w:space="440"/>
            <w:col w:w="8800"/>
          </w:cols>
          <w:pgMar w:left="240" w:top="223" w:right="13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1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5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</w:tcPr>
          <w:p>
            <w:pPr>
              <w:ind w:left="1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7"/>
        </w:trPr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07/20/2005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34" w:lineRule="exact"/>
        <w:rPr>
          <w:sz w:val="20"/>
          <w:szCs w:val="20"/>
          <w:color w:val="auto"/>
        </w:rPr>
      </w:pPr>
    </w:p>
    <w:tbl>
      <w:tblPr>
        <w:tblLayout w:type="fixed"/>
        <w:tblInd w:w="42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86" w:lineRule="exact"/>
        <w:rPr>
          <w:sz w:val="20"/>
          <w:szCs w:val="20"/>
          <w:color w:val="auto"/>
        </w:rPr>
      </w:pPr>
    </w:p>
    <w:p>
      <w:pPr>
        <w:sectPr>
          <w:pgSz w:w="11900" w:h="16868" w:orient="portrait"/>
          <w:cols w:equalWidth="0" w:num="2">
            <w:col w:w="3900" w:space="100"/>
            <w:col w:w="7520"/>
          </w:cols>
          <w:pgMar w:left="240" w:top="223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3.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2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7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5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20" w:type="dxa"/>
            <w:vAlign w:val="bottom"/>
            <w:gridSpan w:val="6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Amount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4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07/20/2005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42.261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10,426,667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07/22/2005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43.209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10,226,667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07/22/2005</w:t>
            </w:r>
          </w:p>
        </w:tc>
        <w:tc>
          <w:tcPr>
            <w:tcW w:w="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43.034</w:t>
            </w: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26,236,158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50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400,000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400,000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8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(5)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8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(6)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 w:line="218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Weili Dai &amp; Sehat Sutardja</w:t>
              </w:r>
            </w:hyperlink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7291070</wp:posOffset>
            </wp:positionH>
            <wp:positionV relativeFrom="paragraph">
              <wp:posOffset>-4986655</wp:posOffset>
            </wp:positionV>
            <wp:extent cx="24130" cy="34258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342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7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sectPr>
          <w:pgSz w:w="11900" w:h="1686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p>
      <w:pPr>
        <w:ind w:left="120"/>
        <w:spacing w:after="0"/>
        <w:rPr>
          <w:rFonts w:ascii="Arial" w:cs="Arial" w:eastAsia="Arial" w:hAnsi="Arial"/>
          <w:sz w:val="19"/>
          <w:szCs w:val="19"/>
          <w:u w:val="single" w:color="auto"/>
          <w:color w:val="0000EE"/>
        </w:rPr>
      </w:pPr>
      <w:hyperlink r:id="rId15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Sehat Sutardja &amp; Weili Dai</w:t>
        </w:r>
      </w:hyperlink>
    </w:p>
    <w:p>
      <w:pPr>
        <w:sectPr>
          <w:pgSz w:w="11900" w:h="1686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1"/>
        </w:trPr>
        <w:tc>
          <w:tcPr>
            <w:tcW w:w="1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142875</wp:posOffset>
            </wp:positionH>
            <wp:positionV relativeFrom="page">
              <wp:posOffset>88900</wp:posOffset>
            </wp:positionV>
            <wp:extent cx="2925445" cy="12960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45" cy="129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80" w:firstLine="4"/>
        <w:spacing w:after="0" w:line="256" w:lineRule="auto"/>
        <w:tabs>
          <w:tab w:leader="none" w:pos="13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80" w:firstLine="4"/>
        <w:spacing w:after="0" w:line="256" w:lineRule="auto"/>
        <w:tabs>
          <w:tab w:leader="none" w:pos="13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firstLine="4"/>
        <w:spacing w:after="0" w:line="256" w:lineRule="auto"/>
        <w:tabs>
          <w:tab w:leader="none" w:pos="13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40" w:firstLine="4"/>
        <w:spacing w:after="0" w:line="256" w:lineRule="auto"/>
        <w:tabs>
          <w:tab w:leader="none" w:pos="13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5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Weili Dai &amp; Dr. Sehat Sutardja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07/22/2005</w:t>
            </w:r>
          </w:p>
        </w:tc>
      </w:tr>
      <w:tr>
        <w:trPr>
          <w:trHeight w:val="228"/>
        </w:trPr>
        <w:tc>
          <w:tcPr>
            <w:tcW w:w="21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jc w:val="both"/>
        <w:ind w:right="3560" w:firstLine="4"/>
        <w:spacing w:after="0" w:line="314" w:lineRule="auto"/>
        <w:tabs>
          <w:tab w:leader="none" w:pos="139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140"/>
      </w:cols>
      <w:pgMar w:left="280" w:top="428" w:right="4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6" Type="http://schemas.openxmlformats.org/officeDocument/2006/relationships/image" Target="media/image6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5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2019-12-17T03:13:39Z</dcterms:created>
  <dcterms:modified xsi:type="dcterms:W3CDTF">2019-12-17T03:13:39Z</dcterms:modified>
</cp:coreProperties>
</file>