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18, 2005</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85"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85"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85"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450215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6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color w:val="auto"/>
        </w:rPr>
        <w:t>On August 18, 2005, Marvell Technology Group Ltd. (“Marvell”) issued a press release regarding its financial results for its second fiscal quarter ended July 30, 2005. The full text of Marvell’s press release is furnished herewith as Exhibit 99.1.</w:t>
      </w:r>
    </w:p>
    <w:p>
      <w:pPr>
        <w:spacing w:after="0" w:line="170" w:lineRule="exact"/>
        <w:rPr>
          <w:sz w:val="24"/>
          <w:szCs w:val="24"/>
          <w:color w:val="auto"/>
        </w:rPr>
      </w:pPr>
    </w:p>
    <w:p>
      <w:pPr>
        <w:jc w:val="both"/>
        <w:ind w:right="280" w:firstLine="648"/>
        <w:spacing w:after="0" w:line="312"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47" w:lineRule="exact"/>
        <w:rPr>
          <w:sz w:val="24"/>
          <w:szCs w:val="24"/>
          <w:color w:val="auto"/>
        </w:rPr>
      </w:pPr>
    </w:p>
    <w:p>
      <w:pPr>
        <w:ind w:firstLine="648"/>
        <w:spacing w:after="0" w:line="259" w:lineRule="auto"/>
        <w:rPr>
          <w:sz w:val="20"/>
          <w:szCs w:val="20"/>
          <w:color w:val="auto"/>
        </w:rPr>
      </w:pPr>
      <w:r>
        <w:rPr>
          <w:rFonts w:ascii="Arial" w:cs="Arial" w:eastAsia="Arial" w:hAnsi="Arial"/>
          <w:sz w:val="18"/>
          <w:szCs w:val="18"/>
          <w:color w:val="auto"/>
        </w:rPr>
        <w:t>Marvell’s management believes this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company management analyzes operating results.</w:t>
      </w:r>
    </w:p>
    <w:p>
      <w:pPr>
        <w:spacing w:after="0" w:line="18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b w:val="1"/>
          <w:bCs w:val="1"/>
          <w:color w:val="auto"/>
        </w:rPr>
        <w:t>(c) Exhibits</w:t>
      </w:r>
    </w:p>
    <w:p>
      <w:pPr>
        <w:sectPr>
          <w:pgSz w:w="11900" w:h="16838" w:orient="portrait"/>
          <w:cols w:equalWidth="0" w:num="1">
            <w:col w:w="11380"/>
          </w:cols>
          <w:pgMar w:left="240" w:top="585" w:right="2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71"/>
        </w:trPr>
        <w:tc>
          <w:tcPr>
            <w:tcW w:w="1780" w:type="dxa"/>
            <w:vAlign w:val="bottom"/>
            <w:gridSpan w:val="2"/>
          </w:tcPr>
          <w:p>
            <w:pPr>
              <w:jc w:val="right"/>
              <w:ind w:right="210"/>
              <w:spacing w:after="0"/>
              <w:rPr>
                <w:sz w:val="20"/>
                <w:szCs w:val="20"/>
                <w:color w:val="auto"/>
              </w:rPr>
            </w:pPr>
            <w:r>
              <w:rPr>
                <w:rFonts w:ascii="Arial" w:cs="Arial" w:eastAsia="Arial" w:hAnsi="Arial"/>
                <w:sz w:val="14"/>
                <w:szCs w:val="14"/>
                <w:b w:val="1"/>
                <w:bCs w:val="1"/>
                <w:color w:val="auto"/>
              </w:rPr>
              <w:t>Exhibit No.</w:t>
            </w:r>
          </w:p>
        </w:tc>
        <w:tc>
          <w:tcPr>
            <w:tcW w:w="300" w:type="dxa"/>
            <w:vAlign w:val="bottom"/>
          </w:tcPr>
          <w:p>
            <w:pPr>
              <w:spacing w:after="0"/>
              <w:rPr>
                <w:sz w:val="14"/>
                <w:szCs w:val="14"/>
                <w:color w:val="auto"/>
              </w:rPr>
            </w:pPr>
          </w:p>
        </w:tc>
        <w:tc>
          <w:tcPr>
            <w:tcW w:w="8400" w:type="dxa"/>
            <w:vAlign w:val="bottom"/>
          </w:tcPr>
          <w:p>
            <w:pPr>
              <w:jc w:val="right"/>
              <w:ind w:right="3768"/>
              <w:spacing w:after="0"/>
              <w:rPr>
                <w:sz w:val="20"/>
                <w:szCs w:val="20"/>
                <w:color w:val="auto"/>
              </w:rPr>
            </w:pPr>
            <w:r>
              <w:rPr>
                <w:rFonts w:ascii="Arial" w:cs="Arial" w:eastAsia="Arial" w:hAnsi="Arial"/>
                <w:sz w:val="14"/>
                <w:szCs w:val="14"/>
                <w:b w:val="1"/>
                <w:bCs w:val="1"/>
                <w:color w:val="auto"/>
              </w:rPr>
              <w:t>Description</w:t>
            </w:r>
          </w:p>
        </w:tc>
        <w:tc>
          <w:tcPr>
            <w:tcW w:w="960" w:type="dxa"/>
            <w:vAlign w:val="bottom"/>
          </w:tcPr>
          <w:p>
            <w:pPr>
              <w:spacing w:after="0"/>
              <w:rPr>
                <w:sz w:val="14"/>
                <w:szCs w:val="14"/>
                <w:color w:val="auto"/>
              </w:rPr>
            </w:pPr>
          </w:p>
        </w:tc>
      </w:tr>
      <w:tr>
        <w:trPr>
          <w:trHeight w:val="20"/>
        </w:trPr>
        <w:tc>
          <w:tcPr>
            <w:tcW w:w="800" w:type="dxa"/>
            <w:vAlign w:val="bottom"/>
          </w:tcPr>
          <w:p>
            <w:pPr>
              <w:spacing w:after="0" w:line="20" w:lineRule="exact"/>
              <w:rPr>
                <w:sz w:val="1"/>
                <w:szCs w:val="1"/>
                <w:color w:val="auto"/>
              </w:rPr>
            </w:pPr>
          </w:p>
        </w:tc>
        <w:tc>
          <w:tcPr>
            <w:tcW w:w="9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400" w:type="dxa"/>
            <w:vAlign w:val="bottom"/>
            <w:shd w:val="clear" w:color="auto" w:fill="000000"/>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r>
      <w:tr>
        <w:trPr>
          <w:trHeight w:val="426"/>
        </w:trPr>
        <w:tc>
          <w:tcPr>
            <w:tcW w:w="800" w:type="dxa"/>
            <w:vAlign w:val="bottom"/>
          </w:tcPr>
          <w:p>
            <w:pPr>
              <w:spacing w:after="0"/>
              <w:rPr>
                <w:sz w:val="24"/>
                <w:szCs w:val="24"/>
                <w:color w:val="auto"/>
              </w:rPr>
            </w:pPr>
          </w:p>
        </w:tc>
        <w:tc>
          <w:tcPr>
            <w:tcW w:w="980" w:type="dxa"/>
            <w:vAlign w:val="bottom"/>
          </w:tcPr>
          <w:p>
            <w:pPr>
              <w:jc w:val="right"/>
              <w:ind w:right="250"/>
              <w:spacing w:after="0"/>
              <w:rPr>
                <w:sz w:val="20"/>
                <w:szCs w:val="20"/>
                <w:color w:val="auto"/>
              </w:rPr>
            </w:pPr>
            <w:r>
              <w:rPr>
                <w:rFonts w:ascii="Arial" w:cs="Arial" w:eastAsia="Arial" w:hAnsi="Arial"/>
                <w:sz w:val="18"/>
                <w:szCs w:val="18"/>
                <w:color w:val="auto"/>
              </w:rPr>
              <w:t>99.1</w:t>
            </w:r>
          </w:p>
        </w:tc>
        <w:tc>
          <w:tcPr>
            <w:tcW w:w="8700" w:type="dxa"/>
            <w:vAlign w:val="bottom"/>
            <w:gridSpan w:val="2"/>
          </w:tcPr>
          <w:p>
            <w:pPr>
              <w:jc w:val="right"/>
              <w:ind w:right="5628"/>
              <w:spacing w:after="0"/>
              <w:rPr>
                <w:sz w:val="20"/>
                <w:szCs w:val="20"/>
                <w:color w:val="auto"/>
              </w:rPr>
            </w:pPr>
            <w:r>
              <w:rPr>
                <w:rFonts w:ascii="Arial" w:cs="Arial" w:eastAsia="Arial" w:hAnsi="Arial"/>
                <w:sz w:val="18"/>
                <w:szCs w:val="18"/>
                <w:color w:val="auto"/>
                <w:w w:val="96"/>
              </w:rPr>
              <w:t>Press Release dated August 18, 2005.</w:t>
            </w:r>
          </w:p>
        </w:tc>
        <w:tc>
          <w:tcPr>
            <w:tcW w:w="960" w:type="dxa"/>
            <w:vAlign w:val="bottom"/>
          </w:tcPr>
          <w:p>
            <w:pPr>
              <w:spacing w:after="0"/>
              <w:rPr>
                <w:sz w:val="24"/>
                <w:szCs w:val="24"/>
                <w:color w:val="auto"/>
              </w:rPr>
            </w:pPr>
          </w:p>
        </w:tc>
      </w:tr>
      <w:tr>
        <w:trPr>
          <w:trHeight w:val="432"/>
        </w:trPr>
        <w:tc>
          <w:tcPr>
            <w:tcW w:w="8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700" w:type="dxa"/>
            <w:vAlign w:val="bottom"/>
            <w:gridSpan w:val="2"/>
          </w:tcPr>
          <w:p>
            <w:pPr>
              <w:jc w:val="right"/>
              <w:ind w:right="4648"/>
              <w:spacing w:after="0"/>
              <w:rPr>
                <w:sz w:val="20"/>
                <w:szCs w:val="20"/>
                <w:color w:val="auto"/>
              </w:rPr>
            </w:pPr>
            <w:r>
              <w:rPr>
                <w:rFonts w:ascii="Arial" w:cs="Arial" w:eastAsia="Arial" w:hAnsi="Arial"/>
                <w:sz w:val="18"/>
                <w:szCs w:val="18"/>
                <w:color w:val="auto"/>
              </w:rPr>
              <w:t>2</w:t>
            </w:r>
          </w:p>
        </w:tc>
        <w:tc>
          <w:tcPr>
            <w:tcW w:w="960" w:type="dxa"/>
            <w:vAlign w:val="bottom"/>
          </w:tcPr>
          <w:p>
            <w:pPr>
              <w:spacing w:after="0"/>
              <w:rPr>
                <w:sz w:val="24"/>
                <w:szCs w:val="24"/>
                <w:color w:val="auto"/>
              </w:rPr>
            </w:pPr>
          </w:p>
        </w:tc>
      </w:tr>
      <w:tr>
        <w:trPr>
          <w:trHeight w:val="105"/>
        </w:trPr>
        <w:tc>
          <w:tcPr>
            <w:tcW w:w="80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84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18, 2005</w:t>
      </w:r>
    </w:p>
    <w:p>
      <w:pPr>
        <w:spacing w:after="0" w:line="225" w:lineRule="exact"/>
        <w:rPr>
          <w:sz w:val="20"/>
          <w:szCs w:val="20"/>
          <w:color w:val="auto"/>
        </w:rPr>
      </w:pPr>
    </w:p>
    <w:p>
      <w:pPr>
        <w:ind w:left="71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7120"/>
        <w:spacing w:after="0"/>
        <w:tabs>
          <w:tab w:leader="none" w:pos="758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ind w:left="88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4764405</wp:posOffset>
            </wp:positionH>
            <wp:positionV relativeFrom="paragraph">
              <wp:posOffset>-130810</wp:posOffset>
            </wp:positionV>
            <wp:extent cx="248729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487295" cy="8890"/>
                    </a:xfrm>
                    <a:prstGeom prst="rect">
                      <a:avLst/>
                    </a:prstGeom>
                    <a:noFill/>
                  </pic:spPr>
                </pic:pic>
              </a:graphicData>
            </a:graphic>
          </wp:anchor>
        </w:drawing>
      </w:r>
    </w:p>
    <w:p>
      <w:pPr>
        <w:spacing w:after="0" w:line="3" w:lineRule="exact"/>
        <w:rPr>
          <w:sz w:val="20"/>
          <w:szCs w:val="20"/>
          <w:color w:val="auto"/>
        </w:rPr>
      </w:pPr>
    </w:p>
    <w:p>
      <w:pPr>
        <w:jc w:val="center"/>
        <w:ind w:left="75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750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80" w:type="dxa"/>
            <w:vAlign w:val="bottom"/>
          </w:tcPr>
          <w:p>
            <w:pPr>
              <w:jc w:val="center"/>
              <w:ind w:right="1254"/>
              <w:spacing w:after="0"/>
              <w:rPr>
                <w:sz w:val="20"/>
                <w:szCs w:val="20"/>
                <w:color w:val="auto"/>
              </w:rPr>
            </w:pPr>
            <w:r>
              <w:rPr>
                <w:rFonts w:ascii="Arial" w:cs="Arial" w:eastAsia="Arial" w:hAnsi="Arial"/>
                <w:sz w:val="18"/>
                <w:szCs w:val="18"/>
                <w:color w:val="auto"/>
                <w:w w:val="99"/>
              </w:rPr>
              <w:t>3</w:t>
            </w:r>
          </w:p>
        </w:tc>
        <w:tc>
          <w:tcPr>
            <w:tcW w:w="20" w:type="dxa"/>
            <w:vAlign w:val="bottom"/>
          </w:tcPr>
          <w:p>
            <w:pPr>
              <w:spacing w:after="0"/>
              <w:rPr>
                <w:sz w:val="20"/>
                <w:szCs w:val="20"/>
                <w:color w:val="auto"/>
              </w:rPr>
            </w:pPr>
          </w:p>
        </w:tc>
      </w:tr>
      <w:tr>
        <w:trPr>
          <w:trHeight w:val="91"/>
        </w:trPr>
        <w:tc>
          <w:tcPr>
            <w:tcW w:w="1100" w:type="dxa"/>
            <w:vAlign w:val="bottom"/>
            <w:tcBorders>
              <w:bottom w:val="single" w:sz="8" w:color="808080"/>
            </w:tcBorders>
          </w:tcPr>
          <w:p>
            <w:pPr>
              <w:spacing w:after="0"/>
              <w:rPr>
                <w:sz w:val="7"/>
                <w:szCs w:val="7"/>
                <w:color w:val="auto"/>
              </w:rPr>
            </w:pPr>
          </w:p>
        </w:tc>
        <w:tc>
          <w:tcPr>
            <w:tcW w:w="240" w:type="dxa"/>
            <w:vAlign w:val="bottom"/>
            <w:tcBorders>
              <w:bottom w:val="single" w:sz="8" w:color="808080"/>
            </w:tcBorders>
          </w:tcPr>
          <w:p>
            <w:pPr>
              <w:spacing w:after="0"/>
              <w:rPr>
                <w:sz w:val="7"/>
                <w:szCs w:val="7"/>
                <w:color w:val="auto"/>
              </w:rPr>
            </w:pPr>
          </w:p>
        </w:tc>
        <w:tc>
          <w:tcPr>
            <w:tcW w:w="1008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r>
      <w:tr>
        <w:trPr>
          <w:trHeight w:val="767"/>
        </w:trPr>
        <w:tc>
          <w:tcPr>
            <w:tcW w:w="1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100" w:type="dxa"/>
            <w:vAlign w:val="bottom"/>
            <w:gridSpan w:val="2"/>
          </w:tcPr>
          <w:p>
            <w:pPr>
              <w:jc w:val="center"/>
              <w:ind w:right="1340"/>
              <w:spacing w:after="0"/>
              <w:rPr>
                <w:sz w:val="20"/>
                <w:szCs w:val="20"/>
                <w:color w:val="auto"/>
              </w:rPr>
            </w:pPr>
            <w:r>
              <w:rPr>
                <w:rFonts w:ascii="Arial" w:cs="Arial" w:eastAsia="Arial" w:hAnsi="Arial"/>
                <w:sz w:val="18"/>
                <w:szCs w:val="18"/>
                <w:b w:val="1"/>
                <w:bCs w:val="1"/>
                <w:color w:val="auto"/>
              </w:rPr>
              <w:t>EXHIBIT INDEX</w:t>
            </w:r>
          </w:p>
        </w:tc>
      </w:tr>
      <w:tr>
        <w:trPr>
          <w:trHeight w:val="365"/>
        </w:trPr>
        <w:tc>
          <w:tcPr>
            <w:tcW w:w="1100" w:type="dxa"/>
            <w:vAlign w:val="bottom"/>
            <w:tcBorders>
              <w:bottom w:val="single" w:sz="8" w:color="auto"/>
            </w:tcBorders>
          </w:tcPr>
          <w:p>
            <w:pPr>
              <w:jc w:val="right"/>
              <w:ind w:right="299"/>
              <w:spacing w:after="0"/>
              <w:rPr>
                <w:sz w:val="20"/>
                <w:szCs w:val="20"/>
                <w:color w:val="auto"/>
              </w:rPr>
            </w:pPr>
            <w:r>
              <w:rPr>
                <w:rFonts w:ascii="Arial" w:cs="Arial" w:eastAsia="Arial" w:hAnsi="Arial"/>
                <w:sz w:val="14"/>
                <w:szCs w:val="14"/>
                <w:b w:val="1"/>
                <w:bCs w:val="1"/>
                <w:color w:val="auto"/>
                <w:w w:val="95"/>
              </w:rPr>
              <w:t>Exhibit No.</w:t>
            </w:r>
          </w:p>
        </w:tc>
        <w:tc>
          <w:tcPr>
            <w:tcW w:w="240" w:type="dxa"/>
            <w:vAlign w:val="bottom"/>
          </w:tcPr>
          <w:p>
            <w:pPr>
              <w:spacing w:after="0"/>
              <w:rPr>
                <w:sz w:val="24"/>
                <w:szCs w:val="24"/>
                <w:color w:val="auto"/>
              </w:rPr>
            </w:pPr>
          </w:p>
        </w:tc>
        <w:tc>
          <w:tcPr>
            <w:tcW w:w="10080" w:type="dxa"/>
            <w:vAlign w:val="bottom"/>
            <w:tcBorders>
              <w:bottom w:val="single" w:sz="8" w:color="auto"/>
            </w:tcBorders>
          </w:tcPr>
          <w:p>
            <w:pPr>
              <w:ind w:left="4680"/>
              <w:spacing w:after="0"/>
              <w:rPr>
                <w:sz w:val="20"/>
                <w:szCs w:val="20"/>
                <w:color w:val="auto"/>
              </w:rPr>
            </w:pPr>
            <w:r>
              <w:rPr>
                <w:rFonts w:ascii="Arial" w:cs="Arial" w:eastAsia="Arial" w:hAnsi="Arial"/>
                <w:sz w:val="14"/>
                <w:szCs w:val="14"/>
                <w:b w:val="1"/>
                <w:bCs w:val="1"/>
                <w:color w:val="auto"/>
              </w:rPr>
              <w:t>Description</w:t>
            </w:r>
          </w:p>
        </w:tc>
        <w:tc>
          <w:tcPr>
            <w:tcW w:w="20" w:type="dxa"/>
            <w:vAlign w:val="bottom"/>
          </w:tcPr>
          <w:p>
            <w:pPr>
              <w:spacing w:after="0"/>
              <w:rPr>
                <w:sz w:val="24"/>
                <w:szCs w:val="24"/>
                <w:color w:val="auto"/>
              </w:rPr>
            </w:pPr>
          </w:p>
        </w:tc>
      </w:tr>
      <w:tr>
        <w:trPr>
          <w:trHeight w:val="426"/>
        </w:trPr>
        <w:tc>
          <w:tcPr>
            <w:tcW w:w="1100" w:type="dxa"/>
            <w:vAlign w:val="bottom"/>
          </w:tcPr>
          <w:p>
            <w:pPr>
              <w:jc w:val="right"/>
              <w:ind w:right="299"/>
              <w:spacing w:after="0"/>
              <w:rPr>
                <w:sz w:val="20"/>
                <w:szCs w:val="20"/>
                <w:color w:val="auto"/>
              </w:rPr>
            </w:pPr>
            <w:r>
              <w:rPr>
                <w:rFonts w:ascii="Arial" w:cs="Arial" w:eastAsia="Arial" w:hAnsi="Arial"/>
                <w:sz w:val="18"/>
                <w:szCs w:val="18"/>
                <w:color w:val="auto"/>
              </w:rPr>
              <w:t>99.1</w:t>
            </w:r>
          </w:p>
        </w:tc>
        <w:tc>
          <w:tcPr>
            <w:tcW w:w="240" w:type="dxa"/>
            <w:vAlign w:val="bottom"/>
          </w:tcPr>
          <w:p>
            <w:pPr>
              <w:spacing w:after="0"/>
              <w:rPr>
                <w:sz w:val="24"/>
                <w:szCs w:val="24"/>
                <w:color w:val="auto"/>
              </w:rPr>
            </w:pPr>
          </w:p>
        </w:tc>
        <w:tc>
          <w:tcPr>
            <w:tcW w:w="10100" w:type="dxa"/>
            <w:vAlign w:val="bottom"/>
            <w:gridSpan w:val="2"/>
          </w:tcPr>
          <w:p>
            <w:pPr>
              <w:spacing w:after="0"/>
              <w:rPr>
                <w:sz w:val="20"/>
                <w:szCs w:val="20"/>
                <w:color w:val="auto"/>
              </w:rPr>
            </w:pPr>
            <w:r>
              <w:rPr>
                <w:rFonts w:ascii="Arial" w:cs="Arial" w:eastAsia="Arial" w:hAnsi="Arial"/>
                <w:sz w:val="18"/>
                <w:szCs w:val="18"/>
                <w:color w:val="auto"/>
              </w:rPr>
              <w:t>Press Release dated August 18, 2005.</w:t>
            </w:r>
          </w:p>
        </w:tc>
      </w:tr>
      <w:tr>
        <w:trPr>
          <w:trHeight w:val="432"/>
        </w:trPr>
        <w:tc>
          <w:tcPr>
            <w:tcW w:w="1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80" w:type="dxa"/>
            <w:vAlign w:val="bottom"/>
          </w:tcPr>
          <w:p>
            <w:pPr>
              <w:jc w:val="center"/>
              <w:ind w:right="1254"/>
              <w:spacing w:after="0"/>
              <w:rPr>
                <w:sz w:val="20"/>
                <w:szCs w:val="20"/>
                <w:color w:val="auto"/>
              </w:rPr>
            </w:pPr>
            <w:r>
              <w:rPr>
                <w:rFonts w:ascii="Arial" w:cs="Arial" w:eastAsia="Arial" w:hAnsi="Arial"/>
                <w:sz w:val="18"/>
                <w:szCs w:val="18"/>
                <w:color w:val="auto"/>
                <w:w w:val="99"/>
              </w:rPr>
              <w:t>4</w:t>
            </w:r>
          </w:p>
        </w:tc>
        <w:tc>
          <w:tcPr>
            <w:tcW w:w="20" w:type="dxa"/>
            <w:vAlign w:val="bottom"/>
          </w:tcPr>
          <w:p>
            <w:pPr>
              <w:spacing w:after="0"/>
              <w:rPr>
                <w:sz w:val="24"/>
                <w:szCs w:val="24"/>
                <w:color w:val="auto"/>
              </w:rPr>
            </w:pPr>
          </w:p>
        </w:tc>
      </w:tr>
      <w:tr>
        <w:trPr>
          <w:trHeight w:val="105"/>
        </w:trPr>
        <w:tc>
          <w:tcPr>
            <w:tcW w:w="11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008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-1369060</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-1369060</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18" w:right="219" w:bottom="1440" w:gutter="0" w:footer="0" w:header="0"/>
        </w:sectPr>
      </w:pPr>
    </w:p>
    <w:bookmarkStart w:id="2" w:name="page3"/>
    <w:bookmarkEnd w:id="2"/>
    <w:p>
      <w:pPr>
        <w:ind w:left="10480"/>
        <w:spacing w:after="0"/>
        <w:rPr>
          <w:sz w:val="20"/>
          <w:szCs w:val="20"/>
          <w:color w:val="auto"/>
        </w:rPr>
      </w:pPr>
      <w:r>
        <w:rPr>
          <w:rFonts w:ascii="Arial" w:cs="Arial" w:eastAsia="Arial" w:hAnsi="Arial"/>
          <w:sz w:val="16"/>
          <w:szCs w:val="16"/>
          <w:b w:val="1"/>
          <w:bCs w:val="1"/>
          <w:color w:val="auto"/>
        </w:rPr>
        <w:t>Exhibit 99.1</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NEWS RELEASE</w:t>
      </w:r>
    </w:p>
    <w:p>
      <w:pPr>
        <w:spacing w:after="0" w:line="15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Marvell</w:t>
      </w:r>
      <w:r>
        <w:rPr>
          <w:rFonts w:ascii="Arial" w:cs="Arial" w:eastAsia="Arial" w:hAnsi="Arial"/>
          <w:sz w:val="30"/>
          <w:szCs w:val="30"/>
          <w:b w:val="1"/>
          <w:bCs w:val="1"/>
          <w:color w:val="auto"/>
          <w:vertAlign w:val="superscript"/>
        </w:rPr>
        <w:t>®</w:t>
      </w:r>
      <w:r>
        <w:rPr>
          <w:rFonts w:ascii="Arial" w:cs="Arial" w:eastAsia="Arial" w:hAnsi="Arial"/>
          <w:sz w:val="18"/>
          <w:szCs w:val="18"/>
          <w:b w:val="1"/>
          <w:bCs w:val="1"/>
          <w:color w:val="auto"/>
        </w:rPr>
        <w:t xml:space="preserve"> Technology Group Ltd. Reports</w:t>
      </w:r>
    </w:p>
    <w:p>
      <w:pPr>
        <w:ind w:left="4040"/>
        <w:spacing w:after="0"/>
        <w:rPr>
          <w:sz w:val="20"/>
          <w:szCs w:val="20"/>
          <w:color w:val="auto"/>
        </w:rPr>
      </w:pPr>
      <w:r>
        <w:rPr>
          <w:rFonts w:ascii="Arial" w:cs="Arial" w:eastAsia="Arial" w:hAnsi="Arial"/>
          <w:sz w:val="18"/>
          <w:szCs w:val="18"/>
          <w:b w:val="1"/>
          <w:bCs w:val="1"/>
          <w:color w:val="auto"/>
        </w:rPr>
        <w:t>Record Second Quarter Fiscal 2006 Results</w:t>
      </w:r>
    </w:p>
    <w:p>
      <w:pPr>
        <w:spacing w:after="0" w:line="213" w:lineRule="exact"/>
        <w:rPr>
          <w:sz w:val="20"/>
          <w:szCs w:val="20"/>
          <w:color w:val="auto"/>
        </w:rPr>
      </w:pPr>
    </w:p>
    <w:p>
      <w:pPr>
        <w:ind w:right="460"/>
        <w:spacing w:after="0" w:line="210" w:lineRule="auto"/>
        <w:rPr>
          <w:sz w:val="20"/>
          <w:szCs w:val="20"/>
          <w:color w:val="auto"/>
        </w:rPr>
      </w:pPr>
      <w:r>
        <w:rPr>
          <w:rFonts w:ascii="Arial" w:cs="Arial" w:eastAsia="Arial" w:hAnsi="Arial"/>
          <w:sz w:val="18"/>
          <w:szCs w:val="18"/>
          <w:color w:val="auto"/>
        </w:rPr>
        <w:t xml:space="preserve">Sunnyvale, CA. (August 18, 2005) </w:t>
      </w:r>
      <w:r>
        <w:rPr>
          <w:rFonts w:ascii="Arial" w:cs="Arial" w:eastAsia="Arial" w:hAnsi="Arial"/>
          <w:sz w:val="18"/>
          <w:szCs w:val="18"/>
          <w:b w:val="1"/>
          <w:bCs w:val="1"/>
          <w:color w:val="auto"/>
        </w:rPr>
        <w:t>–</w:t>
      </w:r>
      <w:r>
        <w:rPr>
          <w:rFonts w:ascii="Arial" w:cs="Arial" w:eastAsia="Arial" w:hAnsi="Arial"/>
          <w:sz w:val="18"/>
          <w:szCs w:val="18"/>
          <w:color w:val="auto"/>
        </w:rPr>
        <w:t xml:space="preserve"> Marvell</w:t>
      </w:r>
      <w:r>
        <w:rPr>
          <w:rFonts w:ascii="Arial" w:cs="Arial" w:eastAsia="Arial" w:hAnsi="Arial"/>
          <w:sz w:val="30"/>
          <w:szCs w:val="30"/>
          <w:color w:val="auto"/>
          <w:vertAlign w:val="superscript"/>
        </w:rPr>
        <w:t>®</w:t>
      </w:r>
      <w:r>
        <w:rPr>
          <w:rFonts w:ascii="Arial" w:cs="Arial" w:eastAsia="Arial" w:hAnsi="Arial"/>
          <w:sz w:val="18"/>
          <w:szCs w:val="18"/>
          <w:color w:val="auto"/>
        </w:rPr>
        <w:t xml:space="preserve"> Technology Group Ltd. (NASDAQ: MRVL), the leader in development of storage, communications, and consumer silicon solutions, today reported financial results for its second fiscal quarter ended July 30, 2005.</w:t>
      </w:r>
    </w:p>
    <w:p>
      <w:pPr>
        <w:spacing w:after="0" w:line="202"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Net revenue for the second quarter of fiscal 2006 was a record $390.5 million, an increase of 31.4% over net revenue of $297.2 million for the second quarter of fiscal 2005 and a 7.0% sequential increase from net revenue of $364.8 million for the first quarter of fiscal 2006. Net income under generally accepted accounting principles (GAAP) was $77.3 million, or $0.25 per share (diluted), for the second quarter of fiscal 2006, compared with a net income under GAAP of $28.6 million, or $0.10 per share (diluted), for the second quarter of fiscal 2005.</w:t>
      </w:r>
    </w:p>
    <w:p>
      <w:pPr>
        <w:spacing w:after="0" w:line="187"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Net revenue for the six months ended July 30, 2005 was $755.2 million, an increase of 33.3% over net revenue of $566.7 million for the six months ended July 31, 2004. Net income under GAAP was $140.8 million, or $0.45 per share (diluted), for the six months ended July 30, 2005, compared with a net income under GAAP of $43.1 million, or $0.15 per share (diluted), for the six months ended July 31, 2004.</w:t>
      </w:r>
    </w:p>
    <w:p>
      <w:pPr>
        <w:spacing w:after="0" w:line="181" w:lineRule="exact"/>
        <w:rPr>
          <w:sz w:val="20"/>
          <w:szCs w:val="20"/>
          <w:color w:val="auto"/>
        </w:rPr>
      </w:pPr>
    </w:p>
    <w:p>
      <w:pPr>
        <w:ind w:right="140"/>
        <w:spacing w:after="0" w:line="276" w:lineRule="auto"/>
        <w:rPr>
          <w:sz w:val="20"/>
          <w:szCs w:val="20"/>
          <w:color w:val="auto"/>
        </w:rPr>
      </w:pPr>
      <w:r>
        <w:rPr>
          <w:rFonts w:ascii="Arial" w:cs="Arial" w:eastAsia="Arial" w:hAnsi="Arial"/>
          <w:sz w:val="17"/>
          <w:szCs w:val="17"/>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and amortization of stock-based compensation. Pro forma net income was $97.6 million, or $0.31 per share (diluted), for the second quarter of fiscal 2006, compared with pro forma net income of $59.7 million, or $0.20 per share (diluted), for the second quarter of fiscal 2005. Shares used in computing net income per share for the second quarter of fiscal 2006 increased to 313.1 million, compared with 296.0 million for the second quarter of fiscal 2005.</w:t>
      </w:r>
    </w:p>
    <w:p>
      <w:pPr>
        <w:spacing w:after="0" w:line="173" w:lineRule="exact"/>
        <w:rPr>
          <w:sz w:val="20"/>
          <w:szCs w:val="20"/>
          <w:color w:val="auto"/>
        </w:rPr>
      </w:pPr>
    </w:p>
    <w:p>
      <w:pPr>
        <w:ind w:right="340"/>
        <w:spacing w:after="0" w:line="286" w:lineRule="auto"/>
        <w:rPr>
          <w:sz w:val="20"/>
          <w:szCs w:val="20"/>
          <w:color w:val="auto"/>
        </w:rPr>
      </w:pPr>
      <w:r>
        <w:rPr>
          <w:rFonts w:ascii="Arial" w:cs="Arial" w:eastAsia="Arial" w:hAnsi="Arial"/>
          <w:sz w:val="17"/>
          <w:szCs w:val="17"/>
          <w:color w:val="auto"/>
        </w:rPr>
        <w:t>Pro forma net income was $181.7 million, or $0.58 per share (diluted), for the six months ended July 30, 2005, compared with pro forma net income of $108.8 million, or $0.37 per share (diluted), for the six months ended July 31, 2004. Shares used in computing pro forma net income per share for the six months ended July 30, 2005 increased to 311.9 million, compared with 294.6 million for the six months ended July 31, 2004.</w:t>
      </w:r>
    </w:p>
    <w:p>
      <w:pPr>
        <w:spacing w:after="0" w:line="166"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181" w:lineRule="exact"/>
        <w:rPr>
          <w:sz w:val="20"/>
          <w:szCs w:val="20"/>
          <w:color w:val="auto"/>
        </w:rPr>
      </w:pPr>
    </w:p>
    <w:p>
      <w:pPr>
        <w:ind w:right="60"/>
        <w:spacing w:after="0" w:line="312"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160020</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“Q2 was another very successful quarter for Marvell,” stated Dr. Sehat Sutardja, Marvell’s President and CEO. “Our consistently strong financial performance is a result of the hard work and dedication of our employees, the strong positioning of our world class technologies and the support of our customers and partners. We currently enjoy strong growth and momentum from both the Enterprise and Consumer markets and are focused on the continued solid execution of our business strategies.”</w:t>
      </w:r>
    </w:p>
    <w:p>
      <w:pPr>
        <w:spacing w:after="0" w:line="191" w:lineRule="exact"/>
        <w:rPr>
          <w:sz w:val="20"/>
          <w:szCs w:val="20"/>
          <w:color w:val="auto"/>
        </w:rPr>
      </w:pPr>
    </w:p>
    <w:p>
      <w:pPr>
        <w:ind w:right="80"/>
        <w:spacing w:after="0" w:line="235" w:lineRule="auto"/>
        <w:rPr>
          <w:sz w:val="20"/>
          <w:szCs w:val="20"/>
          <w:color w:val="auto"/>
        </w:rPr>
      </w:pPr>
      <w:r>
        <w:rPr>
          <w:rFonts w:ascii="Arial" w:cs="Arial" w:eastAsia="Arial" w:hAnsi="Arial"/>
          <w:sz w:val="17"/>
          <w:szCs w:val="17"/>
          <w:color w:val="auto"/>
        </w:rPr>
        <w:t>Revenue for the second quarter was a record for Marvell and represented the 31</w:t>
      </w:r>
      <w:r>
        <w:rPr>
          <w:rFonts w:ascii="Arial" w:cs="Arial" w:eastAsia="Arial" w:hAnsi="Arial"/>
          <w:sz w:val="28"/>
          <w:szCs w:val="28"/>
          <w:color w:val="auto"/>
          <w:vertAlign w:val="superscript"/>
        </w:rPr>
        <w:t>st</w:t>
      </w:r>
      <w:r>
        <w:rPr>
          <w:rFonts w:ascii="Arial" w:cs="Arial" w:eastAsia="Arial" w:hAnsi="Arial"/>
          <w:sz w:val="17"/>
          <w:szCs w:val="17"/>
          <w:color w:val="auto"/>
        </w:rPr>
        <w:t xml:space="preserve"> consecutive quarter for sequential revenue growth. During the quarter Marvell continued to generate strong positive cash flows and reported its highest level of cash, cash equivalents and short-term investments with a balance of $847.1 million. The following is a review of some of the recent highlights that occurred since last quarter’s earnings release:</w:t>
      </w:r>
    </w:p>
    <w:p>
      <w:pPr>
        <w:spacing w:after="0" w:line="230" w:lineRule="exact"/>
        <w:rPr>
          <w:sz w:val="20"/>
          <w:szCs w:val="20"/>
          <w:color w:val="auto"/>
        </w:rPr>
      </w:pPr>
    </w:p>
    <w:p>
      <w:pPr>
        <w:ind w:left="660" w:right="100" w:hanging="328"/>
        <w:spacing w:after="0" w:line="245" w:lineRule="auto"/>
        <w:tabs>
          <w:tab w:leader="none" w:pos="655" w:val="left"/>
        </w:tabs>
        <w:numPr>
          <w:ilvl w:val="0"/>
          <w:numId w:val="1"/>
        </w:numPr>
        <w:rPr>
          <w:rFonts w:ascii="Arial" w:cs="Arial" w:eastAsia="Arial" w:hAnsi="Arial"/>
          <w:sz w:val="22"/>
          <w:szCs w:val="22"/>
          <w:color w:val="auto"/>
        </w:rPr>
      </w:pPr>
      <w:r>
        <w:rPr>
          <w:rFonts w:ascii="Arial" w:cs="Arial" w:eastAsia="Arial" w:hAnsi="Arial"/>
          <w:sz w:val="18"/>
          <w:szCs w:val="18"/>
          <w:color w:val="auto"/>
        </w:rPr>
        <w:t>In July, Marvell announced the world’s first ultra low-power 90nm Wireless LAN (WLAN) single chip solution. Further expanding the Company’s market leadership in the WLAN space, the Marvell 88W8686 raises the bar on WLAN performance by offering the industry’s lowest total system power – drawing less than 400 mW – and the smallest total system footprint – less than 50mm2. An example of Marvell’s 88W8686 solution in a dual mode handset we believe would result in connected standby times in excess of 250 hours and talk time in excess of 10 hours. Additionally, the Marvell 88W8686 continues Marvell’s legacy of supporting advanced layer 3/4 packet processing (TCP/IP) along with enhancements for UMA and IMS 3G services.</w:t>
      </w:r>
    </w:p>
    <w:p>
      <w:pPr>
        <w:spacing w:after="0" w:line="224" w:lineRule="exact"/>
        <w:rPr>
          <w:rFonts w:ascii="Arial" w:cs="Arial" w:eastAsia="Arial" w:hAnsi="Arial"/>
          <w:sz w:val="22"/>
          <w:szCs w:val="22"/>
          <w:color w:val="auto"/>
        </w:rPr>
      </w:pPr>
    </w:p>
    <w:p>
      <w:pPr>
        <w:ind w:left="660" w:right="260" w:hanging="328"/>
        <w:spacing w:after="0" w:line="243" w:lineRule="auto"/>
        <w:tabs>
          <w:tab w:leader="none" w:pos="655" w:val="left"/>
        </w:tabs>
        <w:numPr>
          <w:ilvl w:val="0"/>
          <w:numId w:val="1"/>
        </w:numPr>
        <w:rPr>
          <w:rFonts w:ascii="Arial" w:cs="Arial" w:eastAsia="Arial" w:hAnsi="Arial"/>
          <w:sz w:val="22"/>
          <w:szCs w:val="22"/>
          <w:color w:val="auto"/>
        </w:rPr>
      </w:pPr>
      <w:r>
        <w:rPr>
          <w:rFonts w:ascii="Arial" w:cs="Arial" w:eastAsia="Arial" w:hAnsi="Arial"/>
          <w:sz w:val="18"/>
          <w:szCs w:val="18"/>
          <w:color w:val="auto"/>
        </w:rPr>
        <w:t>Today, Marvell announced the world’s most highly integrated VoIP solutions targeted at the rapidly growing Internet voice communications markets. Marvell is offering a family of system on chip solutions targeted at high performance broadband VoIP gateways, ultra-low power VoWLAN (Voice over WLAN) handsets and high-volume, low cost enterprise IP phones. Each member of this family integrates VoIP processing, WiFi, low power and host CPU capabilities into single chip solutions resulting in significantly higher integration, lower system cost and power versus competing multi-chip solutions.</w:t>
      </w:r>
    </w:p>
    <w:p>
      <w:pPr>
        <w:spacing w:after="0" w:line="229" w:lineRule="exact"/>
        <w:rPr>
          <w:rFonts w:ascii="Arial" w:cs="Arial" w:eastAsia="Arial" w:hAnsi="Arial"/>
          <w:sz w:val="22"/>
          <w:szCs w:val="22"/>
          <w:color w:val="auto"/>
        </w:rPr>
      </w:pPr>
    </w:p>
    <w:p>
      <w:pPr>
        <w:ind w:left="660" w:right="60" w:hanging="328"/>
        <w:spacing w:after="0" w:line="241" w:lineRule="auto"/>
        <w:tabs>
          <w:tab w:leader="none" w:pos="655" w:val="left"/>
        </w:tabs>
        <w:numPr>
          <w:ilvl w:val="0"/>
          <w:numId w:val="1"/>
        </w:numPr>
        <w:rPr>
          <w:rFonts w:ascii="Arial" w:cs="Arial" w:eastAsia="Arial" w:hAnsi="Arial"/>
          <w:sz w:val="22"/>
          <w:szCs w:val="22"/>
          <w:color w:val="auto"/>
        </w:rPr>
      </w:pPr>
      <w:r>
        <w:rPr>
          <w:rFonts w:ascii="Arial" w:cs="Arial" w:eastAsia="Arial" w:hAnsi="Arial"/>
          <w:sz w:val="18"/>
          <w:szCs w:val="18"/>
          <w:color w:val="auto"/>
        </w:rPr>
        <w:t>Marvell continues to enjoy strong growth from the adoption of hard disk drives in consumer electronics. There is an increasing demand for high capacity storage in a growing list of consumer applications such as digital video recorders, gaming, MP3 players, PDAs and cell phones. Marvell is a leader in driving this trend by providing very low power and advanced solutions which enables increasing storage capacities for these high volume applications.</w:t>
      </w:r>
    </w:p>
    <w:p>
      <w:pPr>
        <w:spacing w:after="0" w:line="203"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Marvell will be conducting a conference call today at 1:45 p.m. PDT to discuss its second quarter financial results. To listen to the conference call, investors can dial (706) 679-0800 approximately ten minutes prior to the initiation of the teleconference and refer to conference code 8346660. Replay of the conference call will be available until August 25, 2005 at midnight PST by dialing (706) 645-9291. The conference call will also be available via the web at www.marvell.com. Please visit the Investor Events section. Replay on the Internet will be available until August 16, 2006.</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The financial results included in this release are unaudited.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167"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t>About Marvell</w:t>
      </w:r>
    </w:p>
    <w:p>
      <w:pPr>
        <w:spacing w:after="0" w:line="27" w:lineRule="exact"/>
        <w:rPr>
          <w:sz w:val="20"/>
          <w:szCs w:val="20"/>
          <w:color w:val="auto"/>
        </w:rPr>
      </w:pPr>
    </w:p>
    <w:p>
      <w:pPr>
        <w:ind w:right="160"/>
        <w:spacing w:after="0" w:line="252" w:lineRule="auto"/>
        <w:rPr>
          <w:sz w:val="20"/>
          <w:szCs w:val="20"/>
          <w:color w:val="auto"/>
        </w:rPr>
      </w:pPr>
      <w:r>
        <w:rPr>
          <w:rFonts w:ascii="Arial" w:cs="Arial" w:eastAsia="Arial" w:hAnsi="Arial"/>
          <w:sz w:val="18"/>
          <w:szCs w:val="18"/>
          <w:color w:val="auto"/>
        </w:rPr>
        <w:t>Marvell (NASDAQ: MRVL)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7"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execution of our business strategies, continued growth in the Enterprise and Consumer markets, continued growth from adoption of hard disk drives in consumer electronics, increasing demand for high capacity storage in consumer applications and the anticipated features and benefits of our WLAN single chip and integrated VoIP solutions.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29, 2005. We undertake no obligation to revise or update publicly any forward-looking statements.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0"/>
          <w:szCs w:val="30"/>
          <w:i w:val="1"/>
          <w:iCs w:val="1"/>
          <w:color w:val="auto"/>
          <w:vertAlign w:val="superscript"/>
        </w:rPr>
        <w:t>®</w:t>
      </w:r>
      <w:r>
        <w:rPr>
          <w:rFonts w:ascii="Arial" w:cs="Arial" w:eastAsia="Arial" w:hAnsi="Arial"/>
          <w:sz w:val="18"/>
          <w:szCs w:val="18"/>
          <w:i w:val="1"/>
          <w:iCs w:val="1"/>
          <w:color w:val="auto"/>
        </w:rPr>
        <w:t xml:space="preserve">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940" w:type="dxa"/>
            <w:vAlign w:val="bottom"/>
            <w:gridSpan w:val="6"/>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780" w:type="dxa"/>
            <w:vAlign w:val="bottom"/>
            <w:gridSpan w:val="5"/>
          </w:tcPr>
          <w:p>
            <w:pPr>
              <w:ind w:left="640"/>
              <w:spacing w:after="0"/>
              <w:rPr>
                <w:sz w:val="20"/>
                <w:szCs w:val="20"/>
                <w:color w:val="auto"/>
              </w:rPr>
            </w:pPr>
            <w:r>
              <w:rPr>
                <w:rFonts w:ascii="Arial" w:cs="Arial" w:eastAsia="Arial" w:hAnsi="Arial"/>
                <w:sz w:val="14"/>
                <w:szCs w:val="14"/>
                <w:b w:val="1"/>
                <w:bCs w:val="1"/>
                <w:color w:val="auto"/>
              </w:rPr>
              <w:t>Six Months Ended</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14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ind w:left="180"/>
              <w:spacing w:after="0" w:line="119" w:lineRule="exact"/>
              <w:rPr>
                <w:sz w:val="20"/>
                <w:szCs w:val="20"/>
                <w:color w:val="auto"/>
              </w:rPr>
            </w:pPr>
            <w:r>
              <w:rPr>
                <w:rFonts w:ascii="Arial" w:cs="Arial" w:eastAsia="Arial" w:hAnsi="Arial"/>
                <w:sz w:val="13"/>
                <w:szCs w:val="13"/>
                <w:b w:val="1"/>
                <w:bCs w:val="1"/>
                <w:color w:val="auto"/>
              </w:rPr>
              <w:t>July 30,</w:t>
            </w:r>
          </w:p>
        </w:tc>
        <w:tc>
          <w:tcPr>
            <w:tcW w:w="120" w:type="dxa"/>
            <w:vAlign w:val="bottom"/>
            <w:tcBorders>
              <w:top w:val="single" w:sz="8" w:color="auto"/>
            </w:tcBorders>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tcPr>
          <w:p>
            <w:pPr>
              <w:jc w:val="right"/>
              <w:ind w:right="372"/>
              <w:spacing w:after="0" w:line="119" w:lineRule="exact"/>
              <w:rPr>
                <w:sz w:val="20"/>
                <w:szCs w:val="20"/>
                <w:color w:val="auto"/>
              </w:rPr>
            </w:pPr>
            <w:r>
              <w:rPr>
                <w:rFonts w:ascii="Arial" w:cs="Arial" w:eastAsia="Arial" w:hAnsi="Arial"/>
                <w:sz w:val="13"/>
                <w:szCs w:val="13"/>
                <w:b w:val="1"/>
                <w:bCs w:val="1"/>
                <w:color w:val="auto"/>
              </w:rPr>
              <w:t>July 31,</w:t>
            </w:r>
          </w:p>
        </w:tc>
        <w:tc>
          <w:tcPr>
            <w:tcW w:w="22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July 30,</w:t>
            </w:r>
          </w:p>
        </w:tc>
        <w:tc>
          <w:tcPr>
            <w:tcW w:w="26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tcPr>
          <w:p>
            <w:pPr>
              <w:jc w:val="right"/>
              <w:ind w:right="352"/>
              <w:spacing w:after="0" w:line="119" w:lineRule="exact"/>
              <w:rPr>
                <w:sz w:val="20"/>
                <w:szCs w:val="20"/>
                <w:color w:val="auto"/>
              </w:rPr>
            </w:pPr>
            <w:r>
              <w:rPr>
                <w:rFonts w:ascii="Arial" w:cs="Arial" w:eastAsia="Arial" w:hAnsi="Arial"/>
                <w:sz w:val="13"/>
                <w:szCs w:val="13"/>
                <w:b w:val="1"/>
                <w:bCs w:val="1"/>
                <w:color w:val="auto"/>
              </w:rPr>
              <w:t>July 31,</w:t>
            </w: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390,454</w:t>
            </w:r>
          </w:p>
        </w:tc>
        <w:tc>
          <w:tcPr>
            <w:tcW w:w="40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297,154</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755,224</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566,731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183,646</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140,905</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358,890</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268,741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206,808</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156,249</w:t>
            </w:r>
          </w:p>
        </w:tc>
        <w:tc>
          <w:tcPr>
            <w:tcW w:w="2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396,334</w:t>
            </w:r>
          </w:p>
        </w:tc>
        <w:tc>
          <w:tcPr>
            <w:tcW w:w="2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297,990</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Operating expenses:</w:t>
            </w: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w:t>
            </w:r>
          </w:p>
        </w:tc>
        <w:tc>
          <w:tcPr>
            <w:tcW w:w="2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73,164</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64,036</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145,062</w:t>
            </w:r>
          </w:p>
        </w:tc>
        <w:tc>
          <w:tcPr>
            <w:tcW w:w="2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127,308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160"/>
              <w:spacing w:after="0"/>
              <w:rPr>
                <w:sz w:val="20"/>
                <w:szCs w:val="20"/>
                <w:color w:val="auto"/>
              </w:rPr>
            </w:pPr>
            <w:r>
              <w:rPr>
                <w:rFonts w:ascii="Arial" w:cs="Arial" w:eastAsia="Arial" w:hAnsi="Arial"/>
                <w:sz w:val="18"/>
                <w:szCs w:val="18"/>
                <w:color w:val="auto"/>
              </w:rPr>
              <w:t>Selling and marketing</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21,275</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19,884</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42,264</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38,585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2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8,340</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7,662</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15,078</w:t>
            </w:r>
          </w:p>
        </w:tc>
        <w:tc>
          <w:tcPr>
            <w:tcW w:w="2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14,499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160"/>
              <w:spacing w:after="0"/>
              <w:rPr>
                <w:sz w:val="20"/>
                <w:szCs w:val="20"/>
                <w:color w:val="auto"/>
              </w:rPr>
            </w:pPr>
            <w:r>
              <w:rPr>
                <w:rFonts w:ascii="Arial" w:cs="Arial" w:eastAsia="Arial" w:hAnsi="Arial"/>
                <w:sz w:val="18"/>
                <w:szCs w:val="18"/>
                <w:color w:val="auto"/>
              </w:rPr>
              <w:t>Amortization of stock-based compensation</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517</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1,272</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1,388</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2,660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Amortization/write-off of acquired intangible assets and other</w:t>
            </w:r>
          </w:p>
        </w:tc>
        <w:tc>
          <w:tcPr>
            <w:tcW w:w="2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19,753</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29,759</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39,512</w:t>
            </w:r>
          </w:p>
        </w:tc>
        <w:tc>
          <w:tcPr>
            <w:tcW w:w="2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26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123,049</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122,613</w:t>
            </w:r>
          </w:p>
        </w:tc>
        <w:tc>
          <w:tcPr>
            <w:tcW w:w="22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243,304</w:t>
            </w:r>
          </w:p>
        </w:tc>
        <w:tc>
          <w:tcPr>
            <w:tcW w:w="22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246,069</w:t>
            </w:r>
          </w:p>
        </w:tc>
        <w:tc>
          <w:tcPr>
            <w:tcW w:w="10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83,759</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33,636</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153,030</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51,921</w:t>
            </w: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4,384</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1,616</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7,996</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3,288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88,143</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35,252</w:t>
            </w:r>
          </w:p>
        </w:tc>
        <w:tc>
          <w:tcPr>
            <w:tcW w:w="2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161,026</w:t>
            </w:r>
          </w:p>
        </w:tc>
        <w:tc>
          <w:tcPr>
            <w:tcW w:w="2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55,209</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10,841</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6,628</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20,192</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12,088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1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77,302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28,624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140,834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43,121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0.50</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40" w:type="dxa"/>
            <w:vAlign w:val="bottom"/>
            <w:shd w:val="clear" w:color="auto" w:fill="CCEEFF"/>
          </w:tcPr>
          <w:p>
            <w:pPr>
              <w:spacing w:after="0" w:line="20" w:lineRule="exact"/>
              <w:rPr>
                <w:sz w:val="1"/>
                <w:szCs w:val="1"/>
                <w:color w:val="auto"/>
              </w:rPr>
            </w:pPr>
          </w:p>
        </w:tc>
        <w:tc>
          <w:tcPr>
            <w:tcW w:w="260" w:type="dxa"/>
            <w:vAlign w:val="bottom"/>
            <w:tcBorders>
              <w:bottom w:val="single" w:sz="8" w:color="auto"/>
            </w:tcBorders>
            <w:shd w:val="clear" w:color="auto" w:fill="000000"/>
          </w:tcPr>
          <w:p>
            <w:pPr>
              <w:spacing w:after="0" w:line="20" w:lineRule="exact"/>
              <w:rPr>
                <w:sz w:val="1"/>
                <w:szCs w:val="1"/>
                <w:color w:val="auto"/>
              </w:rPr>
            </w:pPr>
          </w:p>
        </w:tc>
        <w:tc>
          <w:tcPr>
            <w:tcW w:w="112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280" w:type="dxa"/>
            <w:vAlign w:val="bottom"/>
            <w:tcBorders>
              <w:bottom w:val="single" w:sz="8" w:color="auto"/>
            </w:tcBorders>
            <w:shd w:val="clear" w:color="auto" w:fill="000000"/>
          </w:tcPr>
          <w:p>
            <w:pPr>
              <w:spacing w:after="0" w:line="20" w:lineRule="exact"/>
              <w:rPr>
                <w:sz w:val="1"/>
                <w:szCs w:val="1"/>
                <w:color w:val="auto"/>
              </w:rPr>
            </w:pPr>
          </w:p>
        </w:tc>
        <w:tc>
          <w:tcPr>
            <w:tcW w:w="110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80" w:type="dxa"/>
            <w:vAlign w:val="bottom"/>
            <w:tcBorders>
              <w:bottom w:val="single" w:sz="8" w:color="auto"/>
            </w:tcBorders>
            <w:shd w:val="clear" w:color="auto" w:fill="000000"/>
          </w:tcPr>
          <w:p>
            <w:pPr>
              <w:spacing w:after="0" w:line="20" w:lineRule="exact"/>
              <w:rPr>
                <w:sz w:val="1"/>
                <w:szCs w:val="1"/>
                <w:color w:val="auto"/>
              </w:rPr>
            </w:pPr>
          </w:p>
        </w:tc>
        <w:tc>
          <w:tcPr>
            <w:tcW w:w="110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60" w:type="dxa"/>
            <w:vAlign w:val="bottom"/>
            <w:tcBorders>
              <w:bottom w:val="single" w:sz="8" w:color="auto"/>
            </w:tcBorders>
            <w:shd w:val="clear" w:color="auto" w:fill="000000"/>
          </w:tcPr>
          <w:p>
            <w:pPr>
              <w:spacing w:after="0" w:line="20" w:lineRule="exact"/>
              <w:rPr>
                <w:sz w:val="1"/>
                <w:szCs w:val="1"/>
                <w:color w:val="auto"/>
              </w:rPr>
            </w:pPr>
          </w:p>
        </w:tc>
        <w:tc>
          <w:tcPr>
            <w:tcW w:w="110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160" w:type="dxa"/>
            <w:vAlign w:val="bottom"/>
            <w:gridSpan w:val="2"/>
          </w:tcPr>
          <w:p>
            <w:pPr>
              <w:spacing w:after="0" w:line="203" w:lineRule="exact"/>
              <w:rPr>
                <w:sz w:val="20"/>
                <w:szCs w:val="20"/>
                <w:color w:val="auto"/>
              </w:rPr>
            </w:pPr>
            <w:r>
              <w:rPr>
                <w:rFonts w:ascii="Arial" w:cs="Arial" w:eastAsia="Arial" w:hAnsi="Arial"/>
                <w:sz w:val="18"/>
                <w:szCs w:val="18"/>
                <w:color w:val="auto"/>
              </w:rPr>
              <w:t>Diluted net income per share</w:t>
            </w: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1120" w:type="dxa"/>
            <w:vAlign w:val="bottom"/>
          </w:tcPr>
          <w:p>
            <w:pPr>
              <w:jc w:val="right"/>
              <w:spacing w:after="0" w:line="203" w:lineRule="exact"/>
              <w:rPr>
                <w:sz w:val="20"/>
                <w:szCs w:val="20"/>
                <w:color w:val="auto"/>
              </w:rPr>
            </w:pPr>
            <w:r>
              <w:rPr>
                <w:rFonts w:ascii="Arial" w:cs="Arial" w:eastAsia="Arial" w:hAnsi="Arial"/>
                <w:sz w:val="18"/>
                <w:szCs w:val="18"/>
                <w:color w:val="auto"/>
              </w:rPr>
              <w:t>0.25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line="203" w:lineRule="exact"/>
              <w:rPr>
                <w:sz w:val="20"/>
                <w:szCs w:val="20"/>
                <w:color w:val="auto"/>
              </w:rPr>
            </w:pPr>
            <w:r>
              <w:rPr>
                <w:rFonts w:ascii="Arial" w:cs="Arial" w:eastAsia="Arial" w:hAnsi="Arial"/>
                <w:sz w:val="18"/>
                <w:szCs w:val="18"/>
                <w:color w:val="auto"/>
              </w:rPr>
              <w:t>0.10</w:t>
            </w:r>
          </w:p>
        </w:tc>
        <w:tc>
          <w:tcPr>
            <w:tcW w:w="220" w:type="dxa"/>
            <w:vAlign w:val="bottom"/>
          </w:tcPr>
          <w:p>
            <w:pPr>
              <w:spacing w:after="0"/>
              <w:rPr>
                <w:sz w:val="18"/>
                <w:szCs w:val="18"/>
                <w:color w:val="auto"/>
              </w:rPr>
            </w:pPr>
          </w:p>
        </w:tc>
        <w:tc>
          <w:tcPr>
            <w:tcW w:w="280" w:type="dxa"/>
            <w:vAlign w:val="bottom"/>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line="203" w:lineRule="exact"/>
              <w:rPr>
                <w:sz w:val="20"/>
                <w:szCs w:val="20"/>
                <w:color w:val="auto"/>
              </w:rPr>
            </w:pPr>
            <w:r>
              <w:rPr>
                <w:rFonts w:ascii="Arial" w:cs="Arial" w:eastAsia="Arial" w:hAnsi="Arial"/>
                <w:sz w:val="18"/>
                <w:szCs w:val="18"/>
                <w:color w:val="auto"/>
              </w:rPr>
              <w:t>0.45</w:t>
            </w:r>
          </w:p>
        </w:tc>
        <w:tc>
          <w:tcPr>
            <w:tcW w:w="220" w:type="dxa"/>
            <w:vAlign w:val="bottom"/>
          </w:tcPr>
          <w:p>
            <w:pPr>
              <w:spacing w:after="0"/>
              <w:rPr>
                <w:sz w:val="18"/>
                <w:szCs w:val="18"/>
                <w:color w:val="auto"/>
              </w:rPr>
            </w:pPr>
          </w:p>
        </w:tc>
        <w:tc>
          <w:tcPr>
            <w:tcW w:w="260" w:type="dxa"/>
            <w:vAlign w:val="bottom"/>
          </w:tcPr>
          <w:p>
            <w:pPr>
              <w:jc w:val="right"/>
              <w:ind w:right="70"/>
              <w:spacing w:after="0" w:line="203" w:lineRule="exact"/>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line="203" w:lineRule="exact"/>
              <w:rPr>
                <w:sz w:val="20"/>
                <w:szCs w:val="20"/>
                <w:color w:val="auto"/>
              </w:rPr>
            </w:pPr>
            <w:r>
              <w:rPr>
                <w:rFonts w:ascii="Arial" w:cs="Arial" w:eastAsia="Arial" w:hAnsi="Arial"/>
                <w:sz w:val="18"/>
                <w:szCs w:val="18"/>
                <w:color w:val="auto"/>
              </w:rPr>
              <w:t>0.15</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280,916</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267,647</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279,855</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266,063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26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313,107</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296,025</w:t>
            </w:r>
          </w:p>
        </w:tc>
        <w:tc>
          <w:tcPr>
            <w:tcW w:w="2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311,921</w:t>
            </w:r>
          </w:p>
        </w:tc>
        <w:tc>
          <w:tcPr>
            <w:tcW w:w="2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294,600</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4"/>
        </w:trPr>
        <w:tc>
          <w:tcPr>
            <w:tcW w:w="20" w:type="dxa"/>
            <w:vAlign w:val="bottom"/>
          </w:tcPr>
          <w:p>
            <w:pPr>
              <w:spacing w:after="0"/>
              <w:rPr>
                <w:sz w:val="24"/>
                <w:szCs w:val="24"/>
                <w:color w:val="auto"/>
              </w:rPr>
            </w:pPr>
          </w:p>
        </w:tc>
        <w:tc>
          <w:tcPr>
            <w:tcW w:w="514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112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10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10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110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Pro Forma 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940" w:type="dxa"/>
            <w:vAlign w:val="bottom"/>
            <w:gridSpan w:val="6"/>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780" w:type="dxa"/>
            <w:vAlign w:val="bottom"/>
            <w:gridSpan w:val="5"/>
          </w:tcPr>
          <w:p>
            <w:pPr>
              <w:ind w:left="6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14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ind w:left="180"/>
              <w:spacing w:after="0" w:line="119" w:lineRule="exact"/>
              <w:rPr>
                <w:sz w:val="20"/>
                <w:szCs w:val="20"/>
                <w:color w:val="auto"/>
              </w:rPr>
            </w:pPr>
            <w:r>
              <w:rPr>
                <w:rFonts w:ascii="Arial" w:cs="Arial" w:eastAsia="Arial" w:hAnsi="Arial"/>
                <w:sz w:val="13"/>
                <w:szCs w:val="13"/>
                <w:b w:val="1"/>
                <w:bCs w:val="1"/>
                <w:color w:val="auto"/>
              </w:rPr>
              <w:t>July 30,</w:t>
            </w:r>
          </w:p>
        </w:tc>
        <w:tc>
          <w:tcPr>
            <w:tcW w:w="120" w:type="dxa"/>
            <w:vAlign w:val="bottom"/>
            <w:tcBorders>
              <w:top w:val="single" w:sz="8" w:color="auto"/>
            </w:tcBorders>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tcPr>
          <w:p>
            <w:pPr>
              <w:jc w:val="right"/>
              <w:ind w:right="377"/>
              <w:spacing w:after="0" w:line="119" w:lineRule="exact"/>
              <w:rPr>
                <w:sz w:val="20"/>
                <w:szCs w:val="20"/>
                <w:color w:val="auto"/>
              </w:rPr>
            </w:pPr>
            <w:r>
              <w:rPr>
                <w:rFonts w:ascii="Arial" w:cs="Arial" w:eastAsia="Arial" w:hAnsi="Arial"/>
                <w:sz w:val="13"/>
                <w:szCs w:val="13"/>
                <w:b w:val="1"/>
                <w:bCs w:val="1"/>
                <w:color w:val="auto"/>
              </w:rPr>
              <w:t>July 31,</w:t>
            </w:r>
          </w:p>
        </w:tc>
        <w:tc>
          <w:tcPr>
            <w:tcW w:w="22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July 30,</w:t>
            </w:r>
          </w:p>
        </w:tc>
        <w:tc>
          <w:tcPr>
            <w:tcW w:w="26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tcPr>
          <w:p>
            <w:pPr>
              <w:jc w:val="right"/>
              <w:ind w:right="357"/>
              <w:spacing w:after="0" w:line="119" w:lineRule="exact"/>
              <w:rPr>
                <w:sz w:val="20"/>
                <w:szCs w:val="20"/>
                <w:color w:val="auto"/>
              </w:rPr>
            </w:pPr>
            <w:r>
              <w:rPr>
                <w:rFonts w:ascii="Arial" w:cs="Arial" w:eastAsia="Arial" w:hAnsi="Arial"/>
                <w:sz w:val="13"/>
                <w:szCs w:val="13"/>
                <w:b w:val="1"/>
                <w:bCs w:val="1"/>
                <w:color w:val="auto"/>
              </w:rPr>
              <w:t>July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78"/>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8"/>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390,454</w:t>
            </w:r>
          </w:p>
        </w:tc>
        <w:tc>
          <w:tcPr>
            <w:tcW w:w="4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297,154</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755,224</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566,731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Cost of goods sold</w:t>
            </w:r>
          </w:p>
        </w:tc>
        <w:tc>
          <w:tcPr>
            <w:tcW w:w="26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183,646</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140,905</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358,890</w:t>
            </w:r>
          </w:p>
        </w:tc>
        <w:tc>
          <w:tcPr>
            <w:tcW w:w="26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268,741</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206,808</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156,249</w:t>
            </w:r>
          </w:p>
        </w:tc>
        <w:tc>
          <w:tcPr>
            <w:tcW w:w="2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396,334</w:t>
            </w:r>
          </w:p>
        </w:tc>
        <w:tc>
          <w:tcPr>
            <w:tcW w:w="2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297,990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Operating expenses:</w:t>
            </w: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w:t>
            </w:r>
          </w:p>
        </w:tc>
        <w:tc>
          <w:tcPr>
            <w:tcW w:w="2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73,164</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64,036</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145,062</w:t>
            </w:r>
          </w:p>
        </w:tc>
        <w:tc>
          <w:tcPr>
            <w:tcW w:w="2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127,308</w:t>
            </w:r>
          </w:p>
        </w:tc>
        <w:tc>
          <w:tcPr>
            <w:tcW w:w="0" w:type="dxa"/>
            <w:vAlign w:val="bottom"/>
          </w:tcPr>
          <w:p>
            <w:pPr>
              <w:spacing w:after="0"/>
              <w:rPr>
                <w:sz w:val="1"/>
                <w:szCs w:val="1"/>
                <w:color w:val="auto"/>
              </w:rPr>
            </w:pPr>
          </w:p>
        </w:tc>
      </w:tr>
    </w:tbl>
    <w:p>
      <w:pPr>
        <w:sectPr>
          <w:pgSz w:w="11900" w:h="16838" w:orient="portrait"/>
          <w:cols w:equalWidth="0" w:num="1">
            <w:col w:w="11440"/>
          </w:cols>
          <w:pgMar w:left="240" w:top="580" w:right="219" w:bottom="0" w:gutter="0" w:footer="0" w:header="0"/>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5140" w:type="dxa"/>
            <w:vAlign w:val="bottom"/>
          </w:tcPr>
          <w:p>
            <w:pPr>
              <w:ind w:left="160"/>
              <w:spacing w:after="0"/>
              <w:rPr>
                <w:sz w:val="20"/>
                <w:szCs w:val="20"/>
                <w:color w:val="auto"/>
              </w:rPr>
            </w:pPr>
            <w:r>
              <w:rPr>
                <w:rFonts w:ascii="Arial" w:cs="Arial" w:eastAsia="Arial" w:hAnsi="Arial"/>
                <w:sz w:val="18"/>
                <w:szCs w:val="18"/>
                <w:color w:val="auto"/>
              </w:rPr>
              <w:t>Selling and marketing</w:t>
            </w:r>
          </w:p>
        </w:tc>
        <w:tc>
          <w:tcPr>
            <w:tcW w:w="440" w:type="dxa"/>
            <w:vAlign w:val="bottom"/>
          </w:tcPr>
          <w:p>
            <w:pPr>
              <w:spacing w:after="0"/>
              <w:rPr>
                <w:sz w:val="20"/>
                <w:szCs w:val="20"/>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21,275</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19,884</w:t>
            </w:r>
          </w:p>
        </w:tc>
        <w:tc>
          <w:tcPr>
            <w:tcW w:w="440" w:type="dxa"/>
            <w:vAlign w:val="bottom"/>
          </w:tcPr>
          <w:p>
            <w:pPr>
              <w:spacing w:after="0"/>
              <w:rPr>
                <w:sz w:val="20"/>
                <w:szCs w:val="20"/>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42,264</w:t>
            </w:r>
          </w:p>
        </w:tc>
        <w:tc>
          <w:tcPr>
            <w:tcW w:w="420" w:type="dxa"/>
            <w:vAlign w:val="bottom"/>
          </w:tcPr>
          <w:p>
            <w:pPr>
              <w:spacing w:after="0"/>
              <w:rPr>
                <w:sz w:val="20"/>
                <w:szCs w:val="20"/>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38,585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8,340</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7,662</w:t>
            </w: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15,078</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14,499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102,779</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91,582</w:t>
            </w:r>
          </w:p>
        </w:tc>
        <w:tc>
          <w:tcPr>
            <w:tcW w:w="22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202,404</w:t>
            </w:r>
          </w:p>
        </w:tc>
        <w:tc>
          <w:tcPr>
            <w:tcW w:w="220" w:type="dxa"/>
            <w:vAlign w:val="bottom"/>
            <w:tcBorders>
              <w:bottom w:val="single" w:sz="8" w:color="CCEEFF"/>
            </w:tcBorders>
          </w:tcPr>
          <w:p>
            <w:pPr>
              <w:spacing w:after="0"/>
              <w:rPr>
                <w:sz w:val="18"/>
                <w:szCs w:val="18"/>
                <w:color w:val="auto"/>
              </w:rPr>
            </w:pPr>
          </w:p>
        </w:tc>
        <w:tc>
          <w:tcPr>
            <w:tcW w:w="42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180,392</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104,029</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64,667</w:t>
            </w: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193,930</w:t>
            </w: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4,384</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1,616</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7,996</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3,288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108,413</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66,283</w:t>
            </w: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201,926</w:t>
            </w: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120,886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10,841</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6,628</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20,192</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12,088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1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Pro forma net income</w:t>
            </w:r>
          </w:p>
        </w:tc>
        <w:tc>
          <w:tcPr>
            <w:tcW w:w="440" w:type="dxa"/>
            <w:vAlign w:val="bottom"/>
            <w:tcBorders>
              <w:top w:val="single" w:sz="8" w:color="auto"/>
              <w:bottom w:val="single" w:sz="8" w:color="auto"/>
            </w:tcBorders>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97,572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59,655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181,734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108,798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Basic pro forma net income per share</w:t>
            </w:r>
          </w:p>
        </w:tc>
        <w:tc>
          <w:tcPr>
            <w:tcW w:w="440" w:type="dxa"/>
            <w:vAlign w:val="bottom"/>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0.65</w:t>
            </w:r>
          </w:p>
        </w:tc>
        <w:tc>
          <w:tcPr>
            <w:tcW w:w="42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40" w:type="dxa"/>
            <w:vAlign w:val="bottom"/>
            <w:shd w:val="clear" w:color="auto" w:fill="CCEEFF"/>
          </w:tcPr>
          <w:p>
            <w:pPr>
              <w:spacing w:after="0" w:line="20" w:lineRule="exact"/>
              <w:rPr>
                <w:sz w:val="1"/>
                <w:szCs w:val="1"/>
                <w:color w:val="auto"/>
              </w:rPr>
            </w:pPr>
          </w:p>
        </w:tc>
        <w:tc>
          <w:tcPr>
            <w:tcW w:w="44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44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44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42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160" w:type="dxa"/>
            <w:vAlign w:val="bottom"/>
            <w:gridSpan w:val="2"/>
          </w:tcPr>
          <w:p>
            <w:pPr>
              <w:spacing w:after="0" w:line="203" w:lineRule="exact"/>
              <w:rPr>
                <w:sz w:val="20"/>
                <w:szCs w:val="20"/>
                <w:color w:val="auto"/>
              </w:rPr>
            </w:pPr>
            <w:r>
              <w:rPr>
                <w:rFonts w:ascii="Arial" w:cs="Arial" w:eastAsia="Arial" w:hAnsi="Arial"/>
                <w:sz w:val="18"/>
                <w:szCs w:val="18"/>
                <w:color w:val="auto"/>
              </w:rPr>
              <w:t>Diluted pro forma net income per share</w:t>
            </w:r>
          </w:p>
        </w:tc>
        <w:tc>
          <w:tcPr>
            <w:tcW w:w="440" w:type="dxa"/>
            <w:vAlign w:val="bottom"/>
          </w:tcPr>
          <w:p>
            <w:pPr>
              <w:jc w:val="right"/>
              <w:ind w:right="285"/>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line="203" w:lineRule="exact"/>
              <w:rPr>
                <w:sz w:val="20"/>
                <w:szCs w:val="20"/>
                <w:color w:val="auto"/>
              </w:rPr>
            </w:pPr>
            <w:r>
              <w:rPr>
                <w:rFonts w:ascii="Arial" w:cs="Arial" w:eastAsia="Arial" w:hAnsi="Arial"/>
                <w:sz w:val="18"/>
                <w:szCs w:val="18"/>
                <w:color w:val="auto"/>
              </w:rPr>
              <w:t>0.31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ind w:right="250"/>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line="203" w:lineRule="exact"/>
              <w:rPr>
                <w:sz w:val="20"/>
                <w:szCs w:val="20"/>
                <w:color w:val="auto"/>
              </w:rPr>
            </w:pPr>
            <w:r>
              <w:rPr>
                <w:rFonts w:ascii="Arial" w:cs="Arial" w:eastAsia="Arial" w:hAnsi="Arial"/>
                <w:sz w:val="18"/>
                <w:szCs w:val="18"/>
                <w:color w:val="auto"/>
              </w:rPr>
              <w:t>0.20</w:t>
            </w:r>
          </w:p>
        </w:tc>
        <w:tc>
          <w:tcPr>
            <w:tcW w:w="220" w:type="dxa"/>
            <w:vAlign w:val="bottom"/>
          </w:tcPr>
          <w:p>
            <w:pPr>
              <w:spacing w:after="0"/>
              <w:rPr>
                <w:sz w:val="18"/>
                <w:szCs w:val="18"/>
                <w:color w:val="auto"/>
              </w:rPr>
            </w:pPr>
          </w:p>
        </w:tc>
        <w:tc>
          <w:tcPr>
            <w:tcW w:w="440" w:type="dxa"/>
            <w:vAlign w:val="bottom"/>
          </w:tcPr>
          <w:p>
            <w:pPr>
              <w:jc w:val="right"/>
              <w:ind w:right="250"/>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line="203" w:lineRule="exact"/>
              <w:rPr>
                <w:sz w:val="20"/>
                <w:szCs w:val="20"/>
                <w:color w:val="auto"/>
              </w:rPr>
            </w:pPr>
            <w:r>
              <w:rPr>
                <w:rFonts w:ascii="Arial" w:cs="Arial" w:eastAsia="Arial" w:hAnsi="Arial"/>
                <w:sz w:val="18"/>
                <w:szCs w:val="18"/>
                <w:color w:val="auto"/>
              </w:rPr>
              <w:t>0.58</w:t>
            </w:r>
          </w:p>
        </w:tc>
        <w:tc>
          <w:tcPr>
            <w:tcW w:w="220" w:type="dxa"/>
            <w:vAlign w:val="bottom"/>
          </w:tcPr>
          <w:p>
            <w:pPr>
              <w:spacing w:after="0"/>
              <w:rPr>
                <w:sz w:val="18"/>
                <w:szCs w:val="18"/>
                <w:color w:val="auto"/>
              </w:rPr>
            </w:pPr>
          </w:p>
        </w:tc>
        <w:tc>
          <w:tcPr>
            <w:tcW w:w="420" w:type="dxa"/>
            <w:vAlign w:val="bottom"/>
          </w:tcPr>
          <w:p>
            <w:pPr>
              <w:jc w:val="right"/>
              <w:ind w:right="230"/>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line="203" w:lineRule="exact"/>
              <w:rPr>
                <w:sz w:val="20"/>
                <w:szCs w:val="20"/>
                <w:color w:val="auto"/>
              </w:rPr>
            </w:pPr>
            <w:r>
              <w:rPr>
                <w:rFonts w:ascii="Arial" w:cs="Arial" w:eastAsia="Arial" w:hAnsi="Arial"/>
                <w:sz w:val="18"/>
                <w:szCs w:val="18"/>
                <w:color w:val="auto"/>
              </w:rPr>
              <w:t>0.37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280,916</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267,647</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279,855</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266,063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313,107</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296,025</w:t>
            </w: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311,921</w:t>
            </w: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294,600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8"/>
              </w:rPr>
              <w:t>Reconciliation of GAAP net income to pro forma net income:</w:t>
            </w: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GAAP net income</w:t>
            </w:r>
          </w:p>
        </w:tc>
        <w:tc>
          <w:tcPr>
            <w:tcW w:w="440" w:type="dxa"/>
            <w:vAlign w:val="bottom"/>
          </w:tcPr>
          <w:p>
            <w:pPr>
              <w:jc w:val="right"/>
              <w:ind w:right="285"/>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77,302</w:t>
            </w:r>
          </w:p>
        </w:tc>
        <w:tc>
          <w:tcPr>
            <w:tcW w:w="560" w:type="dxa"/>
            <w:vAlign w:val="bottom"/>
            <w:gridSpan w:val="2"/>
          </w:tcPr>
          <w:p>
            <w:pPr>
              <w:jc w:val="right"/>
              <w:ind w:right="25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28,624</w:t>
            </w:r>
          </w:p>
        </w:tc>
        <w:tc>
          <w:tcPr>
            <w:tcW w:w="440" w:type="dxa"/>
            <w:vAlign w:val="bottom"/>
          </w:tcPr>
          <w:p>
            <w:pPr>
              <w:jc w:val="right"/>
              <w:ind w:right="250"/>
              <w:spacing w:after="0"/>
              <w:rPr>
                <w:sz w:val="20"/>
                <w:szCs w:val="20"/>
                <w:color w:val="auto"/>
              </w:rPr>
            </w:pPr>
            <w:r>
              <w:rPr>
                <w:rFonts w:ascii="Arial" w:cs="Arial" w:eastAsia="Arial" w:hAnsi="Arial"/>
                <w:sz w:val="18"/>
                <w:szCs w:val="18"/>
                <w:color w:val="auto"/>
                <w:w w:val="79"/>
              </w:rPr>
              <w:t>$</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140,834</w:t>
            </w:r>
          </w:p>
        </w:tc>
        <w:tc>
          <w:tcPr>
            <w:tcW w:w="420" w:type="dxa"/>
            <w:vAlign w:val="bottom"/>
          </w:tcPr>
          <w:p>
            <w:pPr>
              <w:jc w:val="right"/>
              <w:ind w:right="23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43,121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stock-based compensation</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517</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1,272</w:t>
            </w: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1,388</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Amortization/write-off of acquired intangible assets and other</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19,753</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29,759</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39,512</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63,017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1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Pro forma net income</w:t>
            </w:r>
          </w:p>
        </w:tc>
        <w:tc>
          <w:tcPr>
            <w:tcW w:w="440" w:type="dxa"/>
            <w:vAlign w:val="bottom"/>
            <w:tcBorders>
              <w:top w:val="single" w:sz="8" w:color="auto"/>
              <w:bottom w:val="single" w:sz="8" w:color="auto"/>
            </w:tcBorders>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97,572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59,655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181,734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108,798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300"/>
        <w:spacing w:after="0" w:line="257" w:lineRule="auto"/>
        <w:rPr>
          <w:sz w:val="20"/>
          <w:szCs w:val="20"/>
          <w:color w:val="auto"/>
        </w:rPr>
      </w:pPr>
      <w:r>
        <w:rPr>
          <w:rFonts w:ascii="Arial" w:cs="Arial" w:eastAsia="Arial" w:hAnsi="Arial"/>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under generally accepted accounting principles for the impact of non cash stock-based compensation charges, non-cash charges associated with purchase accounting and other write-off related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177800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rPr>
              <w:t>July 30,</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January 29,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8320" w:type="dxa"/>
            <w:vAlign w:val="bottom"/>
            <w:tcBorders>
              <w:bottom w:val="single" w:sz="8" w:color="CCEEFF"/>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cash equivalents and short-term investments</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847,064</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660,014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Accounts receivable, net</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210,209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200,954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Inventory, net</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114,187</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128,889</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85,250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27,937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1,256,710</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1,017,794</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195,677</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161,770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Goodwill and acquired intangible assets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1,521,124</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1,560,636</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67,450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48,762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20" w:type="dxa"/>
            <w:vAlign w:val="bottom"/>
            <w:tcBorders>
              <w:top w:val="single" w:sz="8" w:color="CCEEFF"/>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assets</w:t>
            </w: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3,040,961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8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payable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139,674</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129,728</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54,060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52,740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4,150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3,195</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17,660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15,938</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15,840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13,204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28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231,384</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214,805</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21,678</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11,590</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97,516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65,137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w:t>
            </w: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350,578</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291,532</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8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Common stock</w:t>
            </w:r>
          </w:p>
        </w:tc>
        <w:tc>
          <w:tcPr>
            <w:tcW w:w="280" w:type="dxa"/>
            <w:vAlign w:val="bottom"/>
          </w:tcPr>
          <w:p>
            <w:pPr>
              <w:spacing w:after="0"/>
              <w:rPr>
                <w:sz w:val="18"/>
                <w:szCs w:val="18"/>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564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555</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3,086,751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3,035,200</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Deferred stock-based compensation</w:t>
            </w:r>
          </w:p>
        </w:tc>
        <w:tc>
          <w:tcPr>
            <w:tcW w:w="280" w:type="dxa"/>
            <w:vAlign w:val="bottom"/>
          </w:tcPr>
          <w:p>
            <w:pPr>
              <w:spacing w:after="0"/>
              <w:rPr>
                <w:sz w:val="18"/>
                <w:szCs w:val="18"/>
                <w:color w:val="auto"/>
              </w:rPr>
            </w:pPr>
          </w:p>
        </w:tc>
        <w:tc>
          <w:tcPr>
            <w:tcW w:w="1320" w:type="dxa"/>
            <w:vAlign w:val="bottom"/>
            <w:gridSpan w:val="2"/>
          </w:tcPr>
          <w:p>
            <w:pPr>
              <w:jc w:val="right"/>
              <w:ind w:right="160"/>
              <w:spacing w:after="0"/>
              <w:rPr>
                <w:sz w:val="20"/>
                <w:szCs w:val="20"/>
                <w:color w:val="auto"/>
              </w:rPr>
            </w:pPr>
            <w:r>
              <w:rPr>
                <w:rFonts w:ascii="Arial" w:cs="Arial" w:eastAsia="Arial" w:hAnsi="Arial"/>
                <w:sz w:val="18"/>
                <w:szCs w:val="18"/>
                <w:color w:val="auto"/>
              </w:rPr>
              <w:t>(1,966)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(3,400)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other comprehensive loss</w:t>
            </w:r>
          </w:p>
        </w:tc>
        <w:tc>
          <w:tcPr>
            <w:tcW w:w="2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(2,682)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(1,807)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20" w:type="dxa"/>
            <w:vAlign w:val="bottom"/>
          </w:tcPr>
          <w:p>
            <w:pPr>
              <w:ind w:left="160"/>
              <w:spacing w:after="0"/>
              <w:rPr>
                <w:sz w:val="20"/>
                <w:szCs w:val="20"/>
                <w:color w:val="auto"/>
              </w:rPr>
            </w:pPr>
            <w:r>
              <w:rPr>
                <w:rFonts w:ascii="Arial" w:cs="Arial" w:eastAsia="Arial" w:hAnsi="Arial"/>
                <w:sz w:val="18"/>
                <w:szCs w:val="18"/>
                <w:color w:val="auto"/>
              </w:rPr>
              <w:t>Accumulated deficit</w:t>
            </w:r>
          </w:p>
        </w:tc>
        <w:tc>
          <w:tcPr>
            <w:tcW w:w="280" w:type="dxa"/>
            <w:vAlign w:val="bottom"/>
          </w:tcPr>
          <w:p>
            <w:pPr>
              <w:spacing w:after="0"/>
              <w:rPr>
                <w:sz w:val="18"/>
                <w:szCs w:val="18"/>
                <w:color w:val="auto"/>
              </w:rPr>
            </w:pPr>
          </w:p>
        </w:tc>
        <w:tc>
          <w:tcPr>
            <w:tcW w:w="1320" w:type="dxa"/>
            <w:vAlign w:val="bottom"/>
            <w:gridSpan w:val="2"/>
          </w:tcPr>
          <w:p>
            <w:pPr>
              <w:jc w:val="right"/>
              <w:ind w:right="160"/>
              <w:spacing w:after="0"/>
              <w:rPr>
                <w:sz w:val="20"/>
                <w:szCs w:val="20"/>
                <w:color w:val="auto"/>
              </w:rPr>
            </w:pPr>
            <w:r>
              <w:rPr>
                <w:rFonts w:ascii="Arial" w:cs="Arial" w:eastAsia="Arial" w:hAnsi="Arial"/>
                <w:sz w:val="18"/>
                <w:szCs w:val="18"/>
                <w:color w:val="auto"/>
              </w:rPr>
              <w:t>(392,284)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(533,118)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shareholders’ equity</w:t>
            </w: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2,690,383</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2,497,430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20" w:type="dxa"/>
            <w:vAlign w:val="bottom"/>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3,040,961</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8320" w:type="dxa"/>
            <w:vAlign w:val="bottom"/>
            <w:tcBorders>
              <w:bottom w:val="single" w:sz="8" w:color="808080"/>
            </w:tcBorders>
          </w:tcPr>
          <w:p>
            <w:pPr>
              <w:spacing w:after="0"/>
              <w:rPr>
                <w:sz w:val="24"/>
                <w:szCs w:val="24"/>
                <w:color w:val="auto"/>
              </w:rPr>
            </w:pPr>
          </w:p>
        </w:tc>
        <w:tc>
          <w:tcPr>
            <w:tcW w:w="280" w:type="dxa"/>
            <w:vAlign w:val="bottom"/>
            <w:tcBorders>
              <w:bottom w:val="single" w:sz="8" w:color="808080"/>
            </w:tcBorders>
          </w:tcPr>
          <w:p>
            <w:pPr>
              <w:spacing w:after="0"/>
              <w:rPr>
                <w:sz w:val="24"/>
                <w:szCs w:val="24"/>
                <w:color w:val="auto"/>
              </w:rPr>
            </w:pPr>
          </w:p>
        </w:tc>
        <w:tc>
          <w:tcPr>
            <w:tcW w:w="110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125" w:right="219" w:bottom="654"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2019-12-14T19:22:17Z</dcterms:created>
  <dcterms:modified xsi:type="dcterms:W3CDTF">2019-12-14T19:22:17Z</dcterms:modified>
</cp:coreProperties>
</file>