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18"/>
          <w:szCs w:val="18"/>
          <w:color w:val="auto"/>
        </w:rPr>
        <w:t>As filed with the Securities and Exchange Commission on November 21, 2005</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Registration No. 333-129834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74295</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142875</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r>
    </w:p>
    <w:p>
      <w:pPr>
        <w:spacing w:after="0" w:line="200" w:lineRule="exact"/>
        <w:rPr>
          <w:sz w:val="24"/>
          <w:szCs w:val="24"/>
          <w:color w:val="auto"/>
        </w:rPr>
      </w:pPr>
    </w:p>
    <w:p>
      <w:pPr>
        <w:spacing w:after="0" w:line="234"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64770</wp:posOffset>
            </wp:positionV>
            <wp:extent cx="182689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65"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Amendment No. 1</w:t>
      </w:r>
    </w:p>
    <w:p>
      <w:pPr>
        <w:spacing w:after="0" w:line="5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to</w:t>
      </w:r>
    </w:p>
    <w:p>
      <w:pPr>
        <w:spacing w:after="0" w:line="25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S-3</w:t>
      </w:r>
    </w:p>
    <w:p>
      <w:pPr>
        <w:spacing w:after="0" w:line="118"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REGISTRATION STATEMENT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under</w:t>
      </w:r>
    </w:p>
    <w:p>
      <w:pPr>
        <w:jc w:val="center"/>
        <w:spacing w:after="0"/>
        <w:rPr>
          <w:sz w:val="20"/>
          <w:szCs w:val="20"/>
          <w:color w:val="auto"/>
        </w:rPr>
      </w:pPr>
      <w:r>
        <w:rPr>
          <w:rFonts w:ascii="Arial" w:cs="Arial" w:eastAsia="Arial" w:hAnsi="Arial"/>
          <w:sz w:val="22"/>
          <w:szCs w:val="22"/>
          <w:b w:val="1"/>
          <w:b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55880</wp:posOffset>
            </wp:positionV>
            <wp:extent cx="182689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148"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20"/>
          </w:cols>
          <w:pgMar w:left="240" w:top="233" w:right="239" w:bottom="261" w:gutter="0" w:footer="0" w:header="0"/>
        </w:sectPr>
      </w:pPr>
    </w:p>
    <w:p>
      <w:pPr>
        <w:spacing w:after="0" w:line="7" w:lineRule="exact"/>
        <w:rPr>
          <w:sz w:val="24"/>
          <w:szCs w:val="24"/>
          <w:color w:val="auto"/>
        </w:rPr>
      </w:pPr>
    </w:p>
    <w:p>
      <w:pPr>
        <w:jc w:val="center"/>
        <w:ind w:right="780"/>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780"/>
        <w:spacing w:after="0"/>
        <w:rPr>
          <w:sz w:val="20"/>
          <w:szCs w:val="20"/>
          <w:color w:val="auto"/>
        </w:rPr>
      </w:pPr>
      <w:r>
        <w:rPr>
          <w:rFonts w:ascii="Arial" w:cs="Arial" w:eastAsia="Arial" w:hAnsi="Arial"/>
          <w:sz w:val="16"/>
          <w:szCs w:val="16"/>
          <w:color w:val="auto"/>
        </w:rPr>
        <w:t>(State or other jurisdiction of incorporation or organization)</w:t>
      </w:r>
    </w:p>
    <w:p>
      <w:pPr>
        <w:spacing w:after="0" w:line="20" w:lineRule="exact"/>
        <w:rPr>
          <w:sz w:val="24"/>
          <w:szCs w:val="24"/>
          <w:color w:val="auto"/>
        </w:rPr>
      </w:pPr>
      <w:r>
        <w:rPr>
          <w:sz w:val="24"/>
          <w:szCs w:val="24"/>
          <w:color w:val="auto"/>
        </w:rPr>
        <w:br w:type="column"/>
      </w:r>
    </w:p>
    <w:p>
      <w:pPr>
        <w:jc w:val="center"/>
        <w:ind w:right="1280"/>
        <w:spacing w:after="0"/>
        <w:rPr>
          <w:sz w:val="20"/>
          <w:szCs w:val="20"/>
          <w:color w:val="auto"/>
        </w:rPr>
      </w:pPr>
      <w:r>
        <w:rPr>
          <w:rFonts w:ascii="Arial" w:cs="Arial" w:eastAsia="Arial" w:hAnsi="Arial"/>
          <w:sz w:val="18"/>
          <w:szCs w:val="18"/>
          <w:b w:val="1"/>
          <w:bCs w:val="1"/>
          <w:color w:val="auto"/>
        </w:rPr>
        <w:t>77-0481679</w:t>
      </w:r>
    </w:p>
    <w:p>
      <w:pPr>
        <w:spacing w:after="0" w:line="9" w:lineRule="exact"/>
        <w:rPr>
          <w:sz w:val="24"/>
          <w:szCs w:val="24"/>
          <w:color w:val="auto"/>
        </w:rPr>
      </w:pPr>
    </w:p>
    <w:p>
      <w:pPr>
        <w:jc w:val="center"/>
        <w:ind w:right="1280"/>
        <w:spacing w:after="0"/>
        <w:rPr>
          <w:sz w:val="20"/>
          <w:szCs w:val="20"/>
          <w:color w:val="auto"/>
        </w:rPr>
      </w:pPr>
      <w:r>
        <w:rPr>
          <w:rFonts w:ascii="Arial" w:cs="Arial" w:eastAsia="Arial" w:hAnsi="Arial"/>
          <w:sz w:val="17"/>
          <w:szCs w:val="17"/>
          <w:color w:val="auto"/>
        </w:rPr>
        <w:t>(I.R.S. Employer Identification No.)</w:t>
      </w:r>
    </w:p>
    <w:p>
      <w:pPr>
        <w:spacing w:after="0" w:line="164" w:lineRule="exact"/>
        <w:rPr>
          <w:sz w:val="24"/>
          <w:szCs w:val="24"/>
          <w:color w:val="auto"/>
        </w:rPr>
      </w:pPr>
    </w:p>
    <w:p>
      <w:pPr>
        <w:sectPr>
          <w:pgSz w:w="11900" w:h="16838" w:orient="portrait"/>
          <w:cols w:equalWidth="0" w:num="2">
            <w:col w:w="6800" w:space="720"/>
            <w:col w:w="3900"/>
          </w:cols>
          <w:pgMar w:left="240" w:top="233" w:right="239" w:bottom="261" w:gutter="0" w:footer="0" w:header="0"/>
          <w:type w:val="continuous"/>
        </w:sect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(Address, including zip code, and telephone number, including area code, of registrant’s principal executive offices)</w:t>
      </w:r>
    </w:p>
    <w:p>
      <w:pPr>
        <w:spacing w:after="0" w:line="9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MATTHEW GLOSS</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i w:val="1"/>
          <w:iCs w:val="1"/>
          <w:color w:val="auto"/>
        </w:rPr>
        <w:t>Vice President of Business Affairs and General Counsel</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700 First Avenue</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Sunnyvale, California 94089</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(Name, address, including zip code, and telephone number, including area code, of agent for service)</w:t>
      </w:r>
    </w:p>
    <w:p>
      <w:pPr>
        <w:spacing w:after="0" w:line="103" w:lineRule="exact"/>
        <w:rPr>
          <w:sz w:val="24"/>
          <w:szCs w:val="24"/>
          <w:color w:val="auto"/>
        </w:rPr>
      </w:pPr>
    </w:p>
    <w:p>
      <w:pPr>
        <w:jc w:val="center"/>
        <w:ind w:right="-19"/>
        <w:spacing w:after="0"/>
        <w:rPr>
          <w:sz w:val="20"/>
          <w:szCs w:val="20"/>
          <w:color w:val="auto"/>
        </w:rPr>
      </w:pPr>
      <w:r>
        <w:rPr>
          <w:rFonts w:ascii="Arial" w:cs="Arial" w:eastAsia="Arial" w:hAnsi="Arial"/>
          <w:sz w:val="18"/>
          <w:szCs w:val="18"/>
          <w:i w:val="1"/>
          <w:iCs w:val="1"/>
          <w:color w:val="auto"/>
        </w:rPr>
        <w:t>Copies to:</w:t>
      </w:r>
    </w:p>
    <w:p>
      <w:pPr>
        <w:spacing w:after="0" w:line="5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Stanton D. Wong</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Pillsbury Winthrop Shaw Pittman LLP</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P.O. Box 7880</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San Francisco, California 94120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66040</wp:posOffset>
            </wp:positionV>
            <wp:extent cx="182689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160"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Approximate date of commencement of proposed sale to the public:</w:t>
      </w:r>
    </w:p>
    <w:p>
      <w:pPr>
        <w:spacing w:after="0" w:line="27" w:lineRule="exact"/>
        <w:rPr>
          <w:sz w:val="24"/>
          <w:szCs w:val="24"/>
          <w:color w:val="auto"/>
        </w:rPr>
      </w:pPr>
    </w:p>
    <w:p>
      <w:pPr>
        <w:ind w:left="3180"/>
        <w:spacing w:after="0"/>
        <w:rPr>
          <w:sz w:val="20"/>
          <w:szCs w:val="20"/>
          <w:color w:val="auto"/>
        </w:rPr>
      </w:pPr>
      <w:r>
        <w:rPr>
          <w:rFonts w:ascii="Arial" w:cs="Arial" w:eastAsia="Arial" w:hAnsi="Arial"/>
          <w:sz w:val="18"/>
          <w:szCs w:val="18"/>
          <w:color w:val="auto"/>
        </w:rPr>
        <w:t>From time to time after this Registration Statement becomes effective.</w:t>
      </w:r>
    </w:p>
    <w:p>
      <w:pPr>
        <w:spacing w:after="0" w:line="157" w:lineRule="exact"/>
        <w:rPr>
          <w:sz w:val="24"/>
          <w:szCs w:val="24"/>
          <w:color w:val="auto"/>
        </w:rPr>
      </w:pPr>
    </w:p>
    <w:p>
      <w:pPr>
        <w:ind w:left="660"/>
        <w:spacing w:after="0"/>
        <w:rPr>
          <w:sz w:val="20"/>
          <w:szCs w:val="20"/>
          <w:color w:val="auto"/>
        </w:rPr>
      </w:pPr>
      <w:r>
        <w:rPr>
          <w:rFonts w:ascii="Arial" w:cs="Arial" w:eastAsia="Arial" w:hAnsi="Arial"/>
          <w:sz w:val="16"/>
          <w:szCs w:val="16"/>
          <w:color w:val="auto"/>
        </w:rPr>
        <w:t>If the only securities being registered on this Form are being offered pursuant to dividend or interest reinvestment plans, please check the following</w:t>
      </w:r>
    </w:p>
    <w:p>
      <w:pPr>
        <w:spacing w:after="0" w:line="46" w:lineRule="exact"/>
        <w:rPr>
          <w:sz w:val="24"/>
          <w:szCs w:val="24"/>
          <w:color w:val="auto"/>
        </w:rPr>
      </w:pPr>
    </w:p>
    <w:p>
      <w:pPr>
        <w:spacing w:after="0"/>
        <w:rPr>
          <w:sz w:val="20"/>
          <w:szCs w:val="20"/>
          <w:color w:val="auto"/>
        </w:rPr>
      </w:pPr>
      <w:r>
        <w:rPr>
          <w:rFonts w:ascii="Arial" w:cs="Arial" w:eastAsia="Arial" w:hAnsi="Arial"/>
          <w:sz w:val="18"/>
          <w:szCs w:val="18"/>
          <w:color w:val="auto"/>
        </w:rPr>
        <w:t>box. o</w:t>
      </w:r>
    </w:p>
    <w:p>
      <w:pPr>
        <w:spacing w:after="0" w:line="62" w:lineRule="exact"/>
        <w:rPr>
          <w:sz w:val="24"/>
          <w:szCs w:val="24"/>
          <w:color w:val="auto"/>
        </w:rPr>
      </w:pPr>
    </w:p>
    <w:p>
      <w:pPr>
        <w:ind w:right="40" w:firstLine="648"/>
        <w:spacing w:after="0" w:line="233" w:lineRule="exact"/>
        <w:rPr>
          <w:sz w:val="20"/>
          <w:szCs w:val="20"/>
          <w:color w:val="auto"/>
        </w:rPr>
      </w:pPr>
      <w:r>
        <w:rPr>
          <w:rFonts w:ascii="Arial" w:cs="Arial" w:eastAsia="Arial" w:hAnsi="Arial"/>
          <w:sz w:val="18"/>
          <w:szCs w:val="18"/>
          <w:color w:val="auto"/>
        </w:rPr>
        <w:t xml:space="preserve">If any of the securities being registered on this Form are to be offered on a delayed or continuous basis pursuant to Rule 415 under the Securities Act of 1933, other than securities offered only in connection with dividend or interest reinvestment plans, check the following box. </w:t>
      </w:r>
      <w:r>
        <w:rPr>
          <w:rFonts w:ascii="MS PGothic" w:cs="MS PGothic" w:eastAsia="MS PGothic" w:hAnsi="MS PGothic"/>
          <w:sz w:val="18"/>
          <w:szCs w:val="18"/>
          <w:color w:val="auto"/>
        </w:rPr>
        <w:t>☒</w:t>
      </w:r>
    </w:p>
    <w:p>
      <w:pPr>
        <w:spacing w:after="0" w:line="34" w:lineRule="exact"/>
        <w:rPr>
          <w:sz w:val="24"/>
          <w:szCs w:val="24"/>
          <w:color w:val="auto"/>
        </w:rPr>
      </w:pPr>
    </w:p>
    <w:p>
      <w:pPr>
        <w:ind w:right="140" w:firstLine="648"/>
        <w:spacing w:after="0" w:line="272" w:lineRule="auto"/>
        <w:rPr>
          <w:sz w:val="20"/>
          <w:szCs w:val="20"/>
          <w:color w:val="auto"/>
        </w:rPr>
      </w:pPr>
      <w:r>
        <w:rPr>
          <w:rFonts w:ascii="Arial" w:cs="Arial" w:eastAsia="Arial" w:hAnsi="Arial"/>
          <w:sz w:val="18"/>
          <w:szCs w:val="18"/>
          <w:color w:val="auto"/>
        </w:rPr>
        <w:t>If this Form is filed to register additional securities for an offering pursuant to Rule 462(b) under the Securities Act, please check the following box and list the Securities Act registration statement number of the earlier effective registration statement for the same offering. o</w:t>
      </w:r>
    </w:p>
    <w:p>
      <w:pPr>
        <w:spacing w:after="0" w:line="233" w:lineRule="exact"/>
        <w:rPr>
          <w:sz w:val="24"/>
          <w:szCs w:val="24"/>
          <w:color w:val="auto"/>
        </w:rPr>
      </w:pPr>
    </w:p>
    <w:p>
      <w:pPr>
        <w:ind w:right="80" w:firstLine="648"/>
        <w:spacing w:after="0" w:line="277" w:lineRule="auto"/>
        <w:rPr>
          <w:sz w:val="20"/>
          <w:szCs w:val="20"/>
          <w:color w:val="auto"/>
        </w:rPr>
      </w:pPr>
      <w:r>
        <w:rPr>
          <w:rFonts w:ascii="Arial" w:cs="Arial" w:eastAsia="Arial" w:hAnsi="Arial"/>
          <w:sz w:val="18"/>
          <w:szCs w:val="18"/>
          <w:color w:val="auto"/>
        </w:rPr>
        <w:t>If this Form is a post-effective amendment filed pursuant to Rule 462(c) under the Securities Act, check the following box and list the Securities Act registration statement number of the earlier effective registration statement for the same offering. o</w:t>
      </w:r>
    </w:p>
    <w:p>
      <w:pPr>
        <w:spacing w:after="0" w:line="22" w:lineRule="exact"/>
        <w:rPr>
          <w:sz w:val="24"/>
          <w:szCs w:val="24"/>
          <w:color w:val="auto"/>
        </w:rPr>
      </w:pPr>
    </w:p>
    <w:p>
      <w:pPr>
        <w:ind w:left="660"/>
        <w:spacing w:after="0"/>
        <w:rPr>
          <w:sz w:val="20"/>
          <w:szCs w:val="20"/>
          <w:color w:val="auto"/>
        </w:rPr>
      </w:pPr>
      <w:r>
        <w:rPr>
          <w:rFonts w:ascii="Arial" w:cs="Arial" w:eastAsia="Arial" w:hAnsi="Arial"/>
          <w:sz w:val="18"/>
          <w:szCs w:val="18"/>
          <w:color w:val="auto"/>
        </w:rPr>
        <w:t>If delivery of the prospectus is expected to be made pursuant to Rule 434, please check the following box. o</w:t>
      </w:r>
    </w:p>
    <w:p>
      <w:pPr>
        <w:spacing w:after="0" w:line="289" w:lineRule="exact"/>
        <w:rPr>
          <w:sz w:val="24"/>
          <w:szCs w:val="24"/>
          <w:color w:val="auto"/>
        </w:rPr>
      </w:pPr>
    </w:p>
    <w:p>
      <w:pPr>
        <w:ind w:right="80" w:firstLine="648"/>
        <w:spacing w:after="0" w:line="261" w:lineRule="auto"/>
        <w:rPr>
          <w:sz w:val="20"/>
          <w:szCs w:val="20"/>
          <w:color w:val="auto"/>
        </w:rPr>
      </w:pPr>
      <w:r>
        <w:rPr>
          <w:rFonts w:ascii="Arial" w:cs="Arial" w:eastAsia="Arial" w:hAnsi="Arial"/>
          <w:sz w:val="18"/>
          <w:szCs w:val="18"/>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Securities and Exchange Commission, acting pursuant to said Section 8(a), may determine.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125730</wp:posOffset>
            </wp:positionV>
            <wp:extent cx="7246620" cy="342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194310</wp:posOffset>
            </wp:positionV>
            <wp:extent cx="7246620" cy="342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295275</wp:posOffset>
            </wp:positionV>
            <wp:extent cx="7267575"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8" w:lineRule="exact"/>
        <w:rPr>
          <w:sz w:val="24"/>
          <w:szCs w:val="24"/>
          <w:color w:val="auto"/>
        </w:rPr>
      </w:pPr>
    </w:p>
    <w:p>
      <w:pPr>
        <w:spacing w:after="0"/>
        <w:rPr>
          <w:sz w:val="20"/>
          <w:szCs w:val="20"/>
          <w:color w:val="auto"/>
        </w:rPr>
      </w:pPr>
      <w:r>
        <w:rPr>
          <w:rFonts w:ascii="Arial" w:cs="Arial" w:eastAsia="Arial" w:hAnsi="Arial"/>
          <w:sz w:val="18"/>
          <w:szCs w:val="18"/>
          <w:color w:val="auto"/>
        </w:rPr>
        <w:t>EXPLANATORY NOTE</w:t>
      </w:r>
    </w:p>
    <w:p>
      <w:pPr>
        <w:spacing w:after="0" w:line="225" w:lineRule="exact"/>
        <w:rPr>
          <w:sz w:val="24"/>
          <w:szCs w:val="24"/>
          <w:color w:val="auto"/>
        </w:rPr>
      </w:pPr>
    </w:p>
    <w:p>
      <w:pPr>
        <w:ind w:right="220"/>
        <w:spacing w:after="0" w:line="277" w:lineRule="auto"/>
        <w:rPr>
          <w:sz w:val="20"/>
          <w:szCs w:val="20"/>
          <w:color w:val="auto"/>
        </w:rPr>
      </w:pPr>
      <w:r>
        <w:rPr>
          <w:rFonts w:ascii="Arial" w:cs="Arial" w:eastAsia="Arial" w:hAnsi="Arial"/>
          <w:sz w:val="18"/>
          <w:szCs w:val="18"/>
          <w:color w:val="auto"/>
        </w:rPr>
        <w:t>The purpose of this Amendment No. 1 to the Registration Statement is to file certain exhibits to the Registration Statement, as set forth below in Item 16 of Part II.</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167005</wp:posOffset>
            </wp:positionV>
            <wp:extent cx="7267575"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233" w:right="239" w:bottom="261"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3580"/>
        <w:spacing w:after="0"/>
        <w:rPr>
          <w:sz w:val="20"/>
          <w:szCs w:val="20"/>
          <w:color w:val="auto"/>
        </w:rPr>
      </w:pPr>
      <w:r>
        <w:rPr>
          <w:rFonts w:ascii="Arial" w:cs="Arial" w:eastAsia="Arial" w:hAnsi="Arial"/>
          <w:sz w:val="18"/>
          <w:szCs w:val="18"/>
          <w:b w:val="1"/>
          <w:bCs w:val="1"/>
          <w:color w:val="auto"/>
        </w:rPr>
        <w:t>INFORMATION NOT REQUIRED IN PROSPECTUS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14. Other Expenses of Issuance and Distribution</w:t>
      </w:r>
    </w:p>
    <w:p>
      <w:pPr>
        <w:spacing w:after="0" w:line="229" w:lineRule="exact"/>
        <w:rPr>
          <w:sz w:val="20"/>
          <w:szCs w:val="20"/>
          <w:color w:val="auto"/>
        </w:rPr>
      </w:pPr>
    </w:p>
    <w:p>
      <w:pPr>
        <w:ind w:right="100" w:firstLine="648"/>
        <w:spacing w:after="0" w:line="264" w:lineRule="auto"/>
        <w:rPr>
          <w:sz w:val="20"/>
          <w:szCs w:val="20"/>
          <w:color w:val="auto"/>
        </w:rPr>
      </w:pPr>
      <w:r>
        <w:rPr>
          <w:rFonts w:ascii="Arial" w:cs="Arial" w:eastAsia="Arial" w:hAnsi="Arial"/>
          <w:sz w:val="18"/>
          <w:szCs w:val="18"/>
          <w:color w:val="auto"/>
        </w:rPr>
        <w:t>The following table sets forth the various expenses payable by the Registrant in connection with the sale and distribution of the securities being registered hereby. Normal commission expenses and brokerage fees are payable individually by the selling shareholder. All amounts are estimated except the SEC registration fee.</w:t>
      </w:r>
    </w:p>
    <w:p>
      <w:pPr>
        <w:spacing w:after="0" w:line="173" w:lineRule="exact"/>
        <w:rPr>
          <w:sz w:val="20"/>
          <w:szCs w:val="20"/>
          <w:color w:val="auto"/>
        </w:rPr>
      </w:pPr>
    </w:p>
    <w:tbl>
      <w:tblPr>
        <w:tblLayout w:type="fixed"/>
        <w:tblInd w:w="1440" w:type="dxa"/>
        <w:tblCellMar>
          <w:top w:w="0" w:type="dxa"/>
          <w:left w:w="0" w:type="dxa"/>
          <w:bottom w:w="0" w:type="dxa"/>
          <w:right w:w="0" w:type="dxa"/>
        </w:tblCellMar>
      </w:tblPr>
      <w:tr>
        <w:trPr>
          <w:trHeight w:val="186"/>
        </w:trPr>
        <w:tc>
          <w:tcPr>
            <w:tcW w:w="66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600" w:type="dxa"/>
            <w:vAlign w:val="bottom"/>
            <w:gridSpan w:val="2"/>
          </w:tcPr>
          <w:p>
            <w:pPr>
              <w:ind w:left="200"/>
              <w:spacing w:after="0"/>
              <w:rPr>
                <w:sz w:val="20"/>
                <w:szCs w:val="20"/>
                <w:color w:val="auto"/>
              </w:rPr>
            </w:pPr>
            <w:r>
              <w:rPr>
                <w:rFonts w:ascii="Arial" w:cs="Arial" w:eastAsia="Arial" w:hAnsi="Arial"/>
                <w:sz w:val="14"/>
                <w:szCs w:val="14"/>
                <w:b w:val="1"/>
                <w:bCs w:val="1"/>
                <w:color w:val="auto"/>
              </w:rPr>
              <w:t>Amount</w:t>
            </w:r>
          </w:p>
        </w:tc>
      </w:tr>
      <w:tr>
        <w:trPr>
          <w:trHeight w:val="201"/>
        </w:trPr>
        <w:tc>
          <w:tcPr>
            <w:tcW w:w="66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216"/>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SEC registration fee</w:t>
            </w:r>
          </w:p>
        </w:tc>
        <w:tc>
          <w:tcPr>
            <w:tcW w:w="3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5,707</w:t>
            </w:r>
          </w:p>
        </w:tc>
        <w:tc>
          <w:tcPr>
            <w:tcW w:w="360" w:type="dxa"/>
            <w:vAlign w:val="bottom"/>
            <w:shd w:val="clear" w:color="auto" w:fill="CCEEFF"/>
          </w:tcPr>
          <w:p>
            <w:pPr>
              <w:spacing w:after="0"/>
              <w:rPr>
                <w:sz w:val="18"/>
                <w:szCs w:val="18"/>
                <w:color w:val="auto"/>
              </w:rPr>
            </w:pPr>
          </w:p>
        </w:tc>
      </w:tr>
      <w:tr>
        <w:trPr>
          <w:trHeight w:val="216"/>
        </w:trPr>
        <w:tc>
          <w:tcPr>
            <w:tcW w:w="6620" w:type="dxa"/>
            <w:vAlign w:val="bottom"/>
          </w:tcPr>
          <w:p>
            <w:pPr>
              <w:ind w:left="20"/>
              <w:spacing w:after="0"/>
              <w:rPr>
                <w:sz w:val="20"/>
                <w:szCs w:val="20"/>
                <w:color w:val="auto"/>
              </w:rPr>
            </w:pPr>
            <w:r>
              <w:rPr>
                <w:rFonts w:ascii="Arial" w:cs="Arial" w:eastAsia="Arial" w:hAnsi="Arial"/>
                <w:sz w:val="18"/>
                <w:szCs w:val="18"/>
                <w:color w:val="auto"/>
              </w:rPr>
              <w:t>Accounting fees and expenses</w:t>
            </w:r>
          </w:p>
        </w:tc>
        <w:tc>
          <w:tcPr>
            <w:tcW w:w="320" w:type="dxa"/>
            <w:vAlign w:val="bottom"/>
          </w:tcPr>
          <w:p>
            <w:pPr>
              <w:spacing w:after="0"/>
              <w:rPr>
                <w:sz w:val="18"/>
                <w:szCs w:val="18"/>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18,000</w:t>
            </w:r>
          </w:p>
        </w:tc>
        <w:tc>
          <w:tcPr>
            <w:tcW w:w="360" w:type="dxa"/>
            <w:vAlign w:val="bottom"/>
          </w:tcPr>
          <w:p>
            <w:pPr>
              <w:spacing w:after="0"/>
              <w:rPr>
                <w:sz w:val="18"/>
                <w:szCs w:val="18"/>
                <w:color w:val="auto"/>
              </w:rPr>
            </w:pPr>
          </w:p>
        </w:tc>
      </w:tr>
      <w:tr>
        <w:trPr>
          <w:trHeight w:val="216"/>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Legal fees and expenses</w:t>
            </w:r>
          </w:p>
        </w:tc>
        <w:tc>
          <w:tcPr>
            <w:tcW w:w="32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w:t>
            </w:r>
          </w:p>
        </w:tc>
        <w:tc>
          <w:tcPr>
            <w:tcW w:w="360" w:type="dxa"/>
            <w:vAlign w:val="bottom"/>
            <w:shd w:val="clear" w:color="auto" w:fill="CCEEFF"/>
          </w:tcPr>
          <w:p>
            <w:pPr>
              <w:spacing w:after="0"/>
              <w:rPr>
                <w:sz w:val="18"/>
                <w:szCs w:val="18"/>
                <w:color w:val="auto"/>
              </w:rPr>
            </w:pPr>
          </w:p>
        </w:tc>
      </w:tr>
      <w:tr>
        <w:trPr>
          <w:trHeight w:val="216"/>
        </w:trPr>
        <w:tc>
          <w:tcPr>
            <w:tcW w:w="66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Miscellaneous fees and expenses</w:t>
            </w:r>
          </w:p>
        </w:tc>
        <w:tc>
          <w:tcPr>
            <w:tcW w:w="320" w:type="dxa"/>
            <w:vAlign w:val="bottom"/>
            <w:tcBorders>
              <w:bottom w:val="single" w:sz="8" w:color="auto"/>
            </w:tcBorders>
          </w:tcPr>
          <w:p>
            <w:pPr>
              <w:spacing w:after="0"/>
              <w:rPr>
                <w:sz w:val="18"/>
                <w:szCs w:val="18"/>
                <w:color w:val="auto"/>
              </w:rPr>
            </w:pP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10,293</w:t>
            </w:r>
          </w:p>
        </w:tc>
        <w:tc>
          <w:tcPr>
            <w:tcW w:w="360" w:type="dxa"/>
            <w:vAlign w:val="bottom"/>
            <w:tcBorders>
              <w:bottom w:val="single" w:sz="8" w:color="CCEEFF"/>
            </w:tcBorders>
          </w:tcPr>
          <w:p>
            <w:pPr>
              <w:spacing w:after="0"/>
              <w:rPr>
                <w:sz w:val="18"/>
                <w:szCs w:val="18"/>
                <w:color w:val="auto"/>
              </w:rPr>
            </w:pPr>
          </w:p>
        </w:tc>
      </w:tr>
      <w:tr>
        <w:trPr>
          <w:trHeight w:val="210"/>
        </w:trPr>
        <w:tc>
          <w:tcPr>
            <w:tcW w:w="66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Total</w:t>
            </w:r>
          </w:p>
        </w:tc>
        <w:tc>
          <w:tcPr>
            <w:tcW w:w="3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49,000</w:t>
            </w:r>
          </w:p>
        </w:tc>
        <w:tc>
          <w:tcPr>
            <w:tcW w:w="360" w:type="dxa"/>
            <w:vAlign w:val="bottom"/>
            <w:shd w:val="clear" w:color="auto" w:fill="CCEEFF"/>
          </w:tcPr>
          <w:p>
            <w:pPr>
              <w:spacing w:after="0"/>
              <w:rPr>
                <w:sz w:val="18"/>
                <w:szCs w:val="18"/>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15. Indemnification of Directors and Officers</w:t>
      </w:r>
    </w:p>
    <w:p>
      <w:pPr>
        <w:spacing w:after="0" w:line="229" w:lineRule="exact"/>
        <w:rPr>
          <w:sz w:val="20"/>
          <w:szCs w:val="20"/>
          <w:color w:val="auto"/>
        </w:rPr>
      </w:pPr>
    </w:p>
    <w:p>
      <w:pPr>
        <w:ind w:right="100" w:firstLine="693"/>
        <w:spacing w:after="0" w:line="302" w:lineRule="auto"/>
        <w:rPr>
          <w:sz w:val="20"/>
          <w:szCs w:val="20"/>
          <w:color w:val="auto"/>
        </w:rPr>
      </w:pPr>
      <w:r>
        <w:rPr>
          <w:rFonts w:ascii="Arial" w:cs="Arial" w:eastAsia="Arial" w:hAnsi="Arial"/>
          <w:sz w:val="16"/>
          <w:szCs w:val="16"/>
          <w:color w:val="auto"/>
        </w:rPr>
        <w:t>Set forth below is a description of certain provisions of the Companies Act of 1981 of Bermuda (the “Companies Act”), the Registrant’s Memorandum of Association, as presently in effect (the “Memorandum of Association”), and the Registrant’s Bye-laws (the “Bye-laws”), as such provisions relate to the indemnification of the directors and officers of the Registrant. This description is intended only as a summary and is qualified in its entirety by reference to the applicable provisions of the Companies Act, the Memorandum of Association and the Bye-laws, which are incorporated herein by reference.</w:t>
      </w:r>
    </w:p>
    <w:p>
      <w:pPr>
        <w:spacing w:after="0" w:line="154" w:lineRule="exact"/>
        <w:rPr>
          <w:sz w:val="20"/>
          <w:szCs w:val="20"/>
          <w:color w:val="auto"/>
        </w:rPr>
      </w:pPr>
    </w:p>
    <w:p>
      <w:pPr>
        <w:jc w:val="both"/>
        <w:ind w:right="360" w:firstLine="648"/>
        <w:spacing w:after="0" w:line="264" w:lineRule="auto"/>
        <w:rPr>
          <w:sz w:val="20"/>
          <w:szCs w:val="20"/>
          <w:color w:val="auto"/>
        </w:rPr>
      </w:pPr>
      <w:r>
        <w:rPr>
          <w:rFonts w:ascii="Arial" w:cs="Arial" w:eastAsia="Arial" w:hAnsi="Arial"/>
          <w:sz w:val="18"/>
          <w:szCs w:val="18"/>
          <w:color w:val="auto"/>
        </w:rPr>
        <w:t>The Companies Act permits the Registrant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Registrant other than in respect of his own fraud or dishonesty.</w:t>
      </w:r>
    </w:p>
    <w:p>
      <w:pPr>
        <w:spacing w:after="0" w:line="181" w:lineRule="exact"/>
        <w:rPr>
          <w:sz w:val="20"/>
          <w:szCs w:val="20"/>
          <w:color w:val="auto"/>
        </w:rPr>
      </w:pPr>
    </w:p>
    <w:p>
      <w:pPr>
        <w:ind w:right="260" w:firstLine="648"/>
        <w:spacing w:after="0" w:line="308" w:lineRule="auto"/>
        <w:rPr>
          <w:sz w:val="20"/>
          <w:szCs w:val="20"/>
          <w:color w:val="auto"/>
        </w:rPr>
      </w:pPr>
      <w:r>
        <w:rPr>
          <w:rFonts w:ascii="Arial" w:cs="Arial" w:eastAsia="Arial" w:hAnsi="Arial"/>
          <w:sz w:val="17"/>
          <w:szCs w:val="17"/>
          <w:color w:val="auto"/>
        </w:rPr>
        <w:t>The Bye-laws provide that every director, officer, committee member and any resident representative of the Registrant be indemnified against any liabilities, loss, damage or expense incurred or suffered in such capacity, subject to limitations imposed in the Companies Act.</w:t>
      </w:r>
    </w:p>
    <w:p>
      <w:pPr>
        <w:spacing w:after="0" w:line="147" w:lineRule="exact"/>
        <w:rPr>
          <w:sz w:val="20"/>
          <w:szCs w:val="20"/>
          <w:color w:val="auto"/>
        </w:rPr>
      </w:pPr>
    </w:p>
    <w:p>
      <w:pPr>
        <w:ind w:right="200" w:firstLine="648"/>
        <w:spacing w:after="0" w:line="259" w:lineRule="auto"/>
        <w:rPr>
          <w:sz w:val="20"/>
          <w:szCs w:val="20"/>
          <w:color w:val="auto"/>
        </w:rPr>
      </w:pPr>
      <w:r>
        <w:rPr>
          <w:rFonts w:ascii="Arial" w:cs="Arial" w:eastAsia="Arial" w:hAnsi="Arial"/>
          <w:sz w:val="18"/>
          <w:szCs w:val="18"/>
          <w:color w:val="auto"/>
        </w:rPr>
        <w:t>The Bye-laws further provide that each shareholder and the Registrant agree to waive any claim or right of action against any director or officer, in respect of any failure to act or any action taken by such director or officer in the performance of his duties with or for the Registrant. The waiver does not extend to claims arising under United States federal securities laws or any claims or rights of action arising from the fraud or dishonesty of the director or officer.</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16. Exhibits</w:t>
      </w:r>
    </w:p>
    <w:p>
      <w:pPr>
        <w:spacing w:after="0" w:line="208" w:lineRule="exact"/>
        <w:rPr>
          <w:sz w:val="20"/>
          <w:szCs w:val="20"/>
          <w:color w:val="auto"/>
        </w:rPr>
      </w:pPr>
    </w:p>
    <w:tbl>
      <w:tblPr>
        <w:tblLayout w:type="fixed"/>
        <w:tblInd w:w="660" w:type="dxa"/>
        <w:tblCellMar>
          <w:top w:w="0" w:type="dxa"/>
          <w:left w:w="0" w:type="dxa"/>
          <w:bottom w:w="0" w:type="dxa"/>
          <w:right w:w="0" w:type="dxa"/>
        </w:tblCellMar>
      </w:tblPr>
      <w:tr>
        <w:trPr>
          <w:trHeight w:val="161"/>
        </w:trPr>
        <w:tc>
          <w:tcPr>
            <w:tcW w:w="282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3860" w:type="dxa"/>
            <w:vAlign w:val="bottom"/>
            <w:vMerge w:val="restart"/>
          </w:tcPr>
          <w:p>
            <w:pPr>
              <w:ind w:left="2320"/>
              <w:spacing w:after="0"/>
              <w:rPr>
                <w:sz w:val="20"/>
                <w:szCs w:val="20"/>
                <w:color w:val="auto"/>
              </w:rPr>
            </w:pPr>
            <w:r>
              <w:rPr>
                <w:rFonts w:ascii="Arial" w:cs="Arial" w:eastAsia="Arial" w:hAnsi="Arial"/>
                <w:sz w:val="14"/>
                <w:szCs w:val="14"/>
                <w:b w:val="1"/>
                <w:bCs w:val="1"/>
                <w:color w:val="auto"/>
                <w:w w:val="91"/>
              </w:rPr>
              <w:t>Description of Document</w:t>
            </w:r>
          </w:p>
        </w:tc>
        <w:tc>
          <w:tcPr>
            <w:tcW w:w="0" w:type="dxa"/>
            <w:vAlign w:val="bottom"/>
          </w:tcPr>
          <w:p>
            <w:pPr>
              <w:spacing w:after="0"/>
              <w:rPr>
                <w:sz w:val="1"/>
                <w:szCs w:val="1"/>
                <w:color w:val="auto"/>
              </w:rPr>
            </w:pPr>
          </w:p>
        </w:tc>
      </w:tr>
      <w:tr>
        <w:trPr>
          <w:trHeight w:val="186"/>
        </w:trPr>
        <w:tc>
          <w:tcPr>
            <w:tcW w:w="2820" w:type="dxa"/>
            <w:vAlign w:val="bottom"/>
          </w:tcPr>
          <w:p>
            <w:pPr>
              <w:spacing w:after="0"/>
              <w:rPr>
                <w:sz w:val="20"/>
                <w:szCs w:val="20"/>
                <w:color w:val="auto"/>
              </w:rPr>
            </w:pPr>
            <w:r>
              <w:rPr>
                <w:rFonts w:ascii="Arial" w:cs="Arial" w:eastAsia="Arial" w:hAnsi="Arial"/>
                <w:sz w:val="14"/>
                <w:szCs w:val="14"/>
                <w:b w:val="1"/>
                <w:bCs w:val="1"/>
                <w:color w:val="auto"/>
              </w:rPr>
              <w:t>Number</w:t>
            </w:r>
          </w:p>
        </w:tc>
        <w:tc>
          <w:tcPr>
            <w:tcW w:w="3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416560</wp:posOffset>
            </wp:positionH>
            <wp:positionV relativeFrom="paragraph">
              <wp:posOffset>-8890</wp:posOffset>
            </wp:positionV>
            <wp:extent cx="673227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732270" cy="8890"/>
                    </a:xfrm>
                    <a:prstGeom prst="rect">
                      <a:avLst/>
                    </a:prstGeom>
                    <a:noFill/>
                  </pic:spPr>
                </pic:pic>
              </a:graphicData>
            </a:graphic>
          </wp:anchor>
        </w:drawing>
      </w:r>
    </w:p>
    <w:p>
      <w:pPr>
        <w:spacing w:after="0" w:line="180" w:lineRule="exact"/>
        <w:rPr>
          <w:sz w:val="20"/>
          <w:szCs w:val="20"/>
          <w:color w:val="auto"/>
        </w:rPr>
      </w:pPr>
    </w:p>
    <w:p>
      <w:pPr>
        <w:ind w:left="1260"/>
        <w:spacing w:after="0"/>
        <w:tabs>
          <w:tab w:leader="none" w:pos="1860" w:val="left"/>
        </w:tabs>
        <w:rPr>
          <w:sz w:val="20"/>
          <w:szCs w:val="20"/>
          <w:color w:val="auto"/>
        </w:rPr>
      </w:pPr>
      <w:r>
        <w:rPr>
          <w:rFonts w:ascii="Arial" w:cs="Arial" w:eastAsia="Arial" w:hAnsi="Arial"/>
          <w:sz w:val="18"/>
          <w:szCs w:val="18"/>
          <w:color w:val="auto"/>
        </w:rPr>
        <w:t>5.1</w:t>
      </w:r>
      <w:r>
        <w:rPr>
          <w:sz w:val="20"/>
          <w:szCs w:val="20"/>
          <w:color w:val="auto"/>
        </w:rPr>
        <w:tab/>
      </w:r>
      <w:r>
        <w:rPr>
          <w:rFonts w:ascii="Arial" w:cs="Arial" w:eastAsia="Arial" w:hAnsi="Arial"/>
          <w:sz w:val="16"/>
          <w:szCs w:val="16"/>
          <w:color w:val="auto"/>
        </w:rPr>
        <w:t>Opinion of Appleby Spurling Hunter.</w:t>
      </w:r>
    </w:p>
    <w:p>
      <w:pPr>
        <w:spacing w:after="0" w:line="225" w:lineRule="exact"/>
        <w:rPr>
          <w:sz w:val="20"/>
          <w:szCs w:val="20"/>
          <w:color w:val="auto"/>
        </w:rPr>
      </w:pPr>
    </w:p>
    <w:p>
      <w:pPr>
        <w:ind w:left="1180"/>
        <w:spacing w:after="0"/>
        <w:tabs>
          <w:tab w:leader="none" w:pos="1860" w:val="left"/>
        </w:tabs>
        <w:rPr>
          <w:sz w:val="20"/>
          <w:szCs w:val="20"/>
          <w:color w:val="auto"/>
        </w:rPr>
      </w:pPr>
      <w:r>
        <w:rPr>
          <w:rFonts w:ascii="Arial" w:cs="Arial" w:eastAsia="Arial" w:hAnsi="Arial"/>
          <w:sz w:val="18"/>
          <w:szCs w:val="18"/>
          <w:color w:val="auto"/>
        </w:rPr>
        <w:t>23.1 **</w:t>
      </w:r>
      <w:r>
        <w:rPr>
          <w:sz w:val="20"/>
          <w:szCs w:val="20"/>
          <w:color w:val="auto"/>
        </w:rPr>
        <w:tab/>
      </w:r>
      <w:r>
        <w:rPr>
          <w:rFonts w:ascii="Arial" w:cs="Arial" w:eastAsia="Arial" w:hAnsi="Arial"/>
          <w:sz w:val="16"/>
          <w:szCs w:val="16"/>
          <w:color w:val="auto"/>
        </w:rPr>
        <w:t>Consent of PricewaterhouseCoopers LLP, Independent Registered Public Accounting Firm.</w:t>
      </w:r>
    </w:p>
    <w:p>
      <w:pPr>
        <w:spacing w:after="0" w:line="225" w:lineRule="exact"/>
        <w:rPr>
          <w:sz w:val="20"/>
          <w:szCs w:val="20"/>
          <w:color w:val="auto"/>
        </w:rPr>
      </w:pPr>
    </w:p>
    <w:p>
      <w:pPr>
        <w:ind w:left="1180"/>
        <w:spacing w:after="0"/>
        <w:tabs>
          <w:tab w:leader="none" w:pos="1860" w:val="left"/>
        </w:tabs>
        <w:rPr>
          <w:sz w:val="20"/>
          <w:szCs w:val="20"/>
          <w:color w:val="auto"/>
        </w:rPr>
      </w:pPr>
      <w:r>
        <w:rPr>
          <w:rFonts w:ascii="Arial" w:cs="Arial" w:eastAsia="Arial" w:hAnsi="Arial"/>
          <w:sz w:val="18"/>
          <w:szCs w:val="18"/>
          <w:color w:val="auto"/>
        </w:rPr>
        <w:t>23.2</w:t>
      </w:r>
      <w:r>
        <w:rPr>
          <w:sz w:val="20"/>
          <w:szCs w:val="20"/>
          <w:color w:val="auto"/>
        </w:rPr>
        <w:tab/>
      </w:r>
      <w:r>
        <w:rPr>
          <w:rFonts w:ascii="Arial" w:cs="Arial" w:eastAsia="Arial" w:hAnsi="Arial"/>
          <w:sz w:val="16"/>
          <w:szCs w:val="16"/>
          <w:color w:val="auto"/>
        </w:rPr>
        <w:t>Consent of Appleby Spurling Hunter (included in its opinion filed as Exhibit 5.1).</w:t>
      </w:r>
    </w:p>
    <w:p>
      <w:pPr>
        <w:spacing w:after="0" w:line="225" w:lineRule="exact"/>
        <w:rPr>
          <w:sz w:val="20"/>
          <w:szCs w:val="20"/>
          <w:color w:val="auto"/>
        </w:rPr>
      </w:pPr>
    </w:p>
    <w:p>
      <w:pPr>
        <w:ind w:left="1180"/>
        <w:spacing w:after="0"/>
        <w:tabs>
          <w:tab w:leader="none" w:pos="1860" w:val="left"/>
        </w:tabs>
        <w:rPr>
          <w:sz w:val="20"/>
          <w:szCs w:val="20"/>
          <w:color w:val="auto"/>
        </w:rPr>
      </w:pPr>
      <w:r>
        <w:rPr>
          <w:rFonts w:ascii="Arial" w:cs="Arial" w:eastAsia="Arial" w:hAnsi="Arial"/>
          <w:sz w:val="18"/>
          <w:szCs w:val="18"/>
          <w:color w:val="auto"/>
        </w:rPr>
        <w:t>24.1 **</w:t>
      </w:r>
      <w:r>
        <w:rPr>
          <w:sz w:val="20"/>
          <w:szCs w:val="20"/>
          <w:color w:val="auto"/>
        </w:rPr>
        <w:tab/>
      </w:r>
      <w:r>
        <w:rPr>
          <w:rFonts w:ascii="Arial" w:cs="Arial" w:eastAsia="Arial" w:hAnsi="Arial"/>
          <w:sz w:val="16"/>
          <w:szCs w:val="16"/>
          <w:color w:val="auto"/>
        </w:rPr>
        <w:t>Power of Attorney (see page II-3).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74930</wp:posOffset>
            </wp:positionV>
            <wp:extent cx="182689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Previously filed.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II-1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17. Undertakings</w:t>
      </w:r>
    </w:p>
    <w:p>
      <w:pPr>
        <w:spacing w:after="0" w:line="229" w:lineRule="exact"/>
        <w:rPr>
          <w:sz w:val="20"/>
          <w:szCs w:val="20"/>
          <w:color w:val="auto"/>
        </w:rPr>
      </w:pPr>
    </w:p>
    <w:p>
      <w:pPr>
        <w:ind w:firstLine="648"/>
        <w:spacing w:after="0" w:line="291" w:lineRule="auto"/>
        <w:rPr>
          <w:sz w:val="20"/>
          <w:szCs w:val="20"/>
          <w:color w:val="auto"/>
        </w:rPr>
      </w:pPr>
      <w:r>
        <w:rPr>
          <w:rFonts w:ascii="Arial" w:cs="Arial" w:eastAsia="Arial" w:hAnsi="Arial"/>
          <w:sz w:val="16"/>
          <w:szCs w:val="16"/>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16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undersigned Registrant hereby undertakes:</w:t>
      </w:r>
    </w:p>
    <w:p>
      <w:pPr>
        <w:spacing w:after="0" w:line="225" w:lineRule="exact"/>
        <w:rPr>
          <w:sz w:val="20"/>
          <w:szCs w:val="20"/>
          <w:color w:val="auto"/>
        </w:rPr>
      </w:pPr>
    </w:p>
    <w:p>
      <w:pPr>
        <w:ind w:left="2000" w:hanging="695"/>
        <w:spacing w:after="0"/>
        <w:tabs>
          <w:tab w:leader="none" w:pos="2000" w:val="left"/>
        </w:tabs>
        <w:numPr>
          <w:ilvl w:val="0"/>
          <w:numId w:val="1"/>
        </w:numPr>
        <w:rPr>
          <w:rFonts w:ascii="Arial" w:cs="Arial" w:eastAsia="Arial" w:hAnsi="Arial"/>
          <w:sz w:val="17"/>
          <w:szCs w:val="17"/>
          <w:color w:val="auto"/>
        </w:rPr>
      </w:pPr>
      <w:r>
        <w:rPr>
          <w:rFonts w:ascii="Arial" w:cs="Arial" w:eastAsia="Arial" w:hAnsi="Arial"/>
          <w:sz w:val="17"/>
          <w:szCs w:val="17"/>
          <w:color w:val="auto"/>
        </w:rPr>
        <w:t>To file, during any period in which offers or sales are being made, a post-effective amendment to the Registration Statement:</w:t>
      </w:r>
    </w:p>
    <w:p>
      <w:pPr>
        <w:spacing w:after="0" w:line="236" w:lineRule="exact"/>
        <w:rPr>
          <w:rFonts w:ascii="Arial" w:cs="Arial" w:eastAsia="Arial" w:hAnsi="Arial"/>
          <w:sz w:val="17"/>
          <w:szCs w:val="17"/>
          <w:color w:val="auto"/>
        </w:rPr>
      </w:pPr>
    </w:p>
    <w:p>
      <w:pPr>
        <w:ind w:left="2660" w:hanging="707"/>
        <w:spacing w:after="0"/>
        <w:tabs>
          <w:tab w:leader="none" w:pos="2660" w:val="left"/>
        </w:tabs>
        <w:numPr>
          <w:ilvl w:val="1"/>
          <w:numId w:val="1"/>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w:t>
      </w:r>
    </w:p>
    <w:p>
      <w:pPr>
        <w:spacing w:after="0" w:line="225" w:lineRule="exact"/>
        <w:rPr>
          <w:rFonts w:ascii="Arial" w:cs="Arial" w:eastAsia="Arial" w:hAnsi="Arial"/>
          <w:sz w:val="18"/>
          <w:szCs w:val="18"/>
          <w:color w:val="auto"/>
        </w:rPr>
      </w:pPr>
    </w:p>
    <w:p>
      <w:pPr>
        <w:ind w:left="1300" w:right="160" w:firstLine="653"/>
        <w:spacing w:after="0" w:line="264" w:lineRule="auto"/>
        <w:tabs>
          <w:tab w:leader="none" w:pos="2663" w:val="left"/>
        </w:tabs>
        <w:numPr>
          <w:ilvl w:val="1"/>
          <w:numId w:val="1"/>
        </w:numPr>
        <w:rPr>
          <w:rFonts w:ascii="Arial" w:cs="Arial" w:eastAsia="Arial" w:hAnsi="Arial"/>
          <w:sz w:val="18"/>
          <w:szCs w:val="18"/>
          <w:color w:val="auto"/>
        </w:rPr>
      </w:pPr>
      <w:r>
        <w:rPr>
          <w:rFonts w:ascii="Arial" w:cs="Arial" w:eastAsia="Arial" w:hAnsi="Arial"/>
          <w:sz w:val="18"/>
          <w:szCs w:val="18"/>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and</w:t>
      </w:r>
    </w:p>
    <w:p>
      <w:pPr>
        <w:sectPr>
          <w:pgSz w:w="11900" w:h="16838" w:orient="portrait"/>
          <w:cols w:equalWidth="0" w:num="1">
            <w:col w:w="11420"/>
          </w:cols>
          <w:pgMar w:left="240" w:top="337" w:right="239" w:bottom="0" w:gutter="0" w:footer="0" w:header="0"/>
        </w:sectPr>
      </w:pPr>
    </w:p>
    <w:bookmarkStart w:id="2" w:name="page3"/>
    <w:bookmarkEnd w:id="2"/>
    <w:p>
      <w:pPr>
        <w:ind w:left="1300" w:right="200" w:firstLine="653"/>
        <w:spacing w:after="0" w:line="277" w:lineRule="auto"/>
        <w:tabs>
          <w:tab w:leader="none" w:pos="2668" w:val="left"/>
        </w:tabs>
        <w:numPr>
          <w:ilvl w:val="0"/>
          <w:numId w:val="2"/>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170" w:lineRule="exact"/>
        <w:rPr>
          <w:sz w:val="20"/>
          <w:szCs w:val="20"/>
          <w:color w:val="auto"/>
        </w:rPr>
      </w:pPr>
    </w:p>
    <w:p>
      <w:pPr>
        <w:jc w:val="both"/>
        <w:ind w:right="560" w:firstLine="648"/>
        <w:spacing w:after="0" w:line="264" w:lineRule="auto"/>
        <w:rPr>
          <w:sz w:val="20"/>
          <w:szCs w:val="20"/>
          <w:color w:val="auto"/>
        </w:rPr>
      </w:pPr>
      <w:r>
        <w:rPr>
          <w:rFonts w:ascii="Arial" w:cs="Arial" w:eastAsia="Arial" w:hAnsi="Arial"/>
          <w:sz w:val="18"/>
          <w:szCs w:val="18"/>
          <w:color w:val="auto"/>
        </w:rPr>
        <w:t>Provided, however, that paragraphs (i) and (ii) do not apply if the information required to be included in a post-effective amendment by those paragraphs is contained in periodic reports filed by the Registrant pursuant to Section 13 or Section 15(d) of the Exchange Act that are incorporated by reference in the Registration Statement.</w:t>
      </w:r>
    </w:p>
    <w:p>
      <w:pPr>
        <w:spacing w:after="0" w:line="181" w:lineRule="exact"/>
        <w:rPr>
          <w:sz w:val="20"/>
          <w:szCs w:val="20"/>
          <w:color w:val="auto"/>
        </w:rPr>
      </w:pPr>
    </w:p>
    <w:p>
      <w:pPr>
        <w:ind w:left="660" w:right="20" w:firstLine="645"/>
        <w:spacing w:after="0" w:line="264" w:lineRule="auto"/>
        <w:tabs>
          <w:tab w:leader="none" w:pos="2013" w:val="left"/>
        </w:tabs>
        <w:numPr>
          <w:ilvl w:val="0"/>
          <w:numId w:val="3"/>
        </w:numPr>
        <w:rPr>
          <w:rFonts w:ascii="Arial" w:cs="Arial" w:eastAsia="Arial" w:hAnsi="Arial"/>
          <w:sz w:val="18"/>
          <w:szCs w:val="18"/>
          <w:color w:val="auto"/>
        </w:rPr>
      </w:pPr>
      <w:r>
        <w:rPr>
          <w:rFonts w:ascii="Arial" w:cs="Arial" w:eastAsia="Arial" w:hAnsi="Arial"/>
          <w:sz w:val="18"/>
          <w:szCs w:val="18"/>
          <w:color w:val="auto"/>
        </w:rPr>
        <w:t>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181" w:lineRule="exact"/>
        <w:rPr>
          <w:rFonts w:ascii="Arial" w:cs="Arial" w:eastAsia="Arial" w:hAnsi="Arial"/>
          <w:sz w:val="18"/>
          <w:szCs w:val="18"/>
          <w:color w:val="auto"/>
        </w:rPr>
      </w:pPr>
    </w:p>
    <w:p>
      <w:pPr>
        <w:ind w:left="660" w:right="180" w:firstLine="645"/>
        <w:spacing w:after="0" w:line="277" w:lineRule="auto"/>
        <w:tabs>
          <w:tab w:leader="none" w:pos="2013" w:val="left"/>
        </w:tabs>
        <w:numPr>
          <w:ilvl w:val="0"/>
          <w:numId w:val="3"/>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70" w:lineRule="exact"/>
        <w:rPr>
          <w:rFonts w:ascii="Arial" w:cs="Arial" w:eastAsia="Arial" w:hAnsi="Arial"/>
          <w:sz w:val="18"/>
          <w:szCs w:val="18"/>
          <w:color w:val="auto"/>
        </w:rPr>
      </w:pPr>
    </w:p>
    <w:p>
      <w:pPr>
        <w:ind w:left="660" w:right="240" w:firstLine="645"/>
        <w:spacing w:after="0" w:line="259" w:lineRule="auto"/>
        <w:tabs>
          <w:tab w:leader="none" w:pos="2013" w:val="left"/>
        </w:tabs>
        <w:numPr>
          <w:ilvl w:val="0"/>
          <w:numId w:val="3"/>
        </w:numPr>
        <w:rPr>
          <w:rFonts w:ascii="Arial" w:cs="Arial" w:eastAsia="Arial" w:hAnsi="Arial"/>
          <w:sz w:val="18"/>
          <w:szCs w:val="18"/>
          <w:color w:val="auto"/>
        </w:rPr>
      </w:pPr>
      <w:r>
        <w:rPr>
          <w:rFonts w:ascii="Arial" w:cs="Arial" w:eastAsia="Arial" w:hAnsi="Arial"/>
          <w:sz w:val="18"/>
          <w:szCs w:val="18"/>
          <w:color w:val="auto"/>
        </w:rPr>
        <w:t>That, for purposes of determining any liability under the Securities Act, each filing of the Registrant’s annual report pursuant to Section 13(a) or Section 15(d) of the Exchange Act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187"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II-2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140" w:firstLine="648"/>
        <w:spacing w:after="0" w:line="264" w:lineRule="auto"/>
        <w:rPr>
          <w:sz w:val="20"/>
          <w:szCs w:val="20"/>
          <w:color w:val="auto"/>
        </w:rPr>
      </w:pPr>
      <w:r>
        <w:rPr>
          <w:rFonts w:ascii="Arial" w:cs="Arial" w:eastAsia="Arial" w:hAnsi="Arial"/>
          <w:sz w:val="18"/>
          <w:szCs w:val="18"/>
          <w:color w:val="auto"/>
        </w:rPr>
        <w:t>Pursuant to the requirements of the Securities Act, the Registrant certifies that it has reasonable grounds to believe that it meets all of the requirements for filing on Form S-3, and has duly caused this Amendment No. 1 to this Registration Statement to be signed on its behalf by the undersigned, thereunto duly authorized, in the City of Sunnyvale, State of California, on November 21, 2005.</w:t>
      </w:r>
    </w:p>
    <w:p>
      <w:pPr>
        <w:spacing w:after="0" w:line="181"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6180" w:type="dxa"/>
        <w:tblCellMar>
          <w:top w:w="0" w:type="dxa"/>
          <w:left w:w="0" w:type="dxa"/>
          <w:bottom w:w="0" w:type="dxa"/>
          <w:right w:w="0" w:type="dxa"/>
        </w:tblCellMar>
      </w:tblPr>
      <w:tr>
        <w:trPr>
          <w:trHeight w:val="230"/>
        </w:trPr>
        <w:tc>
          <w:tcPr>
            <w:tcW w:w="440" w:type="dxa"/>
            <w:vAlign w:val="bottom"/>
          </w:tcPr>
          <w:p>
            <w:pPr>
              <w:spacing w:after="0"/>
              <w:rPr>
                <w:sz w:val="20"/>
                <w:szCs w:val="20"/>
                <w:color w:val="auto"/>
              </w:rPr>
            </w:pPr>
            <w:r>
              <w:rPr>
                <w:rFonts w:ascii="Arial" w:cs="Arial" w:eastAsia="Arial" w:hAnsi="Arial"/>
                <w:sz w:val="18"/>
                <w:szCs w:val="18"/>
                <w:color w:val="auto"/>
              </w:rPr>
              <w:t>By</w:t>
            </w:r>
          </w:p>
        </w:tc>
        <w:tc>
          <w:tcPr>
            <w:tcW w:w="48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Dr. Sehat Sutardja</w:t>
            </w:r>
          </w:p>
        </w:tc>
      </w:tr>
      <w:tr>
        <w:trPr>
          <w:trHeight w:val="195"/>
        </w:trPr>
        <w:tc>
          <w:tcPr>
            <w:tcW w:w="440" w:type="dxa"/>
            <w:vAlign w:val="bottom"/>
          </w:tcPr>
          <w:p>
            <w:pPr>
              <w:spacing w:after="0"/>
              <w:rPr>
                <w:sz w:val="16"/>
                <w:szCs w:val="16"/>
                <w:color w:val="auto"/>
              </w:rPr>
            </w:pPr>
          </w:p>
        </w:tc>
        <w:tc>
          <w:tcPr>
            <w:tcW w:w="4800" w:type="dxa"/>
            <w:vAlign w:val="bottom"/>
          </w:tcPr>
          <w:p>
            <w:pPr>
              <w:jc w:val="center"/>
              <w:spacing w:after="0" w:line="195" w:lineRule="exact"/>
              <w:rPr>
                <w:sz w:val="20"/>
                <w:szCs w:val="20"/>
                <w:color w:val="auto"/>
              </w:rPr>
            </w:pPr>
            <w:r>
              <w:rPr>
                <w:rFonts w:ascii="Arial" w:cs="Arial" w:eastAsia="Arial" w:hAnsi="Arial"/>
                <w:sz w:val="18"/>
                <w:szCs w:val="18"/>
                <w:color w:val="auto"/>
                <w:w w:val="89"/>
              </w:rPr>
              <w:t>Dr. Sehat Sutardja</w:t>
            </w:r>
          </w:p>
        </w:tc>
      </w:tr>
      <w:tr>
        <w:trPr>
          <w:trHeight w:val="230"/>
        </w:trPr>
        <w:tc>
          <w:tcPr>
            <w:tcW w:w="440" w:type="dxa"/>
            <w:vAlign w:val="bottom"/>
          </w:tcPr>
          <w:p>
            <w:pPr>
              <w:spacing w:after="0"/>
              <w:rPr>
                <w:sz w:val="20"/>
                <w:szCs w:val="20"/>
                <w:color w:val="auto"/>
              </w:rPr>
            </w:pPr>
          </w:p>
        </w:tc>
        <w:tc>
          <w:tcPr>
            <w:tcW w:w="4800" w:type="dxa"/>
            <w:vAlign w:val="bottom"/>
          </w:tcPr>
          <w:p>
            <w:pPr>
              <w:jc w:val="center"/>
              <w:spacing w:after="0"/>
              <w:rPr>
                <w:sz w:val="20"/>
                <w:szCs w:val="20"/>
                <w:color w:val="auto"/>
              </w:rPr>
            </w:pPr>
            <w:r>
              <w:rPr>
                <w:rFonts w:ascii="Arial" w:cs="Arial" w:eastAsia="Arial" w:hAnsi="Arial"/>
                <w:sz w:val="18"/>
                <w:szCs w:val="18"/>
                <w:color w:val="auto"/>
                <w:w w:val="91"/>
              </w:rPr>
              <w:t>President and Chief Executive Officer</w:t>
            </w:r>
          </w:p>
        </w:tc>
      </w:tr>
    </w:tbl>
    <w:p>
      <w:pPr>
        <w:spacing w:after="0" w:line="200" w:lineRule="exact"/>
        <w:rPr>
          <w:sz w:val="20"/>
          <w:szCs w:val="20"/>
          <w:color w:val="auto"/>
        </w:rPr>
      </w:pPr>
    </w:p>
    <w:p>
      <w:pPr>
        <w:spacing w:after="0" w:line="218" w:lineRule="exact"/>
        <w:rPr>
          <w:sz w:val="20"/>
          <w:szCs w:val="20"/>
          <w:color w:val="auto"/>
        </w:rPr>
      </w:pPr>
    </w:p>
    <w:p>
      <w:pPr>
        <w:ind w:right="160" w:firstLine="648"/>
        <w:spacing w:after="0" w:line="277" w:lineRule="auto"/>
        <w:rPr>
          <w:sz w:val="20"/>
          <w:szCs w:val="20"/>
          <w:color w:val="auto"/>
        </w:rPr>
      </w:pPr>
      <w:r>
        <w:rPr>
          <w:rFonts w:ascii="Arial" w:cs="Arial" w:eastAsia="Arial" w:hAnsi="Arial"/>
          <w:sz w:val="18"/>
          <w:szCs w:val="18"/>
          <w:color w:val="auto"/>
        </w:rPr>
        <w:t>Pursuant to the requirements of the Securities Act, this Registration Statement has been signed below by the following persons in the capacities and on the dates indicated.</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4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920" w:type="dxa"/>
            <w:vAlign w:val="bottom"/>
            <w:tcBorders>
              <w:bottom w:val="single" w:sz="8" w:color="auto"/>
            </w:tcBorders>
          </w:tcPr>
          <w:p>
            <w:pPr>
              <w:jc w:val="center"/>
              <w:ind w:right="551"/>
              <w:spacing w:after="0"/>
              <w:rPr>
                <w:sz w:val="20"/>
                <w:szCs w:val="20"/>
                <w:color w:val="auto"/>
              </w:rPr>
            </w:pPr>
            <w:r>
              <w:rPr>
                <w:rFonts w:ascii="Arial" w:cs="Arial" w:eastAsia="Arial" w:hAnsi="Arial"/>
                <w:sz w:val="14"/>
                <w:szCs w:val="14"/>
                <w:b w:val="1"/>
                <w:bCs w:val="1"/>
                <w:color w:val="auto"/>
                <w:w w:val="94"/>
              </w:rPr>
              <w:t>Name</w:t>
            </w:r>
          </w:p>
        </w:tc>
        <w:tc>
          <w:tcPr>
            <w:tcW w:w="30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5840" w:type="dxa"/>
            <w:vAlign w:val="bottom"/>
            <w:tcBorders>
              <w:bottom w:val="single" w:sz="8" w:color="auto"/>
            </w:tcBorders>
          </w:tcPr>
          <w:p>
            <w:pPr>
              <w:ind w:left="2760"/>
              <w:spacing w:after="0"/>
              <w:rPr>
                <w:sz w:val="20"/>
                <w:szCs w:val="20"/>
                <w:color w:val="auto"/>
              </w:rPr>
            </w:pPr>
            <w:r>
              <w:rPr>
                <w:rFonts w:ascii="Arial" w:cs="Arial" w:eastAsia="Arial" w:hAnsi="Arial"/>
                <w:sz w:val="14"/>
                <w:szCs w:val="14"/>
                <w:b w:val="1"/>
                <w:bCs w:val="1"/>
                <w:color w:val="auto"/>
              </w:rPr>
              <w:t>Title</w:t>
            </w:r>
          </w:p>
        </w:tc>
        <w:tc>
          <w:tcPr>
            <w:tcW w:w="280" w:type="dxa"/>
            <w:vAlign w:val="bottom"/>
          </w:tcPr>
          <w:p>
            <w:pPr>
              <w:spacing w:after="0"/>
              <w:rPr>
                <w:sz w:val="14"/>
                <w:szCs w:val="14"/>
                <w:color w:val="auto"/>
              </w:rPr>
            </w:pPr>
          </w:p>
        </w:tc>
        <w:tc>
          <w:tcPr>
            <w:tcW w:w="24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8"/>
              </w:rPr>
              <w:t>Date</w:t>
            </w:r>
          </w:p>
        </w:tc>
        <w:tc>
          <w:tcPr>
            <w:tcW w:w="20" w:type="dxa"/>
            <w:vAlign w:val="bottom"/>
          </w:tcPr>
          <w:p>
            <w:pPr>
              <w:spacing w:after="0"/>
              <w:rPr>
                <w:sz w:val="14"/>
                <w:szCs w:val="14"/>
                <w:color w:val="auto"/>
              </w:rPr>
            </w:pPr>
          </w:p>
        </w:tc>
      </w:tr>
      <w:tr>
        <w:trPr>
          <w:trHeight w:val="426"/>
        </w:trPr>
        <w:tc>
          <w:tcPr>
            <w:tcW w:w="48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920" w:type="dxa"/>
            <w:vAlign w:val="bottom"/>
            <w:tcBorders>
              <w:bottom w:val="single" w:sz="8" w:color="auto"/>
            </w:tcBorders>
          </w:tcPr>
          <w:p>
            <w:pPr>
              <w:jc w:val="center"/>
              <w:ind w:right="531"/>
              <w:spacing w:after="0"/>
              <w:rPr>
                <w:sz w:val="20"/>
                <w:szCs w:val="20"/>
                <w:color w:val="auto"/>
              </w:rPr>
            </w:pPr>
            <w:r>
              <w:rPr>
                <w:rFonts w:ascii="Arial" w:cs="Arial" w:eastAsia="Arial" w:hAnsi="Arial"/>
                <w:sz w:val="18"/>
                <w:szCs w:val="18"/>
                <w:color w:val="auto"/>
                <w:w w:val="88"/>
              </w:rPr>
              <w:t>/s/ Sehat Sutardja</w:t>
            </w:r>
          </w:p>
        </w:tc>
        <w:tc>
          <w:tcPr>
            <w:tcW w:w="300" w:type="dxa"/>
            <w:vAlign w:val="bottom"/>
          </w:tcPr>
          <w:p>
            <w:pPr>
              <w:spacing w:after="0"/>
              <w:rPr>
                <w:sz w:val="24"/>
                <w:szCs w:val="24"/>
                <w:color w:val="auto"/>
              </w:rPr>
            </w:pPr>
          </w:p>
        </w:tc>
        <w:tc>
          <w:tcPr>
            <w:tcW w:w="6140" w:type="dxa"/>
            <w:vAlign w:val="bottom"/>
            <w:gridSpan w:val="3"/>
          </w:tcPr>
          <w:p>
            <w:pPr>
              <w:ind w:left="20"/>
              <w:spacing w:after="0"/>
              <w:rPr>
                <w:sz w:val="20"/>
                <w:szCs w:val="20"/>
                <w:color w:val="auto"/>
              </w:rPr>
            </w:pPr>
            <w:r>
              <w:rPr>
                <w:rFonts w:ascii="Arial" w:cs="Arial" w:eastAsia="Arial" w:hAnsi="Arial"/>
                <w:sz w:val="18"/>
                <w:szCs w:val="18"/>
                <w:color w:val="auto"/>
              </w:rPr>
              <w:t>Chairman of the Board, President and Chief</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21, 2005</w:t>
            </w:r>
          </w:p>
        </w:tc>
        <w:tc>
          <w:tcPr>
            <w:tcW w:w="20" w:type="dxa"/>
            <w:vAlign w:val="bottom"/>
          </w:tcPr>
          <w:p>
            <w:pPr>
              <w:spacing w:after="0"/>
              <w:rPr>
                <w:sz w:val="24"/>
                <w:szCs w:val="24"/>
                <w:color w:val="auto"/>
              </w:rPr>
            </w:pPr>
          </w:p>
        </w:tc>
      </w:tr>
      <w:tr>
        <w:trPr>
          <w:trHeight w:val="224"/>
        </w:trPr>
        <w:tc>
          <w:tcPr>
            <w:tcW w:w="480" w:type="dxa"/>
            <w:vAlign w:val="bottom"/>
          </w:tcPr>
          <w:p>
            <w:pPr>
              <w:spacing w:after="0"/>
              <w:rPr>
                <w:sz w:val="19"/>
                <w:szCs w:val="19"/>
                <w:color w:val="auto"/>
              </w:rPr>
            </w:pPr>
          </w:p>
        </w:tc>
        <w:tc>
          <w:tcPr>
            <w:tcW w:w="2080" w:type="dxa"/>
            <w:vAlign w:val="bottom"/>
            <w:gridSpan w:val="2"/>
          </w:tcPr>
          <w:p>
            <w:pPr>
              <w:jc w:val="center"/>
              <w:ind w:right="391"/>
              <w:spacing w:after="0"/>
              <w:rPr>
                <w:sz w:val="20"/>
                <w:szCs w:val="20"/>
                <w:color w:val="auto"/>
              </w:rPr>
            </w:pPr>
            <w:r>
              <w:rPr>
                <w:rFonts w:ascii="Arial" w:cs="Arial" w:eastAsia="Arial" w:hAnsi="Arial"/>
                <w:sz w:val="18"/>
                <w:szCs w:val="18"/>
                <w:color w:val="auto"/>
                <w:w w:val="89"/>
              </w:rPr>
              <w:t>Dr. Sehat Sutardja</w:t>
            </w:r>
          </w:p>
        </w:tc>
        <w:tc>
          <w:tcPr>
            <w:tcW w:w="300" w:type="dxa"/>
            <w:vAlign w:val="bottom"/>
          </w:tcPr>
          <w:p>
            <w:pPr>
              <w:spacing w:after="0"/>
              <w:rPr>
                <w:sz w:val="19"/>
                <w:szCs w:val="19"/>
                <w:color w:val="auto"/>
              </w:rPr>
            </w:pPr>
          </w:p>
        </w:tc>
        <w:tc>
          <w:tcPr>
            <w:tcW w:w="6140" w:type="dxa"/>
            <w:vAlign w:val="bottom"/>
            <w:gridSpan w:val="3"/>
          </w:tcPr>
          <w:p>
            <w:pPr>
              <w:ind w:left="20"/>
              <w:spacing w:after="0"/>
              <w:rPr>
                <w:sz w:val="20"/>
                <w:szCs w:val="20"/>
                <w:color w:val="auto"/>
              </w:rPr>
            </w:pPr>
            <w:r>
              <w:rPr>
                <w:rFonts w:ascii="Arial" w:cs="Arial" w:eastAsia="Arial" w:hAnsi="Arial"/>
                <w:sz w:val="18"/>
                <w:szCs w:val="18"/>
                <w:color w:val="auto"/>
              </w:rPr>
              <w:t>Executive Officer (Principal Executive Officer)</w:t>
            </w:r>
          </w:p>
        </w:tc>
        <w:tc>
          <w:tcPr>
            <w:tcW w:w="242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18"/>
        </w:trPr>
        <w:tc>
          <w:tcPr>
            <w:tcW w:w="48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920" w:type="dxa"/>
            <w:vAlign w:val="bottom"/>
            <w:tcBorders>
              <w:bottom w:val="single" w:sz="8" w:color="auto"/>
            </w:tcBorders>
          </w:tcPr>
          <w:p>
            <w:pPr>
              <w:jc w:val="center"/>
              <w:ind w:right="531"/>
              <w:spacing w:after="0"/>
              <w:rPr>
                <w:sz w:val="20"/>
                <w:szCs w:val="20"/>
                <w:color w:val="auto"/>
              </w:rPr>
            </w:pPr>
            <w:r>
              <w:rPr>
                <w:rFonts w:ascii="Arial" w:cs="Arial" w:eastAsia="Arial" w:hAnsi="Arial"/>
                <w:sz w:val="18"/>
                <w:szCs w:val="18"/>
                <w:color w:val="auto"/>
                <w:w w:val="94"/>
              </w:rPr>
              <w:t>/s/ Weili Dai</w:t>
            </w:r>
          </w:p>
        </w:tc>
        <w:tc>
          <w:tcPr>
            <w:tcW w:w="300" w:type="dxa"/>
            <w:vAlign w:val="bottom"/>
          </w:tcPr>
          <w:p>
            <w:pPr>
              <w:spacing w:after="0"/>
              <w:rPr>
                <w:sz w:val="24"/>
                <w:szCs w:val="24"/>
                <w:color w:val="auto"/>
              </w:rPr>
            </w:pPr>
          </w:p>
        </w:tc>
        <w:tc>
          <w:tcPr>
            <w:tcW w:w="6140" w:type="dxa"/>
            <w:vAlign w:val="bottom"/>
            <w:gridSpan w:val="3"/>
          </w:tcPr>
          <w:p>
            <w:pPr>
              <w:ind w:left="20"/>
              <w:spacing w:after="0"/>
              <w:rPr>
                <w:sz w:val="20"/>
                <w:szCs w:val="20"/>
                <w:color w:val="auto"/>
              </w:rPr>
            </w:pPr>
            <w:r>
              <w:rPr>
                <w:rFonts w:ascii="Arial" w:cs="Arial" w:eastAsia="Arial" w:hAnsi="Arial"/>
                <w:sz w:val="18"/>
                <w:szCs w:val="18"/>
                <w:color w:val="auto"/>
              </w:rPr>
              <w:t>Executive Vice President, Secretary and</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21, 2005</w:t>
            </w:r>
          </w:p>
        </w:tc>
        <w:tc>
          <w:tcPr>
            <w:tcW w:w="20" w:type="dxa"/>
            <w:vAlign w:val="bottom"/>
          </w:tcPr>
          <w:p>
            <w:pPr>
              <w:spacing w:after="0"/>
              <w:rPr>
                <w:sz w:val="24"/>
                <w:szCs w:val="24"/>
                <w:color w:val="auto"/>
              </w:rPr>
            </w:pPr>
          </w:p>
        </w:tc>
      </w:tr>
      <w:tr>
        <w:trPr>
          <w:trHeight w:val="224"/>
        </w:trPr>
        <w:tc>
          <w:tcPr>
            <w:tcW w:w="4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920" w:type="dxa"/>
            <w:vAlign w:val="bottom"/>
          </w:tcPr>
          <w:p>
            <w:pPr>
              <w:jc w:val="center"/>
              <w:ind w:right="551"/>
              <w:spacing w:after="0"/>
              <w:rPr>
                <w:sz w:val="20"/>
                <w:szCs w:val="20"/>
                <w:color w:val="auto"/>
              </w:rPr>
            </w:pPr>
            <w:r>
              <w:rPr>
                <w:rFonts w:ascii="Arial" w:cs="Arial" w:eastAsia="Arial" w:hAnsi="Arial"/>
                <w:sz w:val="18"/>
                <w:szCs w:val="18"/>
                <w:color w:val="auto"/>
                <w:w w:val="95"/>
              </w:rPr>
              <w:t>Weili Dai</w:t>
            </w:r>
          </w:p>
        </w:tc>
        <w:tc>
          <w:tcPr>
            <w:tcW w:w="300" w:type="dxa"/>
            <w:vAlign w:val="bottom"/>
          </w:tcPr>
          <w:p>
            <w:pPr>
              <w:spacing w:after="0"/>
              <w:rPr>
                <w:sz w:val="19"/>
                <w:szCs w:val="19"/>
                <w:color w:val="auto"/>
              </w:rPr>
            </w:pPr>
          </w:p>
        </w:tc>
        <w:tc>
          <w:tcPr>
            <w:tcW w:w="6140" w:type="dxa"/>
            <w:vAlign w:val="bottom"/>
            <w:gridSpan w:val="3"/>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18"/>
        </w:trPr>
        <w:tc>
          <w:tcPr>
            <w:tcW w:w="480" w:type="dxa"/>
            <w:vAlign w:val="bottom"/>
            <w:tcBorders>
              <w:bottom w:val="single" w:sz="8" w:color="auto"/>
            </w:tcBorders>
          </w:tcPr>
          <w:p>
            <w:pPr>
              <w:spacing w:after="0"/>
              <w:rPr>
                <w:sz w:val="24"/>
                <w:szCs w:val="24"/>
                <w:color w:val="auto"/>
              </w:rPr>
            </w:pPr>
          </w:p>
        </w:tc>
        <w:tc>
          <w:tcPr>
            <w:tcW w:w="2080" w:type="dxa"/>
            <w:vAlign w:val="bottom"/>
            <w:tcBorders>
              <w:bottom w:val="single" w:sz="8" w:color="auto"/>
            </w:tcBorders>
            <w:gridSpan w:val="2"/>
          </w:tcPr>
          <w:p>
            <w:pPr>
              <w:jc w:val="center"/>
              <w:ind w:right="391"/>
              <w:spacing w:after="0"/>
              <w:rPr>
                <w:sz w:val="20"/>
                <w:szCs w:val="20"/>
                <w:color w:val="auto"/>
              </w:rPr>
            </w:pPr>
            <w:r>
              <w:rPr>
                <w:rFonts w:ascii="Arial" w:cs="Arial" w:eastAsia="Arial" w:hAnsi="Arial"/>
                <w:sz w:val="18"/>
                <w:szCs w:val="18"/>
                <w:color w:val="auto"/>
                <w:w w:val="90"/>
              </w:rPr>
              <w:t>/s/ George Hervey</w:t>
            </w:r>
          </w:p>
        </w:tc>
        <w:tc>
          <w:tcPr>
            <w:tcW w:w="300" w:type="dxa"/>
            <w:vAlign w:val="bottom"/>
          </w:tcPr>
          <w:p>
            <w:pPr>
              <w:spacing w:after="0"/>
              <w:rPr>
                <w:sz w:val="24"/>
                <w:szCs w:val="24"/>
                <w:color w:val="auto"/>
              </w:rPr>
            </w:pPr>
          </w:p>
        </w:tc>
        <w:tc>
          <w:tcPr>
            <w:tcW w:w="6140" w:type="dxa"/>
            <w:vAlign w:val="bottom"/>
            <w:gridSpan w:val="3"/>
          </w:tcPr>
          <w:p>
            <w:pPr>
              <w:ind w:left="20"/>
              <w:spacing w:after="0"/>
              <w:rPr>
                <w:sz w:val="20"/>
                <w:szCs w:val="20"/>
                <w:color w:val="auto"/>
              </w:rPr>
            </w:pPr>
            <w:r>
              <w:rPr>
                <w:rFonts w:ascii="Arial" w:cs="Arial" w:eastAsia="Arial" w:hAnsi="Arial"/>
                <w:sz w:val="18"/>
                <w:szCs w:val="18"/>
                <w:color w:val="auto"/>
              </w:rPr>
              <w:t>Vice President and Chief Financial Officer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21, 2005</w:t>
            </w:r>
          </w:p>
        </w:tc>
        <w:tc>
          <w:tcPr>
            <w:tcW w:w="20" w:type="dxa"/>
            <w:vAlign w:val="bottom"/>
          </w:tcPr>
          <w:p>
            <w:pPr>
              <w:spacing w:after="0"/>
              <w:rPr>
                <w:sz w:val="24"/>
                <w:szCs w:val="24"/>
                <w:color w:val="auto"/>
              </w:rPr>
            </w:pPr>
          </w:p>
        </w:tc>
      </w:tr>
      <w:tr>
        <w:trPr>
          <w:trHeight w:val="224"/>
        </w:trPr>
        <w:tc>
          <w:tcPr>
            <w:tcW w:w="4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920" w:type="dxa"/>
            <w:vAlign w:val="bottom"/>
          </w:tcPr>
          <w:p>
            <w:pPr>
              <w:jc w:val="center"/>
              <w:ind w:right="531"/>
              <w:spacing w:after="0"/>
              <w:rPr>
                <w:sz w:val="20"/>
                <w:szCs w:val="20"/>
                <w:color w:val="auto"/>
              </w:rPr>
            </w:pPr>
            <w:r>
              <w:rPr>
                <w:rFonts w:ascii="Arial" w:cs="Arial" w:eastAsia="Arial" w:hAnsi="Arial"/>
                <w:sz w:val="18"/>
                <w:szCs w:val="18"/>
                <w:color w:val="auto"/>
                <w:w w:val="90"/>
              </w:rPr>
              <w:t>George Hervey</w:t>
            </w:r>
          </w:p>
        </w:tc>
        <w:tc>
          <w:tcPr>
            <w:tcW w:w="300" w:type="dxa"/>
            <w:vAlign w:val="bottom"/>
          </w:tcPr>
          <w:p>
            <w:pPr>
              <w:spacing w:after="0"/>
              <w:rPr>
                <w:sz w:val="19"/>
                <w:szCs w:val="19"/>
                <w:color w:val="auto"/>
              </w:rPr>
            </w:pPr>
          </w:p>
        </w:tc>
        <w:tc>
          <w:tcPr>
            <w:tcW w:w="6140" w:type="dxa"/>
            <w:vAlign w:val="bottom"/>
            <w:gridSpan w:val="3"/>
          </w:tcPr>
          <w:p>
            <w:pPr>
              <w:ind w:left="20"/>
              <w:spacing w:after="0"/>
              <w:rPr>
                <w:sz w:val="20"/>
                <w:szCs w:val="20"/>
                <w:color w:val="auto"/>
              </w:rPr>
            </w:pPr>
            <w:r>
              <w:rPr>
                <w:rFonts w:ascii="Arial" w:cs="Arial" w:eastAsia="Arial" w:hAnsi="Arial"/>
                <w:sz w:val="18"/>
                <w:szCs w:val="18"/>
                <w:color w:val="auto"/>
              </w:rPr>
              <w:t>(Principal Financial and Accounting Officer)</w:t>
            </w:r>
          </w:p>
        </w:tc>
        <w:tc>
          <w:tcPr>
            <w:tcW w:w="242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18"/>
        </w:trPr>
        <w:tc>
          <w:tcPr>
            <w:tcW w:w="480" w:type="dxa"/>
            <w:vAlign w:val="bottom"/>
            <w:tcBorders>
              <w:bottom w:val="single" w:sz="8" w:color="auto"/>
            </w:tcBorders>
          </w:tcPr>
          <w:p>
            <w:pPr>
              <w:spacing w:after="0"/>
              <w:rPr>
                <w:sz w:val="24"/>
                <w:szCs w:val="24"/>
                <w:color w:val="auto"/>
              </w:rPr>
            </w:pPr>
          </w:p>
        </w:tc>
        <w:tc>
          <w:tcPr>
            <w:tcW w:w="2080" w:type="dxa"/>
            <w:vAlign w:val="bottom"/>
            <w:tcBorders>
              <w:bottom w:val="single" w:sz="8" w:color="auto"/>
            </w:tcBorders>
            <w:gridSpan w:val="2"/>
          </w:tcPr>
          <w:p>
            <w:pPr>
              <w:jc w:val="center"/>
              <w:ind w:right="391"/>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4"/>
                <w:szCs w:val="24"/>
                <w:color w:val="auto"/>
              </w:rPr>
            </w:pPr>
          </w:p>
        </w:tc>
        <w:tc>
          <w:tcPr>
            <w:tcW w:w="6140" w:type="dxa"/>
            <w:vAlign w:val="bottom"/>
            <w:gridSpan w:val="3"/>
          </w:tcPr>
          <w:p>
            <w:pPr>
              <w:ind w:left="20"/>
              <w:spacing w:after="0"/>
              <w:rPr>
                <w:sz w:val="20"/>
                <w:szCs w:val="20"/>
                <w:color w:val="auto"/>
              </w:rPr>
            </w:pPr>
            <w:r>
              <w:rPr>
                <w:rFonts w:ascii="Arial" w:cs="Arial" w:eastAsia="Arial" w:hAnsi="Arial"/>
                <w:sz w:val="18"/>
                <w:szCs w:val="18"/>
                <w:color w:val="auto"/>
              </w:rPr>
              <w:t>Chief Technology Officer and 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21, 2005</w:t>
            </w:r>
          </w:p>
        </w:tc>
        <w:tc>
          <w:tcPr>
            <w:tcW w:w="20" w:type="dxa"/>
            <w:vAlign w:val="bottom"/>
          </w:tcPr>
          <w:p>
            <w:pPr>
              <w:spacing w:after="0"/>
              <w:rPr>
                <w:sz w:val="24"/>
                <w:szCs w:val="24"/>
                <w:color w:val="auto"/>
              </w:rPr>
            </w:pPr>
          </w:p>
        </w:tc>
      </w:tr>
      <w:tr>
        <w:trPr>
          <w:trHeight w:val="224"/>
        </w:trPr>
        <w:tc>
          <w:tcPr>
            <w:tcW w:w="480" w:type="dxa"/>
            <w:vAlign w:val="bottom"/>
          </w:tcPr>
          <w:p>
            <w:pPr>
              <w:spacing w:after="0"/>
              <w:rPr>
                <w:sz w:val="19"/>
                <w:szCs w:val="19"/>
                <w:color w:val="auto"/>
              </w:rPr>
            </w:pPr>
          </w:p>
        </w:tc>
        <w:tc>
          <w:tcPr>
            <w:tcW w:w="2080" w:type="dxa"/>
            <w:vAlign w:val="bottom"/>
            <w:gridSpan w:val="2"/>
          </w:tcPr>
          <w:p>
            <w:pPr>
              <w:jc w:val="center"/>
              <w:ind w:right="371"/>
              <w:spacing w:after="0"/>
              <w:rPr>
                <w:sz w:val="20"/>
                <w:szCs w:val="20"/>
                <w:color w:val="auto"/>
              </w:rPr>
            </w:pPr>
            <w:r>
              <w:rPr>
                <w:rFonts w:ascii="Arial" w:cs="Arial" w:eastAsia="Arial" w:hAnsi="Arial"/>
                <w:sz w:val="18"/>
                <w:szCs w:val="18"/>
                <w:color w:val="auto"/>
                <w:w w:val="87"/>
              </w:rPr>
              <w:t>Dr. Pantas Sutardja</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8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18"/>
        </w:trPr>
        <w:tc>
          <w:tcPr>
            <w:tcW w:w="480" w:type="dxa"/>
            <w:vAlign w:val="bottom"/>
            <w:tcBorders>
              <w:bottom w:val="single" w:sz="8" w:color="auto"/>
            </w:tcBorders>
          </w:tcPr>
          <w:p>
            <w:pPr>
              <w:spacing w:after="0"/>
              <w:rPr>
                <w:sz w:val="24"/>
                <w:szCs w:val="24"/>
                <w:color w:val="auto"/>
              </w:rPr>
            </w:pPr>
          </w:p>
        </w:tc>
        <w:tc>
          <w:tcPr>
            <w:tcW w:w="2080" w:type="dxa"/>
            <w:vAlign w:val="bottom"/>
            <w:tcBorders>
              <w:bottom w:val="single" w:sz="8" w:color="auto"/>
            </w:tcBorders>
            <w:gridSpan w:val="2"/>
          </w:tcPr>
          <w:p>
            <w:pPr>
              <w:jc w:val="center"/>
              <w:ind w:right="391"/>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4"/>
                <w:szCs w:val="24"/>
                <w:color w:val="auto"/>
              </w:rPr>
            </w:pPr>
          </w:p>
        </w:tc>
        <w:tc>
          <w:tcPr>
            <w:tcW w:w="6140" w:type="dxa"/>
            <w:vAlign w:val="bottom"/>
            <w:gridSpan w:val="3"/>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21, 2005</w:t>
            </w:r>
          </w:p>
        </w:tc>
        <w:tc>
          <w:tcPr>
            <w:tcW w:w="20" w:type="dxa"/>
            <w:vAlign w:val="bottom"/>
          </w:tcPr>
          <w:p>
            <w:pPr>
              <w:spacing w:after="0"/>
              <w:rPr>
                <w:sz w:val="24"/>
                <w:szCs w:val="24"/>
                <w:color w:val="auto"/>
              </w:rPr>
            </w:pPr>
          </w:p>
        </w:tc>
      </w:tr>
      <w:tr>
        <w:trPr>
          <w:trHeight w:val="224"/>
        </w:trPr>
        <w:tc>
          <w:tcPr>
            <w:tcW w:w="4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920" w:type="dxa"/>
            <w:vAlign w:val="bottom"/>
          </w:tcPr>
          <w:p>
            <w:pPr>
              <w:jc w:val="center"/>
              <w:ind w:right="531"/>
              <w:spacing w:after="0"/>
              <w:rPr>
                <w:sz w:val="20"/>
                <w:szCs w:val="20"/>
                <w:color w:val="auto"/>
              </w:rPr>
            </w:pPr>
            <w:r>
              <w:rPr>
                <w:rFonts w:ascii="Arial" w:cs="Arial" w:eastAsia="Arial" w:hAnsi="Arial"/>
                <w:sz w:val="18"/>
                <w:szCs w:val="18"/>
                <w:color w:val="auto"/>
                <w:w w:val="89"/>
              </w:rPr>
              <w:t>Herbert Chang</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8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18"/>
        </w:trPr>
        <w:tc>
          <w:tcPr>
            <w:tcW w:w="480" w:type="dxa"/>
            <w:vAlign w:val="bottom"/>
            <w:tcBorders>
              <w:bottom w:val="single" w:sz="8" w:color="auto"/>
            </w:tcBorders>
          </w:tcPr>
          <w:p>
            <w:pPr>
              <w:spacing w:after="0"/>
              <w:rPr>
                <w:sz w:val="24"/>
                <w:szCs w:val="24"/>
                <w:color w:val="auto"/>
              </w:rPr>
            </w:pPr>
          </w:p>
        </w:tc>
        <w:tc>
          <w:tcPr>
            <w:tcW w:w="2080" w:type="dxa"/>
            <w:vAlign w:val="bottom"/>
            <w:tcBorders>
              <w:bottom w:val="single" w:sz="8" w:color="auto"/>
            </w:tcBorders>
            <w:gridSpan w:val="2"/>
          </w:tcPr>
          <w:p>
            <w:pPr>
              <w:jc w:val="center"/>
              <w:ind w:right="391"/>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4"/>
                <w:szCs w:val="24"/>
                <w:color w:val="auto"/>
              </w:rPr>
            </w:pPr>
          </w:p>
        </w:tc>
        <w:tc>
          <w:tcPr>
            <w:tcW w:w="6140" w:type="dxa"/>
            <w:vAlign w:val="bottom"/>
            <w:gridSpan w:val="3"/>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21, 2005</w:t>
            </w:r>
          </w:p>
        </w:tc>
        <w:tc>
          <w:tcPr>
            <w:tcW w:w="20" w:type="dxa"/>
            <w:vAlign w:val="bottom"/>
          </w:tcPr>
          <w:p>
            <w:pPr>
              <w:spacing w:after="0"/>
              <w:rPr>
                <w:sz w:val="24"/>
                <w:szCs w:val="24"/>
                <w:color w:val="auto"/>
              </w:rPr>
            </w:pPr>
          </w:p>
        </w:tc>
      </w:tr>
      <w:tr>
        <w:trPr>
          <w:trHeight w:val="224"/>
        </w:trPr>
        <w:tc>
          <w:tcPr>
            <w:tcW w:w="480" w:type="dxa"/>
            <w:vAlign w:val="bottom"/>
          </w:tcPr>
          <w:p>
            <w:pPr>
              <w:spacing w:after="0"/>
              <w:rPr>
                <w:sz w:val="19"/>
                <w:szCs w:val="19"/>
                <w:color w:val="auto"/>
              </w:rPr>
            </w:pPr>
          </w:p>
        </w:tc>
        <w:tc>
          <w:tcPr>
            <w:tcW w:w="2080" w:type="dxa"/>
            <w:vAlign w:val="bottom"/>
            <w:gridSpan w:val="2"/>
          </w:tcPr>
          <w:p>
            <w:pPr>
              <w:jc w:val="center"/>
              <w:ind w:right="371"/>
              <w:spacing w:after="0"/>
              <w:rPr>
                <w:sz w:val="20"/>
                <w:szCs w:val="20"/>
                <w:color w:val="auto"/>
              </w:rPr>
            </w:pPr>
            <w:r>
              <w:rPr>
                <w:rFonts w:ascii="Arial" w:cs="Arial" w:eastAsia="Arial" w:hAnsi="Arial"/>
                <w:sz w:val="18"/>
                <w:szCs w:val="18"/>
                <w:color w:val="auto"/>
                <w:w w:val="96"/>
              </w:rPr>
              <w:t>Dr. John M. Cioffi</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8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18"/>
        </w:trPr>
        <w:tc>
          <w:tcPr>
            <w:tcW w:w="480" w:type="dxa"/>
            <w:vAlign w:val="bottom"/>
            <w:tcBorders>
              <w:bottom w:val="single" w:sz="8" w:color="auto"/>
            </w:tcBorders>
          </w:tcPr>
          <w:p>
            <w:pPr>
              <w:spacing w:after="0"/>
              <w:rPr>
                <w:sz w:val="24"/>
                <w:szCs w:val="24"/>
                <w:color w:val="auto"/>
              </w:rPr>
            </w:pPr>
          </w:p>
        </w:tc>
        <w:tc>
          <w:tcPr>
            <w:tcW w:w="2080" w:type="dxa"/>
            <w:vAlign w:val="bottom"/>
            <w:tcBorders>
              <w:bottom w:val="single" w:sz="8" w:color="auto"/>
            </w:tcBorders>
            <w:gridSpan w:val="2"/>
          </w:tcPr>
          <w:p>
            <w:pPr>
              <w:jc w:val="center"/>
              <w:ind w:right="391"/>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4"/>
                <w:szCs w:val="24"/>
                <w:color w:val="auto"/>
              </w:rPr>
            </w:pPr>
          </w:p>
        </w:tc>
        <w:tc>
          <w:tcPr>
            <w:tcW w:w="6140" w:type="dxa"/>
            <w:vAlign w:val="bottom"/>
            <w:gridSpan w:val="3"/>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21, 2005</w:t>
            </w:r>
          </w:p>
        </w:tc>
        <w:tc>
          <w:tcPr>
            <w:tcW w:w="20" w:type="dxa"/>
            <w:vAlign w:val="bottom"/>
          </w:tcPr>
          <w:p>
            <w:pPr>
              <w:spacing w:after="0"/>
              <w:rPr>
                <w:sz w:val="24"/>
                <w:szCs w:val="24"/>
                <w:color w:val="auto"/>
              </w:rPr>
            </w:pPr>
          </w:p>
        </w:tc>
      </w:tr>
      <w:tr>
        <w:trPr>
          <w:trHeight w:val="224"/>
        </w:trPr>
        <w:tc>
          <w:tcPr>
            <w:tcW w:w="4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920" w:type="dxa"/>
            <w:vAlign w:val="bottom"/>
          </w:tcPr>
          <w:p>
            <w:pPr>
              <w:jc w:val="center"/>
              <w:ind w:right="551"/>
              <w:spacing w:after="0"/>
              <w:rPr>
                <w:sz w:val="20"/>
                <w:szCs w:val="20"/>
                <w:color w:val="auto"/>
              </w:rPr>
            </w:pPr>
            <w:r>
              <w:rPr>
                <w:rFonts w:ascii="Arial" w:cs="Arial" w:eastAsia="Arial" w:hAnsi="Arial"/>
                <w:sz w:val="18"/>
                <w:szCs w:val="18"/>
                <w:color w:val="auto"/>
                <w:w w:val="90"/>
              </w:rPr>
              <w:t>Dr. Paul R. Gray</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8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18"/>
        </w:trPr>
        <w:tc>
          <w:tcPr>
            <w:tcW w:w="480" w:type="dxa"/>
            <w:vAlign w:val="bottom"/>
            <w:tcBorders>
              <w:bottom w:val="single" w:sz="8" w:color="auto"/>
            </w:tcBorders>
          </w:tcPr>
          <w:p>
            <w:pPr>
              <w:spacing w:after="0"/>
              <w:rPr>
                <w:sz w:val="24"/>
                <w:szCs w:val="24"/>
                <w:color w:val="auto"/>
              </w:rPr>
            </w:pPr>
          </w:p>
        </w:tc>
        <w:tc>
          <w:tcPr>
            <w:tcW w:w="2080" w:type="dxa"/>
            <w:vAlign w:val="bottom"/>
            <w:tcBorders>
              <w:bottom w:val="single" w:sz="8" w:color="auto"/>
            </w:tcBorders>
            <w:gridSpan w:val="2"/>
          </w:tcPr>
          <w:p>
            <w:pPr>
              <w:jc w:val="center"/>
              <w:ind w:right="391"/>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4"/>
                <w:szCs w:val="24"/>
                <w:color w:val="auto"/>
              </w:rPr>
            </w:pPr>
          </w:p>
        </w:tc>
        <w:tc>
          <w:tcPr>
            <w:tcW w:w="6140" w:type="dxa"/>
            <w:vAlign w:val="bottom"/>
            <w:gridSpan w:val="3"/>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21, 2005</w:t>
            </w:r>
          </w:p>
        </w:tc>
        <w:tc>
          <w:tcPr>
            <w:tcW w:w="20" w:type="dxa"/>
            <w:vAlign w:val="bottom"/>
          </w:tcPr>
          <w:p>
            <w:pPr>
              <w:spacing w:after="0"/>
              <w:rPr>
                <w:sz w:val="24"/>
                <w:szCs w:val="24"/>
                <w:color w:val="auto"/>
              </w:rPr>
            </w:pPr>
          </w:p>
        </w:tc>
      </w:tr>
      <w:tr>
        <w:trPr>
          <w:trHeight w:val="224"/>
        </w:trPr>
        <w:tc>
          <w:tcPr>
            <w:tcW w:w="4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920" w:type="dxa"/>
            <w:vAlign w:val="bottom"/>
          </w:tcPr>
          <w:p>
            <w:pPr>
              <w:jc w:val="center"/>
              <w:ind w:right="551"/>
              <w:spacing w:after="0"/>
              <w:rPr>
                <w:sz w:val="20"/>
                <w:szCs w:val="20"/>
                <w:color w:val="auto"/>
              </w:rPr>
            </w:pPr>
            <w:r>
              <w:rPr>
                <w:rFonts w:ascii="Arial" w:cs="Arial" w:eastAsia="Arial" w:hAnsi="Arial"/>
                <w:sz w:val="18"/>
                <w:szCs w:val="18"/>
                <w:color w:val="auto"/>
                <w:w w:val="93"/>
              </w:rPr>
              <w:t>Douglas King</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8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418"/>
        </w:trPr>
        <w:tc>
          <w:tcPr>
            <w:tcW w:w="480" w:type="dxa"/>
            <w:vAlign w:val="bottom"/>
            <w:tcBorders>
              <w:bottom w:val="single" w:sz="8" w:color="auto"/>
            </w:tcBorders>
          </w:tcPr>
          <w:p>
            <w:pPr>
              <w:spacing w:after="0"/>
              <w:rPr>
                <w:sz w:val="24"/>
                <w:szCs w:val="24"/>
                <w:color w:val="auto"/>
              </w:rPr>
            </w:pPr>
          </w:p>
        </w:tc>
        <w:tc>
          <w:tcPr>
            <w:tcW w:w="2080" w:type="dxa"/>
            <w:vAlign w:val="bottom"/>
            <w:tcBorders>
              <w:bottom w:val="single" w:sz="8" w:color="auto"/>
            </w:tcBorders>
            <w:gridSpan w:val="2"/>
          </w:tcPr>
          <w:p>
            <w:pPr>
              <w:jc w:val="center"/>
              <w:ind w:right="391"/>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4"/>
                <w:szCs w:val="24"/>
                <w:color w:val="auto"/>
              </w:rPr>
            </w:pPr>
          </w:p>
        </w:tc>
        <w:tc>
          <w:tcPr>
            <w:tcW w:w="6140" w:type="dxa"/>
            <w:vAlign w:val="bottom"/>
            <w:gridSpan w:val="3"/>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21, 2005</w:t>
            </w:r>
          </w:p>
        </w:tc>
        <w:tc>
          <w:tcPr>
            <w:tcW w:w="20" w:type="dxa"/>
            <w:vAlign w:val="bottom"/>
          </w:tcPr>
          <w:p>
            <w:pPr>
              <w:spacing w:after="0"/>
              <w:rPr>
                <w:sz w:val="24"/>
                <w:szCs w:val="24"/>
                <w:color w:val="auto"/>
              </w:rPr>
            </w:pPr>
          </w:p>
        </w:tc>
      </w:tr>
      <w:tr>
        <w:trPr>
          <w:trHeight w:val="224"/>
        </w:trPr>
        <w:tc>
          <w:tcPr>
            <w:tcW w:w="4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920" w:type="dxa"/>
            <w:vAlign w:val="bottom"/>
          </w:tcPr>
          <w:p>
            <w:pPr>
              <w:jc w:val="center"/>
              <w:ind w:right="551"/>
              <w:spacing w:after="0"/>
              <w:rPr>
                <w:sz w:val="20"/>
                <w:szCs w:val="20"/>
                <w:color w:val="auto"/>
              </w:rPr>
            </w:pPr>
            <w:r>
              <w:rPr>
                <w:rFonts w:ascii="Arial" w:cs="Arial" w:eastAsia="Arial" w:hAnsi="Arial"/>
                <w:sz w:val="18"/>
                <w:szCs w:val="18"/>
                <w:color w:val="auto"/>
                <w:w w:val="94"/>
              </w:rPr>
              <w:t>Arturo Krueger</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8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296"/>
        </w:trPr>
        <w:tc>
          <w:tcPr>
            <w:tcW w:w="48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92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58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42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304"/>
        </w:trPr>
        <w:tc>
          <w:tcPr>
            <w:tcW w:w="480" w:type="dxa"/>
            <w:vAlign w:val="bottom"/>
          </w:tcPr>
          <w:p>
            <w:pPr>
              <w:spacing w:after="0"/>
              <w:rPr>
                <w:sz w:val="20"/>
                <w:szCs w:val="20"/>
                <w:color w:val="auto"/>
              </w:rPr>
            </w:pPr>
            <w:r>
              <w:rPr>
                <w:rFonts w:ascii="Arial" w:cs="Arial" w:eastAsia="Arial" w:hAnsi="Arial"/>
                <w:sz w:val="18"/>
                <w:szCs w:val="18"/>
                <w:color w:val="auto"/>
              </w:rPr>
              <w:t>*</w:t>
            </w:r>
            <w:r>
              <w:rPr>
                <w:rFonts w:ascii="Arial" w:cs="Arial" w:eastAsia="Arial" w:hAnsi="Arial"/>
                <w:sz w:val="17"/>
                <w:szCs w:val="17"/>
                <w:color w:val="auto"/>
              </w:rPr>
              <w:t>By:</w:t>
            </w:r>
          </w:p>
        </w:tc>
        <w:tc>
          <w:tcPr>
            <w:tcW w:w="160" w:type="dxa"/>
            <w:vAlign w:val="bottom"/>
          </w:tcPr>
          <w:p>
            <w:pPr>
              <w:spacing w:after="0"/>
              <w:rPr>
                <w:sz w:val="24"/>
                <w:szCs w:val="24"/>
                <w:color w:val="auto"/>
              </w:rPr>
            </w:pPr>
          </w:p>
        </w:tc>
        <w:tc>
          <w:tcPr>
            <w:tcW w:w="1920" w:type="dxa"/>
            <w:vAlign w:val="bottom"/>
            <w:tcBorders>
              <w:bottom w:val="single" w:sz="8" w:color="auto"/>
            </w:tcBorders>
          </w:tcPr>
          <w:p>
            <w:pPr>
              <w:jc w:val="center"/>
              <w:ind w:right="511"/>
              <w:spacing w:after="0"/>
              <w:rPr>
                <w:sz w:val="20"/>
                <w:szCs w:val="20"/>
                <w:color w:val="auto"/>
              </w:rPr>
            </w:pPr>
            <w:r>
              <w:rPr>
                <w:rFonts w:ascii="Arial" w:cs="Arial" w:eastAsia="Arial" w:hAnsi="Arial"/>
                <w:sz w:val="18"/>
                <w:szCs w:val="18"/>
                <w:color w:val="auto"/>
                <w:w w:val="90"/>
              </w:rPr>
              <w:t>/s/ George Hervey</w:t>
            </w:r>
          </w:p>
        </w:tc>
        <w:tc>
          <w:tcPr>
            <w:tcW w:w="30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584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242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r>
      <w:tr>
        <w:trPr>
          <w:trHeight w:val="195"/>
        </w:trPr>
        <w:tc>
          <w:tcPr>
            <w:tcW w:w="4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920" w:type="dxa"/>
            <w:vAlign w:val="bottom"/>
          </w:tcPr>
          <w:p>
            <w:pPr>
              <w:spacing w:after="0" w:line="195" w:lineRule="exact"/>
              <w:rPr>
                <w:sz w:val="20"/>
                <w:szCs w:val="20"/>
                <w:color w:val="auto"/>
              </w:rPr>
            </w:pPr>
            <w:r>
              <w:rPr>
                <w:rFonts w:ascii="Arial" w:cs="Arial" w:eastAsia="Arial" w:hAnsi="Arial"/>
                <w:sz w:val="18"/>
                <w:szCs w:val="18"/>
                <w:color w:val="auto"/>
              </w:rPr>
              <w:t>George Hervey</w:t>
            </w:r>
          </w:p>
        </w:tc>
        <w:tc>
          <w:tcPr>
            <w:tcW w:w="3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58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420" w:type="dxa"/>
            <w:vAlign w:val="bottom"/>
          </w:tcPr>
          <w:p>
            <w:pPr>
              <w:spacing w:after="0"/>
              <w:rPr>
                <w:sz w:val="16"/>
                <w:szCs w:val="16"/>
                <w:color w:val="auto"/>
              </w:rPr>
            </w:pPr>
          </w:p>
        </w:tc>
        <w:tc>
          <w:tcPr>
            <w:tcW w:w="20" w:type="dxa"/>
            <w:vAlign w:val="bottom"/>
          </w:tcPr>
          <w:p>
            <w:pPr>
              <w:spacing w:after="0"/>
              <w:rPr>
                <w:sz w:val="16"/>
                <w:szCs w:val="16"/>
                <w:color w:val="auto"/>
              </w:rPr>
            </w:pPr>
          </w:p>
        </w:tc>
      </w:tr>
      <w:tr>
        <w:trPr>
          <w:trHeight w:val="230"/>
        </w:trPr>
        <w:tc>
          <w:tcPr>
            <w:tcW w:w="4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920" w:type="dxa"/>
            <w:vAlign w:val="bottom"/>
          </w:tcPr>
          <w:p>
            <w:pPr>
              <w:spacing w:after="0"/>
              <w:rPr>
                <w:sz w:val="20"/>
                <w:szCs w:val="20"/>
                <w:color w:val="auto"/>
              </w:rPr>
            </w:pPr>
            <w:r>
              <w:rPr>
                <w:rFonts w:ascii="Arial" w:cs="Arial" w:eastAsia="Arial" w:hAnsi="Arial"/>
                <w:sz w:val="18"/>
                <w:szCs w:val="18"/>
                <w:color w:val="auto"/>
              </w:rPr>
              <w:t>Attorney-in-fact</w:t>
            </w:r>
          </w:p>
        </w:tc>
        <w:tc>
          <w:tcPr>
            <w:tcW w:w="3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42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432"/>
        </w:trPr>
        <w:tc>
          <w:tcPr>
            <w:tcW w:w="4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120" w:type="dxa"/>
            <w:vAlign w:val="bottom"/>
            <w:gridSpan w:val="2"/>
          </w:tcPr>
          <w:p>
            <w:pPr>
              <w:ind w:left="2700"/>
              <w:spacing w:after="0"/>
              <w:rPr>
                <w:sz w:val="20"/>
                <w:szCs w:val="20"/>
                <w:color w:val="auto"/>
              </w:rPr>
            </w:pPr>
            <w:r>
              <w:rPr>
                <w:rFonts w:ascii="Arial" w:cs="Arial" w:eastAsia="Arial" w:hAnsi="Arial"/>
                <w:sz w:val="18"/>
                <w:szCs w:val="18"/>
                <w:color w:val="auto"/>
              </w:rPr>
              <w:t>II-3</w:t>
            </w:r>
          </w:p>
        </w:tc>
        <w:tc>
          <w:tcPr>
            <w:tcW w:w="242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91"/>
        </w:trPr>
        <w:tc>
          <w:tcPr>
            <w:tcW w:w="480" w:type="dxa"/>
            <w:vAlign w:val="bottom"/>
            <w:tcBorders>
              <w:bottom w:val="single" w:sz="8" w:color="808080"/>
            </w:tcBorders>
          </w:tcPr>
          <w:p>
            <w:pPr>
              <w:spacing w:after="0"/>
              <w:rPr>
                <w:sz w:val="7"/>
                <w:szCs w:val="7"/>
                <w:color w:val="auto"/>
              </w:rPr>
            </w:pPr>
          </w:p>
        </w:tc>
        <w:tc>
          <w:tcPr>
            <w:tcW w:w="160" w:type="dxa"/>
            <w:vAlign w:val="bottom"/>
            <w:tcBorders>
              <w:bottom w:val="single" w:sz="8" w:color="808080"/>
            </w:tcBorders>
          </w:tcPr>
          <w:p>
            <w:pPr>
              <w:spacing w:after="0"/>
              <w:rPr>
                <w:sz w:val="7"/>
                <w:szCs w:val="7"/>
                <w:color w:val="auto"/>
              </w:rPr>
            </w:pPr>
          </w:p>
        </w:tc>
        <w:tc>
          <w:tcPr>
            <w:tcW w:w="1920" w:type="dxa"/>
            <w:vAlign w:val="bottom"/>
            <w:tcBorders>
              <w:bottom w:val="single" w:sz="8" w:color="808080"/>
            </w:tcBorders>
          </w:tcPr>
          <w:p>
            <w:pPr>
              <w:spacing w:after="0"/>
              <w:rPr>
                <w:sz w:val="7"/>
                <w:szCs w:val="7"/>
                <w:color w:val="auto"/>
              </w:rPr>
            </w:pPr>
          </w:p>
        </w:tc>
        <w:tc>
          <w:tcPr>
            <w:tcW w:w="30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c>
          <w:tcPr>
            <w:tcW w:w="5840" w:type="dxa"/>
            <w:vAlign w:val="bottom"/>
            <w:tcBorders>
              <w:bottom w:val="single" w:sz="8" w:color="808080"/>
            </w:tcBorders>
          </w:tcPr>
          <w:p>
            <w:pPr>
              <w:spacing w:after="0"/>
              <w:rPr>
                <w:sz w:val="7"/>
                <w:szCs w:val="7"/>
                <w:color w:val="auto"/>
              </w:rPr>
            </w:pPr>
          </w:p>
        </w:tc>
        <w:tc>
          <w:tcPr>
            <w:tcW w:w="280" w:type="dxa"/>
            <w:vAlign w:val="bottom"/>
            <w:tcBorders>
              <w:bottom w:val="single" w:sz="8" w:color="808080"/>
            </w:tcBorders>
          </w:tcPr>
          <w:p>
            <w:pPr>
              <w:spacing w:after="0"/>
              <w:rPr>
                <w:sz w:val="7"/>
                <w:szCs w:val="7"/>
                <w:color w:val="auto"/>
              </w:rPr>
            </w:pPr>
          </w:p>
        </w:tc>
        <w:tc>
          <w:tcPr>
            <w:tcW w:w="242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125" w:right="219" w:bottom="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34"/>
        </w:trPr>
        <w:tc>
          <w:tcPr>
            <w:tcW w:w="92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820" w:type="dxa"/>
            <w:vAlign w:val="bottom"/>
          </w:tcPr>
          <w:p>
            <w:pPr>
              <w:ind w:left="364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342"/>
        </w:trPr>
        <w:tc>
          <w:tcPr>
            <w:tcW w:w="1380" w:type="dxa"/>
            <w:vAlign w:val="bottom"/>
            <w:gridSpan w:val="2"/>
          </w:tcPr>
          <w:p>
            <w:pPr>
              <w:ind w:left="20"/>
              <w:spacing w:after="0"/>
              <w:rPr>
                <w:sz w:val="20"/>
                <w:szCs w:val="20"/>
                <w:color w:val="auto"/>
              </w:rPr>
            </w:pPr>
            <w:r>
              <w:rPr>
                <w:rFonts w:ascii="Arial" w:cs="Arial" w:eastAsia="Arial" w:hAnsi="Arial"/>
                <w:sz w:val="14"/>
                <w:szCs w:val="14"/>
                <w:b w:val="1"/>
                <w:bCs w:val="1"/>
                <w:color w:val="auto"/>
              </w:rPr>
              <w:t>Exhibit</w:t>
            </w:r>
          </w:p>
        </w:tc>
        <w:tc>
          <w:tcPr>
            <w:tcW w:w="9820" w:type="dxa"/>
            <w:vAlign w:val="bottom"/>
            <w:vMerge w:val="restart"/>
          </w:tcPr>
          <w:p>
            <w:pPr>
              <w:ind w:left="4140"/>
              <w:spacing w:after="0"/>
              <w:rPr>
                <w:sz w:val="20"/>
                <w:szCs w:val="20"/>
                <w:color w:val="auto"/>
              </w:rPr>
            </w:pPr>
            <w:r>
              <w:rPr>
                <w:rFonts w:ascii="Arial" w:cs="Arial" w:eastAsia="Arial" w:hAnsi="Arial"/>
                <w:sz w:val="14"/>
                <w:szCs w:val="14"/>
                <w:b w:val="1"/>
                <w:bCs w:val="1"/>
                <w:color w:val="auto"/>
              </w:rPr>
              <w:t>Description of Document</w:t>
            </w:r>
          </w:p>
        </w:tc>
        <w:tc>
          <w:tcPr>
            <w:tcW w:w="0" w:type="dxa"/>
            <w:vAlign w:val="bottom"/>
          </w:tcPr>
          <w:p>
            <w:pPr>
              <w:spacing w:after="0"/>
              <w:rPr>
                <w:sz w:val="1"/>
                <w:szCs w:val="1"/>
                <w:color w:val="auto"/>
              </w:rPr>
            </w:pPr>
          </w:p>
        </w:tc>
      </w:tr>
      <w:tr>
        <w:trPr>
          <w:trHeight w:val="171"/>
        </w:trPr>
        <w:tc>
          <w:tcPr>
            <w:tcW w:w="92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Number</w:t>
            </w:r>
          </w:p>
        </w:tc>
        <w:tc>
          <w:tcPr>
            <w:tcW w:w="460" w:type="dxa"/>
            <w:vAlign w:val="bottom"/>
          </w:tcPr>
          <w:p>
            <w:pPr>
              <w:spacing w:after="0"/>
              <w:rPr>
                <w:sz w:val="14"/>
                <w:szCs w:val="14"/>
                <w:color w:val="auto"/>
              </w:rPr>
            </w:pPr>
          </w:p>
        </w:tc>
        <w:tc>
          <w:tcPr>
            <w:tcW w:w="9820" w:type="dxa"/>
            <w:vAlign w:val="bottom"/>
            <w:tcBorders>
              <w:bottom w:val="single" w:sz="8" w:color="auto"/>
            </w:tcBorders>
            <w:vMerge w:val="continue"/>
          </w:tcPr>
          <w:p>
            <w:pPr>
              <w:spacing w:after="0"/>
              <w:rPr>
                <w:sz w:val="14"/>
                <w:szCs w:val="14"/>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680"/>
        <w:spacing w:after="0"/>
        <w:tabs>
          <w:tab w:leader="none" w:pos="1380" w:val="left"/>
        </w:tabs>
        <w:rPr>
          <w:sz w:val="20"/>
          <w:szCs w:val="20"/>
          <w:color w:val="auto"/>
        </w:rPr>
      </w:pPr>
      <w:r>
        <w:rPr>
          <w:rFonts w:ascii="Arial" w:cs="Arial" w:eastAsia="Arial" w:hAnsi="Arial"/>
          <w:sz w:val="18"/>
          <w:szCs w:val="18"/>
          <w:color w:val="auto"/>
        </w:rPr>
        <w:t>5.1</w:t>
      </w:r>
      <w:r>
        <w:rPr>
          <w:sz w:val="20"/>
          <w:szCs w:val="20"/>
          <w:color w:val="auto"/>
        </w:rPr>
        <w:tab/>
      </w:r>
      <w:r>
        <w:rPr>
          <w:rFonts w:ascii="Arial" w:cs="Arial" w:eastAsia="Arial" w:hAnsi="Arial"/>
          <w:sz w:val="16"/>
          <w:szCs w:val="16"/>
          <w:color w:val="auto"/>
        </w:rPr>
        <w:t>Opinion of Appleby Spurling Hunter.</w:t>
      </w:r>
    </w:p>
    <w:p>
      <w:pPr>
        <w:spacing w:after="0" w:line="225" w:lineRule="exact"/>
        <w:rPr>
          <w:sz w:val="20"/>
          <w:szCs w:val="20"/>
          <w:color w:val="auto"/>
        </w:rPr>
      </w:pPr>
    </w:p>
    <w:p>
      <w:pPr>
        <w:ind w:left="600"/>
        <w:spacing w:after="0"/>
        <w:tabs>
          <w:tab w:leader="none" w:pos="1380" w:val="left"/>
        </w:tabs>
        <w:rPr>
          <w:sz w:val="20"/>
          <w:szCs w:val="20"/>
          <w:color w:val="auto"/>
        </w:rPr>
      </w:pPr>
      <w:r>
        <w:rPr>
          <w:rFonts w:ascii="Arial" w:cs="Arial" w:eastAsia="Arial" w:hAnsi="Arial"/>
          <w:sz w:val="18"/>
          <w:szCs w:val="18"/>
          <w:color w:val="auto"/>
        </w:rPr>
        <w:t>23.1 **</w:t>
      </w:r>
      <w:r>
        <w:rPr>
          <w:sz w:val="20"/>
          <w:szCs w:val="20"/>
          <w:color w:val="auto"/>
        </w:rPr>
        <w:tab/>
      </w:r>
      <w:r>
        <w:rPr>
          <w:rFonts w:ascii="Arial" w:cs="Arial" w:eastAsia="Arial" w:hAnsi="Arial"/>
          <w:sz w:val="16"/>
          <w:szCs w:val="16"/>
          <w:color w:val="auto"/>
        </w:rPr>
        <w:t>Consent of PricewaterhouseCoopers LLP, Independent Registered Public Accounting Firm.</w:t>
      </w:r>
    </w:p>
    <w:p>
      <w:pPr>
        <w:spacing w:after="0" w:line="225" w:lineRule="exact"/>
        <w:rPr>
          <w:sz w:val="20"/>
          <w:szCs w:val="20"/>
          <w:color w:val="auto"/>
        </w:rPr>
      </w:pPr>
    </w:p>
    <w:p>
      <w:pPr>
        <w:ind w:left="600"/>
        <w:spacing w:after="0"/>
        <w:tabs>
          <w:tab w:leader="none" w:pos="1380" w:val="left"/>
        </w:tabs>
        <w:rPr>
          <w:sz w:val="20"/>
          <w:szCs w:val="20"/>
          <w:color w:val="auto"/>
        </w:rPr>
      </w:pPr>
      <w:r>
        <w:rPr>
          <w:rFonts w:ascii="Arial" w:cs="Arial" w:eastAsia="Arial" w:hAnsi="Arial"/>
          <w:sz w:val="18"/>
          <w:szCs w:val="18"/>
          <w:color w:val="auto"/>
        </w:rPr>
        <w:t>23.2</w:t>
      </w:r>
      <w:r>
        <w:rPr>
          <w:sz w:val="20"/>
          <w:szCs w:val="20"/>
          <w:color w:val="auto"/>
        </w:rPr>
        <w:tab/>
      </w:r>
      <w:r>
        <w:rPr>
          <w:rFonts w:ascii="Arial" w:cs="Arial" w:eastAsia="Arial" w:hAnsi="Arial"/>
          <w:sz w:val="16"/>
          <w:szCs w:val="16"/>
          <w:color w:val="auto"/>
        </w:rPr>
        <w:t>Consent of Appleby Spurling Hunter (included in its opinion filed as Exhibit 5.1).</w:t>
      </w:r>
    </w:p>
    <w:p>
      <w:pPr>
        <w:spacing w:after="0" w:line="225" w:lineRule="exact"/>
        <w:rPr>
          <w:sz w:val="20"/>
          <w:szCs w:val="20"/>
          <w:color w:val="auto"/>
        </w:rPr>
      </w:pPr>
    </w:p>
    <w:p>
      <w:pPr>
        <w:ind w:left="600"/>
        <w:spacing w:after="0"/>
        <w:tabs>
          <w:tab w:leader="none" w:pos="1380" w:val="left"/>
        </w:tabs>
        <w:rPr>
          <w:sz w:val="20"/>
          <w:szCs w:val="20"/>
          <w:color w:val="auto"/>
        </w:rPr>
      </w:pPr>
      <w:r>
        <w:rPr>
          <w:rFonts w:ascii="Arial" w:cs="Arial" w:eastAsia="Arial" w:hAnsi="Arial"/>
          <w:sz w:val="18"/>
          <w:szCs w:val="18"/>
          <w:color w:val="auto"/>
        </w:rPr>
        <w:t>24.1 **</w:t>
      </w:r>
      <w:r>
        <w:rPr>
          <w:sz w:val="20"/>
          <w:szCs w:val="20"/>
          <w:color w:val="auto"/>
        </w:rPr>
        <w:tab/>
      </w:r>
      <w:r>
        <w:rPr>
          <w:rFonts w:ascii="Arial" w:cs="Arial" w:eastAsia="Arial" w:hAnsi="Arial"/>
          <w:sz w:val="16"/>
          <w:szCs w:val="16"/>
          <w:color w:val="auto"/>
        </w:rPr>
        <w:t>Power of Attorney (see page II-3).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74930</wp:posOffset>
            </wp:positionV>
            <wp:extent cx="182689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Previously filed.</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II-1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200"/>
          </w:cols>
          <w:pgMar w:left="240" w:top="580" w:right="459" w:bottom="1440" w:gutter="0" w:footer="0" w:header="0"/>
        </w:sectPr>
      </w:pPr>
    </w:p>
    <w:bookmarkStart w:id="4" w:name="page5"/>
    <w:bookmarkEnd w:id="4"/>
    <w:p>
      <w:pPr>
        <w:spacing w:after="0" w:line="60"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820" w:type="dxa"/>
            <w:vAlign w:val="bottom"/>
          </w:tcPr>
          <w:p>
            <w:pPr>
              <w:spacing w:after="0"/>
              <w:rPr>
                <w:sz w:val="20"/>
                <w:szCs w:val="20"/>
                <w:color w:val="auto"/>
              </w:rPr>
            </w:pPr>
          </w:p>
        </w:tc>
        <w:tc>
          <w:tcPr>
            <w:tcW w:w="5600" w:type="dxa"/>
            <w:vAlign w:val="bottom"/>
          </w:tcPr>
          <w:p>
            <w:pPr>
              <w:jc w:val="right"/>
              <w:spacing w:after="0"/>
              <w:rPr>
                <w:sz w:val="20"/>
                <w:szCs w:val="20"/>
                <w:color w:val="auto"/>
              </w:rPr>
            </w:pPr>
            <w:r>
              <w:rPr>
                <w:rFonts w:ascii="Arial" w:cs="Arial" w:eastAsia="Arial" w:hAnsi="Arial"/>
                <w:sz w:val="18"/>
                <w:szCs w:val="18"/>
                <w:b w:val="1"/>
                <w:bCs w:val="1"/>
                <w:color w:val="auto"/>
              </w:rPr>
              <w:t xml:space="preserve">EXHIBIT </w:t>
            </w:r>
            <w:r>
              <w:rPr>
                <w:rFonts w:ascii="Arial" w:cs="Arial" w:eastAsia="Arial" w:hAnsi="Arial"/>
                <w:sz w:val="17"/>
                <w:szCs w:val="17"/>
                <w:b w:val="1"/>
                <w:bCs w:val="1"/>
                <w:color w:val="auto"/>
              </w:rPr>
              <w:t>5.1</w:t>
            </w:r>
          </w:p>
        </w:tc>
        <w:tc>
          <w:tcPr>
            <w:tcW w:w="0" w:type="dxa"/>
            <w:vAlign w:val="bottom"/>
          </w:tcPr>
          <w:p>
            <w:pPr>
              <w:spacing w:after="0"/>
              <w:rPr>
                <w:sz w:val="1"/>
                <w:szCs w:val="1"/>
                <w:color w:val="auto"/>
              </w:rPr>
            </w:pPr>
          </w:p>
        </w:tc>
      </w:tr>
      <w:tr>
        <w:trPr>
          <w:trHeight w:val="418"/>
        </w:trPr>
        <w:tc>
          <w:tcPr>
            <w:tcW w:w="5820" w:type="dxa"/>
            <w:vAlign w:val="bottom"/>
          </w:tcPr>
          <w:p>
            <w:pPr>
              <w:spacing w:after="0"/>
              <w:rPr>
                <w:sz w:val="24"/>
                <w:szCs w:val="24"/>
                <w:color w:val="auto"/>
              </w:rPr>
            </w:pPr>
          </w:p>
        </w:tc>
        <w:tc>
          <w:tcPr>
            <w:tcW w:w="5600" w:type="dxa"/>
            <w:vAlign w:val="bottom"/>
          </w:tcPr>
          <w:p>
            <w:pPr>
              <w:jc w:val="right"/>
              <w:spacing w:after="0"/>
              <w:rPr>
                <w:sz w:val="20"/>
                <w:szCs w:val="20"/>
                <w:color w:val="auto"/>
              </w:rPr>
            </w:pPr>
            <w:r>
              <w:rPr>
                <w:rFonts w:ascii="Arial" w:cs="Arial" w:eastAsia="Arial" w:hAnsi="Arial"/>
                <w:sz w:val="18"/>
                <w:szCs w:val="18"/>
                <w:b w:val="1"/>
                <w:bCs w:val="1"/>
                <w:color w:val="auto"/>
              </w:rPr>
              <w:t>e-mail:</w:t>
            </w:r>
          </w:p>
        </w:tc>
        <w:tc>
          <w:tcPr>
            <w:tcW w:w="0" w:type="dxa"/>
            <w:vAlign w:val="bottom"/>
          </w:tcPr>
          <w:p>
            <w:pPr>
              <w:spacing w:after="0"/>
              <w:rPr>
                <w:sz w:val="1"/>
                <w:szCs w:val="1"/>
                <w:color w:val="auto"/>
              </w:rPr>
            </w:pPr>
          </w:p>
        </w:tc>
      </w:tr>
      <w:tr>
        <w:trPr>
          <w:trHeight w:val="230"/>
        </w:trPr>
        <w:tc>
          <w:tcPr>
            <w:tcW w:w="5820" w:type="dxa"/>
            <w:vAlign w:val="bottom"/>
            <w:vMerge w:val="restart"/>
          </w:tcPr>
          <w:p>
            <w:pPr>
              <w:spacing w:after="0"/>
              <w:rPr>
                <w:sz w:val="20"/>
                <w:szCs w:val="20"/>
                <w:color w:val="auto"/>
              </w:rPr>
            </w:pPr>
            <w:r>
              <w:rPr>
                <w:rFonts w:ascii="Arial" w:cs="Arial" w:eastAsia="Arial" w:hAnsi="Arial"/>
                <w:sz w:val="18"/>
                <w:szCs w:val="18"/>
                <w:b w:val="1"/>
                <w:bCs w:val="1"/>
                <w:color w:val="auto"/>
              </w:rPr>
              <w:t>Marvell Technology Group Ltd.</w:t>
            </w:r>
          </w:p>
        </w:tc>
        <w:tc>
          <w:tcPr>
            <w:tcW w:w="5600" w:type="dxa"/>
            <w:vAlign w:val="bottom"/>
          </w:tcPr>
          <w:p>
            <w:pPr>
              <w:jc w:val="right"/>
              <w:spacing w:after="0"/>
              <w:rPr>
                <w:sz w:val="20"/>
                <w:szCs w:val="20"/>
                <w:color w:val="auto"/>
              </w:rPr>
            </w:pPr>
            <w:r>
              <w:rPr>
                <w:rFonts w:ascii="Arial" w:cs="Arial" w:eastAsia="Arial" w:hAnsi="Arial"/>
                <w:sz w:val="18"/>
                <w:szCs w:val="18"/>
                <w:color w:val="auto"/>
              </w:rPr>
              <w:t>mmontarsolo@applebyglobal.com</w:t>
            </w:r>
          </w:p>
        </w:tc>
        <w:tc>
          <w:tcPr>
            <w:tcW w:w="0" w:type="dxa"/>
            <w:vAlign w:val="bottom"/>
          </w:tcPr>
          <w:p>
            <w:pPr>
              <w:spacing w:after="0"/>
              <w:rPr>
                <w:sz w:val="1"/>
                <w:szCs w:val="1"/>
                <w:color w:val="auto"/>
              </w:rPr>
            </w:pPr>
          </w:p>
        </w:tc>
      </w:tr>
      <w:tr>
        <w:trPr>
          <w:trHeight w:val="201"/>
        </w:trPr>
        <w:tc>
          <w:tcPr>
            <w:tcW w:w="5820" w:type="dxa"/>
            <w:vAlign w:val="bottom"/>
            <w:vMerge w:val="continue"/>
          </w:tcPr>
          <w:p>
            <w:pPr>
              <w:spacing w:after="0"/>
              <w:rPr>
                <w:sz w:val="17"/>
                <w:szCs w:val="17"/>
                <w:color w:val="auto"/>
              </w:rPr>
            </w:pPr>
          </w:p>
        </w:tc>
        <w:tc>
          <w:tcPr>
            <w:tcW w:w="560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direct dial:</w:t>
            </w:r>
          </w:p>
        </w:tc>
        <w:tc>
          <w:tcPr>
            <w:tcW w:w="0" w:type="dxa"/>
            <w:vAlign w:val="bottom"/>
          </w:tcPr>
          <w:p>
            <w:pPr>
              <w:spacing w:after="0"/>
              <w:rPr>
                <w:sz w:val="1"/>
                <w:szCs w:val="1"/>
                <w:color w:val="auto"/>
              </w:rPr>
            </w:pPr>
          </w:p>
        </w:tc>
      </w:tr>
      <w:tr>
        <w:trPr>
          <w:trHeight w:val="253"/>
        </w:trPr>
        <w:tc>
          <w:tcPr>
            <w:tcW w:w="5820" w:type="dxa"/>
            <w:vAlign w:val="bottom"/>
          </w:tcPr>
          <w:p>
            <w:pPr>
              <w:spacing w:after="0" w:line="253" w:lineRule="exact"/>
              <w:rPr>
                <w:sz w:val="20"/>
                <w:szCs w:val="20"/>
                <w:color w:val="auto"/>
              </w:rPr>
            </w:pPr>
            <w:r>
              <w:rPr>
                <w:rFonts w:ascii="Arial" w:cs="Arial" w:eastAsia="Arial" w:hAnsi="Arial"/>
                <w:sz w:val="18"/>
                <w:szCs w:val="18"/>
                <w:b w:val="1"/>
                <w:bCs w:val="1"/>
                <w:color w:val="auto"/>
              </w:rPr>
              <w:t>4</w:t>
            </w:r>
            <w:r>
              <w:rPr>
                <w:rFonts w:ascii="Arial" w:cs="Arial" w:eastAsia="Arial" w:hAnsi="Arial"/>
                <w:sz w:val="29"/>
                <w:szCs w:val="29"/>
                <w:b w:val="1"/>
                <w:bCs w:val="1"/>
                <w:color w:val="auto"/>
                <w:vertAlign w:val="superscript"/>
              </w:rPr>
              <w:t>th</w:t>
            </w:r>
            <w:r>
              <w:rPr>
                <w:rFonts w:ascii="Arial" w:cs="Arial" w:eastAsia="Arial" w:hAnsi="Arial"/>
                <w:sz w:val="18"/>
                <w:szCs w:val="18"/>
                <w:b w:val="1"/>
                <w:bCs w:val="1"/>
                <w:color w:val="auto"/>
              </w:rPr>
              <w:t xml:space="preserve"> Floor, Windsor Place</w:t>
            </w:r>
          </w:p>
        </w:tc>
        <w:tc>
          <w:tcPr>
            <w:tcW w:w="560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5820" w:type="dxa"/>
            <w:vAlign w:val="bottom"/>
          </w:tcPr>
          <w:p>
            <w:pPr>
              <w:spacing w:after="0"/>
              <w:rPr>
                <w:sz w:val="20"/>
                <w:szCs w:val="20"/>
                <w:color w:val="auto"/>
              </w:rPr>
            </w:pPr>
            <w:r>
              <w:rPr>
                <w:rFonts w:ascii="Arial" w:cs="Arial" w:eastAsia="Arial" w:hAnsi="Arial"/>
                <w:sz w:val="18"/>
                <w:szCs w:val="18"/>
                <w:b w:val="1"/>
                <w:bCs w:val="1"/>
                <w:color w:val="auto"/>
              </w:rPr>
              <w:t>22 Queen Street</w:t>
            </w:r>
          </w:p>
        </w:tc>
        <w:tc>
          <w:tcPr>
            <w:tcW w:w="560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441 298 3528</w:t>
            </w:r>
          </w:p>
        </w:tc>
        <w:tc>
          <w:tcPr>
            <w:tcW w:w="0" w:type="dxa"/>
            <w:vAlign w:val="bottom"/>
          </w:tcPr>
          <w:p>
            <w:pPr>
              <w:spacing w:after="0"/>
              <w:rPr>
                <w:sz w:val="1"/>
                <w:szCs w:val="1"/>
                <w:color w:val="auto"/>
              </w:rPr>
            </w:pPr>
          </w:p>
        </w:tc>
      </w:tr>
      <w:tr>
        <w:trPr>
          <w:trHeight w:val="216"/>
        </w:trPr>
        <w:tc>
          <w:tcPr>
            <w:tcW w:w="5820" w:type="dxa"/>
            <w:vAlign w:val="bottom"/>
          </w:tcPr>
          <w:p>
            <w:pPr>
              <w:spacing w:after="0"/>
              <w:rPr>
                <w:sz w:val="20"/>
                <w:szCs w:val="20"/>
                <w:color w:val="auto"/>
              </w:rPr>
            </w:pPr>
            <w:r>
              <w:rPr>
                <w:rFonts w:ascii="Arial" w:cs="Arial" w:eastAsia="Arial" w:hAnsi="Arial"/>
                <w:sz w:val="18"/>
                <w:szCs w:val="18"/>
                <w:b w:val="1"/>
                <w:bCs w:val="1"/>
                <w:color w:val="auto"/>
              </w:rPr>
              <w:t>Hamilton</w:t>
            </w:r>
          </w:p>
        </w:tc>
        <w:tc>
          <w:tcPr>
            <w:tcW w:w="5600" w:type="dxa"/>
            <w:vAlign w:val="bottom"/>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441 298 3369</w:t>
            </w:r>
          </w:p>
        </w:tc>
        <w:tc>
          <w:tcPr>
            <w:tcW w:w="0" w:type="dxa"/>
            <w:vAlign w:val="bottom"/>
          </w:tcPr>
          <w:p>
            <w:pPr>
              <w:spacing w:after="0"/>
              <w:rPr>
                <w:sz w:val="1"/>
                <w:szCs w:val="1"/>
                <w:color w:val="auto"/>
              </w:rPr>
            </w:pPr>
          </w:p>
        </w:tc>
      </w:tr>
      <w:tr>
        <w:trPr>
          <w:trHeight w:val="234"/>
        </w:trPr>
        <w:tc>
          <w:tcPr>
            <w:tcW w:w="5820" w:type="dxa"/>
            <w:vAlign w:val="bottom"/>
          </w:tcPr>
          <w:p>
            <w:pPr>
              <w:spacing w:after="0"/>
              <w:rPr>
                <w:sz w:val="20"/>
                <w:szCs w:val="20"/>
                <w:color w:val="auto"/>
              </w:rPr>
            </w:pPr>
            <w:r>
              <w:rPr>
                <w:rFonts w:ascii="Arial" w:cs="Arial" w:eastAsia="Arial" w:hAnsi="Arial"/>
                <w:sz w:val="18"/>
                <w:szCs w:val="18"/>
                <w:b w:val="1"/>
                <w:bCs w:val="1"/>
                <w:color w:val="auto"/>
              </w:rPr>
              <w:t>Bermuda</w:t>
            </w:r>
          </w:p>
        </w:tc>
        <w:tc>
          <w:tcPr>
            <w:tcW w:w="560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your ref:</w:t>
            </w:r>
          </w:p>
        </w:tc>
        <w:tc>
          <w:tcPr>
            <w:tcW w:w="0" w:type="dxa"/>
            <w:vAlign w:val="bottom"/>
          </w:tcPr>
          <w:p>
            <w:pPr>
              <w:spacing w:after="0"/>
              <w:rPr>
                <w:sz w:val="1"/>
                <w:szCs w:val="1"/>
                <w:color w:val="auto"/>
              </w:rPr>
            </w:pPr>
          </w:p>
        </w:tc>
      </w:tr>
      <w:tr>
        <w:trPr>
          <w:trHeight w:val="216"/>
        </w:trPr>
        <w:tc>
          <w:tcPr>
            <w:tcW w:w="5820" w:type="dxa"/>
            <w:vAlign w:val="bottom"/>
          </w:tcPr>
          <w:p>
            <w:pPr>
              <w:spacing w:after="0"/>
              <w:rPr>
                <w:sz w:val="18"/>
                <w:szCs w:val="18"/>
                <w:color w:val="auto"/>
              </w:rPr>
            </w:pPr>
          </w:p>
        </w:tc>
        <w:tc>
          <w:tcPr>
            <w:tcW w:w="560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32"/>
        </w:trPr>
        <w:tc>
          <w:tcPr>
            <w:tcW w:w="5820" w:type="dxa"/>
            <w:vAlign w:val="bottom"/>
          </w:tcPr>
          <w:p>
            <w:pPr>
              <w:spacing w:after="0"/>
              <w:rPr>
                <w:sz w:val="24"/>
                <w:szCs w:val="24"/>
                <w:color w:val="auto"/>
              </w:rPr>
            </w:pPr>
          </w:p>
        </w:tc>
        <w:tc>
          <w:tcPr>
            <w:tcW w:w="5600" w:type="dxa"/>
            <w:vAlign w:val="bottom"/>
          </w:tcPr>
          <w:p>
            <w:pPr>
              <w:jc w:val="right"/>
              <w:spacing w:after="0"/>
              <w:rPr>
                <w:sz w:val="20"/>
                <w:szCs w:val="20"/>
                <w:color w:val="auto"/>
              </w:rPr>
            </w:pPr>
            <w:r>
              <w:rPr>
                <w:rFonts w:ascii="Arial" w:cs="Arial" w:eastAsia="Arial" w:hAnsi="Arial"/>
                <w:sz w:val="18"/>
                <w:szCs w:val="18"/>
                <w:b w:val="1"/>
                <w:bCs w:val="1"/>
                <w:color w:val="auto"/>
              </w:rPr>
              <w:t>mm/fm/124914.22</w:t>
            </w:r>
          </w:p>
        </w:tc>
        <w:tc>
          <w:tcPr>
            <w:tcW w:w="0" w:type="dxa"/>
            <w:vAlign w:val="bottom"/>
          </w:tcPr>
          <w:p>
            <w:pPr>
              <w:spacing w:after="0"/>
              <w:rPr>
                <w:sz w:val="1"/>
                <w:szCs w:val="1"/>
                <w:color w:val="auto"/>
              </w:rPr>
            </w:pPr>
          </w:p>
        </w:tc>
      </w:tr>
      <w:tr>
        <w:trPr>
          <w:trHeight w:val="432"/>
        </w:trPr>
        <w:tc>
          <w:tcPr>
            <w:tcW w:w="5820" w:type="dxa"/>
            <w:vAlign w:val="bottom"/>
          </w:tcPr>
          <w:p>
            <w:pPr>
              <w:spacing w:after="0"/>
              <w:rPr>
                <w:sz w:val="20"/>
                <w:szCs w:val="20"/>
                <w:color w:val="auto"/>
              </w:rPr>
            </w:pPr>
            <w:r>
              <w:rPr>
                <w:rFonts w:ascii="Arial" w:cs="Arial" w:eastAsia="Arial" w:hAnsi="Arial"/>
                <w:sz w:val="18"/>
                <w:szCs w:val="18"/>
                <w:color w:val="auto"/>
              </w:rPr>
              <w:t>Dear Sirs</w:t>
            </w:r>
          </w:p>
        </w:tc>
        <w:tc>
          <w:tcPr>
            <w:tcW w:w="5600" w:type="dxa"/>
            <w:vAlign w:val="bottom"/>
          </w:tcPr>
          <w:p>
            <w:pPr>
              <w:jc w:val="right"/>
              <w:spacing w:after="0"/>
              <w:rPr>
                <w:sz w:val="20"/>
                <w:szCs w:val="20"/>
                <w:color w:val="auto"/>
              </w:rPr>
            </w:pPr>
            <w:r>
              <w:rPr>
                <w:rFonts w:ascii="Arial" w:cs="Arial" w:eastAsia="Arial" w:hAnsi="Arial"/>
                <w:sz w:val="18"/>
                <w:szCs w:val="18"/>
                <w:color w:val="auto"/>
              </w:rPr>
              <w:t>18 November, 2005</w:t>
            </w:r>
          </w:p>
        </w:tc>
        <w:tc>
          <w:tcPr>
            <w:tcW w:w="0" w:type="dxa"/>
            <w:vAlign w:val="bottom"/>
          </w:tcPr>
          <w:p>
            <w:pPr>
              <w:spacing w:after="0"/>
              <w:rPr>
                <w:sz w:val="1"/>
                <w:szCs w:val="1"/>
                <w:color w:val="auto"/>
              </w:rPr>
            </w:pPr>
          </w:p>
        </w:tc>
      </w:tr>
      <w:tr>
        <w:trPr>
          <w:trHeight w:val="432"/>
        </w:trPr>
        <w:tc>
          <w:tcPr>
            <w:tcW w:w="5820" w:type="dxa"/>
            <w:vAlign w:val="bottom"/>
          </w:tcPr>
          <w:p>
            <w:pPr>
              <w:spacing w:after="0"/>
              <w:rPr>
                <w:sz w:val="20"/>
                <w:szCs w:val="20"/>
                <w:color w:val="auto"/>
              </w:rPr>
            </w:pPr>
            <w:r>
              <w:rPr>
                <w:rFonts w:ascii="Arial" w:cs="Arial" w:eastAsia="Arial" w:hAnsi="Arial"/>
                <w:sz w:val="18"/>
                <w:szCs w:val="18"/>
                <w:b w:val="1"/>
                <w:bCs w:val="1"/>
                <w:color w:val="auto"/>
              </w:rPr>
              <w:t>Registration Statement on Form S3</w:t>
            </w:r>
          </w:p>
        </w:tc>
        <w:tc>
          <w:tcPr>
            <w:tcW w:w="56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We have acted as legal counsel in Bermuda to Marvell Technology Group Ltd (the “Company”) in connection with its filing with the United States Securities and Exchange Commission of a Registration Statement on Form S-3 (the “Registration Statement”), with respect to the resale of up to 980,499 of the Company’s common shares of US$ 0.002 per value per share (the “Shares”), by the selling shareholders named in the Registration Statements ( the “Selling Shareholders”).</w:t>
      </w:r>
    </w:p>
    <w:p>
      <w:pPr>
        <w:spacing w:after="0" w:line="187"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First Schedule to this opinion (the “Documents”).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Assumptions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225" w:lineRule="exact"/>
        <w:rPr>
          <w:sz w:val="20"/>
          <w:szCs w:val="20"/>
          <w:color w:val="auto"/>
        </w:rPr>
      </w:pPr>
    </w:p>
    <w:p>
      <w:pPr>
        <w:ind w:left="660" w:right="60" w:hanging="652"/>
        <w:spacing w:after="0" w:line="264" w:lineRule="auto"/>
        <w:tabs>
          <w:tab w:leader="none" w:pos="632"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authenticity, accuracy and completeness of all Documents and other documentation examined by us submitted to us as originals and the conformity to authentic original documents of all Documents and other such documentation submitted to us as certified, conformed, notarised, faxed or photostatic copies;</w:t>
      </w:r>
    </w:p>
    <w:p>
      <w:pPr>
        <w:spacing w:after="0" w:line="181" w:lineRule="exact"/>
        <w:rPr>
          <w:rFonts w:ascii="Arial" w:cs="Arial" w:eastAsia="Arial" w:hAnsi="Arial"/>
          <w:sz w:val="18"/>
          <w:szCs w:val="18"/>
          <w:color w:val="auto"/>
        </w:rPr>
      </w:pPr>
    </w:p>
    <w:p>
      <w:pPr>
        <w:ind w:left="660" w:right="320" w:hanging="652"/>
        <w:spacing w:after="0" w:line="277" w:lineRule="auto"/>
        <w:tabs>
          <w:tab w:leader="none" w:pos="642" w:val="left"/>
        </w:tabs>
        <w:numPr>
          <w:ilvl w:val="0"/>
          <w:numId w:val="4"/>
        </w:numPr>
        <w:rPr>
          <w:rFonts w:ascii="Arial" w:cs="Arial" w:eastAsia="Arial" w:hAnsi="Arial"/>
          <w:sz w:val="18"/>
          <w:szCs w:val="18"/>
          <w:color w:val="auto"/>
        </w:rPr>
      </w:pPr>
      <w:r>
        <w:rPr>
          <w:rFonts w:ascii="Arial" w:cs="Arial" w:eastAsia="Arial" w:hAnsi="Arial"/>
          <w:sz w:val="18"/>
          <w:szCs w:val="18"/>
          <w:color w:val="auto"/>
        </w:rPr>
        <w:t>that each of the Documents and other such documentation which was received by electronic means is complete, intact and in conformity with the transmission as sent;</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32" w:lineRule="exact"/>
        <w:rPr>
          <w:rFonts w:ascii="Arial" w:cs="Arial" w:eastAsia="Arial" w:hAnsi="Arial"/>
          <w:sz w:val="18"/>
          <w:szCs w:val="18"/>
          <w:color w:val="auto"/>
        </w:rPr>
      </w:pPr>
    </w:p>
    <w:p>
      <w:pPr>
        <w:ind w:left="620" w:hanging="612"/>
        <w:spacing w:after="0"/>
        <w:tabs>
          <w:tab w:leader="none" w:pos="62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genuineness of all signatures on the Documents;</w:t>
      </w:r>
    </w:p>
    <w:p>
      <w:pPr>
        <w:spacing w:after="0" w:line="225" w:lineRule="exact"/>
        <w:rPr>
          <w:rFonts w:ascii="Arial" w:cs="Arial" w:eastAsia="Arial" w:hAnsi="Arial"/>
          <w:sz w:val="18"/>
          <w:szCs w:val="18"/>
          <w:color w:val="auto"/>
        </w:rPr>
      </w:pPr>
    </w:p>
    <w:p>
      <w:pPr>
        <w:ind w:left="640" w:hanging="632"/>
        <w:spacing w:after="0"/>
        <w:tabs>
          <w:tab w:leader="none" w:pos="640" w:val="left"/>
        </w:tabs>
        <w:numPr>
          <w:ilvl w:val="0"/>
          <w:numId w:val="4"/>
        </w:numPr>
        <w:rPr>
          <w:rFonts w:ascii="Arial" w:cs="Arial" w:eastAsia="Arial" w:hAnsi="Arial"/>
          <w:sz w:val="17"/>
          <w:szCs w:val="17"/>
          <w:color w:val="auto"/>
        </w:rPr>
      </w:pPr>
      <w:r>
        <w:rPr>
          <w:rFonts w:ascii="Arial" w:cs="Arial" w:eastAsia="Arial" w:hAnsi="Arial"/>
          <w:sz w:val="17"/>
          <w:szCs w:val="17"/>
          <w:color w:val="auto"/>
        </w:rPr>
        <w:t>the authority, capacity and power of each of the persons signing the Documents (other than the Company in respect of the Documents);</w:t>
      </w:r>
    </w:p>
    <w:p>
      <w:pPr>
        <w:spacing w:after="0" w:line="236" w:lineRule="exact"/>
        <w:rPr>
          <w:rFonts w:ascii="Arial" w:cs="Arial" w:eastAsia="Arial" w:hAnsi="Arial"/>
          <w:sz w:val="17"/>
          <w:szCs w:val="17"/>
          <w:color w:val="auto"/>
        </w:rPr>
      </w:pPr>
    </w:p>
    <w:p>
      <w:pPr>
        <w:ind w:left="660" w:right="280" w:hanging="652"/>
        <w:spacing w:after="0" w:line="277" w:lineRule="auto"/>
        <w:tabs>
          <w:tab w:leader="none" w:pos="632" w:val="left"/>
        </w:tabs>
        <w:numPr>
          <w:ilvl w:val="0"/>
          <w:numId w:val="4"/>
        </w:numPr>
        <w:rPr>
          <w:rFonts w:ascii="Arial" w:cs="Arial" w:eastAsia="Arial" w:hAnsi="Arial"/>
          <w:sz w:val="18"/>
          <w:szCs w:val="18"/>
          <w:color w:val="auto"/>
        </w:rPr>
      </w:pPr>
      <w:r>
        <w:rPr>
          <w:rFonts w:ascii="Arial" w:cs="Arial" w:eastAsia="Arial" w:hAnsi="Arial"/>
          <w:sz w:val="18"/>
          <w:szCs w:val="18"/>
          <w:color w:val="auto"/>
        </w:rPr>
        <w:t>that any representation, warranty or statement of fact or law, other than as to the laws of Bermuda, made in any of the Documents is true, accurate and complete;</w:t>
      </w:r>
    </w:p>
    <w:p>
      <w:pPr>
        <w:spacing w:after="0" w:line="170" w:lineRule="exact"/>
        <w:rPr>
          <w:rFonts w:ascii="Arial" w:cs="Arial" w:eastAsia="Arial" w:hAnsi="Arial"/>
          <w:sz w:val="18"/>
          <w:szCs w:val="18"/>
          <w:color w:val="auto"/>
        </w:rPr>
      </w:pPr>
    </w:p>
    <w:p>
      <w:pPr>
        <w:ind w:left="660" w:right="60" w:hanging="652"/>
        <w:spacing w:after="0" w:line="312" w:lineRule="auto"/>
        <w:tabs>
          <w:tab w:leader="none" w:pos="651" w:val="left"/>
        </w:tabs>
        <w:numPr>
          <w:ilvl w:val="0"/>
          <w:numId w:val="4"/>
        </w:numPr>
        <w:rPr>
          <w:rFonts w:ascii="Arial" w:cs="Arial" w:eastAsia="Arial" w:hAnsi="Arial"/>
          <w:sz w:val="16"/>
          <w:szCs w:val="16"/>
          <w:color w:val="auto"/>
        </w:rPr>
      </w:pPr>
      <w:r>
        <w:rPr>
          <w:rFonts w:ascii="Arial" w:cs="Arial" w:eastAsia="Arial" w:hAnsi="Arial"/>
          <w:sz w:val="16"/>
          <w:szCs w:val="16"/>
          <w:color w:val="auto"/>
        </w:rPr>
        <w:t>that the Asset Purchase Agreement and Registration Statement have been validly authorized, executed and delivered by each of the parties thereto, other than the Company, and the performance thereof is within the capacity and powers of each such party thereto, and that each such party to which the Company purportedly delivered the Subject Agreements has actually received and accepted delivery of such Subject Agreements;</w:t>
      </w:r>
    </w:p>
    <w:p>
      <w:pPr>
        <w:spacing w:after="0" w:line="146" w:lineRule="exact"/>
        <w:rPr>
          <w:rFonts w:ascii="Arial" w:cs="Arial" w:eastAsia="Arial" w:hAnsi="Arial"/>
          <w:sz w:val="16"/>
          <w:szCs w:val="16"/>
          <w:color w:val="auto"/>
        </w:rPr>
      </w:pPr>
    </w:p>
    <w:p>
      <w:pPr>
        <w:ind w:left="660" w:right="60" w:hanging="652"/>
        <w:spacing w:after="0" w:line="277" w:lineRule="auto"/>
        <w:tabs>
          <w:tab w:leader="none" w:pos="642" w:val="left"/>
        </w:tabs>
        <w:numPr>
          <w:ilvl w:val="0"/>
          <w:numId w:val="4"/>
        </w:numPr>
        <w:rPr>
          <w:rFonts w:ascii="Arial" w:cs="Arial" w:eastAsia="Arial" w:hAnsi="Arial"/>
          <w:sz w:val="18"/>
          <w:szCs w:val="18"/>
          <w:color w:val="auto"/>
        </w:rPr>
      </w:pPr>
      <w:r>
        <w:rPr>
          <w:rFonts w:ascii="Arial" w:cs="Arial" w:eastAsia="Arial" w:hAnsi="Arial"/>
          <w:sz w:val="18"/>
          <w:szCs w:val="18"/>
          <w:color w:val="auto"/>
        </w:rPr>
        <w:t>that any representation, warrant or statement of fact or law, other than as to the laws of Bermuda, made in any of the Documents is true, accurate and complete;</w:t>
      </w:r>
    </w:p>
    <w:p>
      <w:pPr>
        <w:spacing w:after="0" w:line="170" w:lineRule="exact"/>
        <w:rPr>
          <w:rFonts w:ascii="Arial" w:cs="Arial" w:eastAsia="Arial" w:hAnsi="Arial"/>
          <w:sz w:val="18"/>
          <w:szCs w:val="18"/>
          <w:color w:val="auto"/>
        </w:rPr>
      </w:pPr>
    </w:p>
    <w:p>
      <w:pPr>
        <w:ind w:left="660" w:right="160" w:hanging="652"/>
        <w:spacing w:after="0" w:line="342" w:lineRule="auto"/>
        <w:tabs>
          <w:tab w:leader="none" w:pos="642" w:val="left"/>
        </w:tabs>
        <w:numPr>
          <w:ilvl w:val="0"/>
          <w:numId w:val="4"/>
        </w:numPr>
        <w:rPr>
          <w:rFonts w:ascii="Arial" w:cs="Arial" w:eastAsia="Arial" w:hAnsi="Arial"/>
          <w:sz w:val="16"/>
          <w:szCs w:val="16"/>
          <w:color w:val="auto"/>
        </w:rPr>
      </w:pPr>
      <w:r>
        <w:rPr>
          <w:rFonts w:ascii="Arial" w:cs="Arial" w:eastAsia="Arial" w:hAnsi="Arial"/>
          <w:sz w:val="16"/>
          <w:szCs w:val="16"/>
          <w:color w:val="auto"/>
        </w:rPr>
        <w:t>that the records which were the subject of the Company Search were complete and accurate at the time of such search and disclosed all information which is material for the purposes of this opinion and such information has not since the date of the Company Search been materially altered;</w:t>
      </w:r>
    </w:p>
    <w:p>
      <w:pPr>
        <w:spacing w:after="0" w:line="123" w:lineRule="exact"/>
        <w:rPr>
          <w:rFonts w:ascii="Arial" w:cs="Arial" w:eastAsia="Arial" w:hAnsi="Arial"/>
          <w:sz w:val="16"/>
          <w:szCs w:val="16"/>
          <w:color w:val="auto"/>
        </w:rPr>
      </w:pPr>
    </w:p>
    <w:p>
      <w:pPr>
        <w:ind w:left="660" w:right="160" w:hanging="652"/>
        <w:spacing w:after="0" w:line="342" w:lineRule="auto"/>
        <w:tabs>
          <w:tab w:leader="none" w:pos="641" w:val="left"/>
        </w:tabs>
        <w:numPr>
          <w:ilvl w:val="0"/>
          <w:numId w:val="4"/>
        </w:numPr>
        <w:rPr>
          <w:rFonts w:ascii="Arial" w:cs="Arial" w:eastAsia="Arial" w:hAnsi="Arial"/>
          <w:sz w:val="16"/>
          <w:szCs w:val="16"/>
          <w:color w:val="auto"/>
        </w:rPr>
      </w:pPr>
      <w:r>
        <w:rPr>
          <w:rFonts w:ascii="Arial" w:cs="Arial" w:eastAsia="Arial" w:hAnsi="Arial"/>
          <w:sz w:val="16"/>
          <w:szCs w:val="16"/>
          <w:color w:val="auto"/>
        </w:rPr>
        <w:t>that the records which were the subject of the Litigation Search were complete and accurate at the time of such search and disclosed all information which is material for the purposes of this opinion and such information has not since the date of the Litigation Search been materially altered; and</w:t>
      </w:r>
    </w:p>
    <w:p>
      <w:pPr>
        <w:spacing w:after="0" w:line="123" w:lineRule="exact"/>
        <w:rPr>
          <w:rFonts w:ascii="Arial" w:cs="Arial" w:eastAsia="Arial" w:hAnsi="Arial"/>
          <w:sz w:val="16"/>
          <w:szCs w:val="16"/>
          <w:color w:val="auto"/>
        </w:rPr>
      </w:pPr>
    </w:p>
    <w:p>
      <w:pPr>
        <w:ind w:left="660" w:right="100" w:hanging="652"/>
        <w:spacing w:after="0" w:line="277" w:lineRule="auto"/>
        <w:tabs>
          <w:tab w:leader="none" w:pos="641" w:val="left"/>
        </w:tabs>
        <w:numPr>
          <w:ilvl w:val="0"/>
          <w:numId w:val="4"/>
        </w:numPr>
        <w:rPr>
          <w:rFonts w:ascii="Arial" w:cs="Arial" w:eastAsia="Arial" w:hAnsi="Arial"/>
          <w:sz w:val="18"/>
          <w:szCs w:val="18"/>
          <w:color w:val="auto"/>
        </w:rPr>
      </w:pPr>
      <w:r>
        <w:rPr>
          <w:rFonts w:ascii="Arial" w:cs="Arial" w:eastAsia="Arial" w:hAnsi="Arial"/>
          <w:sz w:val="18"/>
          <w:szCs w:val="18"/>
          <w:color w:val="auto"/>
        </w:rPr>
        <w:t>that when filed with the Securities Exchange Commission, the Registration Statement will be in a form which does not differ in any material respect from the drafts which we have examined for the purposes of this opinion. And referred to in Schedule 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-3400425</wp:posOffset>
            </wp:positionV>
            <wp:extent cx="7267575"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15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Opinion</w:t>
      </w:r>
    </w:p>
    <w:p>
      <w:pPr>
        <w:spacing w:after="0" w:line="229" w:lineRule="exact"/>
        <w:rPr>
          <w:sz w:val="20"/>
          <w:szCs w:val="20"/>
          <w:color w:val="auto"/>
        </w:rPr>
      </w:pPr>
    </w:p>
    <w:p>
      <w:pPr>
        <w:spacing w:after="0"/>
        <w:rPr>
          <w:sz w:val="20"/>
          <w:szCs w:val="20"/>
          <w:color w:val="auto"/>
        </w:rPr>
      </w:pPr>
      <w:r>
        <w:rPr>
          <w:rFonts w:ascii="Arial" w:cs="Arial" w:eastAsia="Arial" w:hAnsi="Arial"/>
          <w:sz w:val="16"/>
          <w:szCs w:val="16"/>
          <w:color w:val="auto"/>
        </w:rPr>
        <w:t>Based upon and subject to the foregoing and subject to the reservations set out below and to any matters not disclosed to us, we are of the opinion that:</w:t>
      </w:r>
    </w:p>
    <w:p>
      <w:pPr>
        <w:spacing w:after="0" w:line="248" w:lineRule="exact"/>
        <w:rPr>
          <w:sz w:val="20"/>
          <w:szCs w:val="20"/>
          <w:color w:val="auto"/>
        </w:rPr>
      </w:pPr>
    </w:p>
    <w:p>
      <w:pPr>
        <w:ind w:left="660" w:right="380" w:hanging="652"/>
        <w:spacing w:after="0" w:line="277" w:lineRule="auto"/>
        <w:tabs>
          <w:tab w:leader="none" w:pos="642"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Company is an exempted company incorporated with limited liability and existing under the laws of Bermuda. The Company possesses the capacity to sue and be sued in its own name and is in good standing under the laws of Bermuda.</w:t>
      </w:r>
    </w:p>
    <w:p>
      <w:pPr>
        <w:spacing w:after="0" w:line="170" w:lineRule="exact"/>
        <w:rPr>
          <w:rFonts w:ascii="Arial" w:cs="Arial" w:eastAsia="Arial" w:hAnsi="Arial"/>
          <w:sz w:val="18"/>
          <w:szCs w:val="18"/>
          <w:color w:val="auto"/>
        </w:rPr>
      </w:pPr>
    </w:p>
    <w:p>
      <w:pPr>
        <w:ind w:left="660" w:right="60" w:hanging="652"/>
        <w:spacing w:after="0" w:line="308" w:lineRule="auto"/>
        <w:tabs>
          <w:tab w:leader="none" w:pos="642" w:val="left"/>
        </w:tabs>
        <w:numPr>
          <w:ilvl w:val="0"/>
          <w:numId w:val="5"/>
        </w:numPr>
        <w:rPr>
          <w:rFonts w:ascii="Arial" w:cs="Arial" w:eastAsia="Arial" w:hAnsi="Arial"/>
          <w:sz w:val="17"/>
          <w:szCs w:val="17"/>
          <w:color w:val="auto"/>
        </w:rPr>
      </w:pPr>
      <w:r>
        <w:rPr>
          <w:rFonts w:ascii="Arial" w:cs="Arial" w:eastAsia="Arial" w:hAnsi="Arial"/>
          <w:sz w:val="17"/>
          <w:szCs w:val="17"/>
          <w:color w:val="auto"/>
        </w:rPr>
        <w:t>The execution, delivery and performance by the Company of the Asset Purchase Agreement and Registration Statement to which it is a party and the transactions contemplated thereby have been duly authorised by all necessary corporate action on the part of the Company.</w:t>
      </w:r>
    </w:p>
    <w:p>
      <w:pPr>
        <w:sectPr>
          <w:pgSz w:w="11900" w:h="16899" w:orient="portrait"/>
          <w:cols w:equalWidth="0" w:num="1">
            <w:col w:w="11420"/>
          </w:cols>
          <w:pgMar w:left="240" w:top="337" w:right="239" w:bottom="0" w:gutter="0" w:footer="0" w:header="0"/>
        </w:sectPr>
      </w:pPr>
    </w:p>
    <w:bookmarkStart w:id="5" w:name="page6"/>
    <w:bookmarkEnd w:id="5"/>
    <w:p>
      <w:pPr>
        <w:ind w:left="660" w:right="60" w:hanging="652"/>
        <w:spacing w:after="0" w:line="264" w:lineRule="auto"/>
        <w:tabs>
          <w:tab w:leader="none" w:pos="642" w:val="left"/>
        </w:tabs>
        <w:numPr>
          <w:ilvl w:val="0"/>
          <w:numId w:val="6"/>
        </w:numPr>
        <w:rPr>
          <w:rFonts w:ascii="Arial" w:cs="Arial" w:eastAsia="Arial" w:hAnsi="Arial"/>
          <w:sz w:val="18"/>
          <w:szCs w:val="18"/>
          <w:color w:val="auto"/>
        </w:rPr>
      </w:pPr>
      <w:r>
        <w:rPr>
          <w:rFonts w:ascii="Arial" w:cs="Arial" w:eastAsia="Arial" w:hAnsi="Arial"/>
          <w:sz w:val="18"/>
          <w:szCs w:val="18"/>
          <w:color w:val="auto"/>
        </w:rPr>
        <w:t>When issued pursuant to the terms of the Resolutions, and the Asset Purchase Agreement in the circumstances referred to or summarised under the caption “Selling Shareholders” in the Registration Statement the Shares will be (or, to the extent heretofore issued, are) validly issued, fully paid and non-assessable shares in the capital of the Company.</w:t>
      </w:r>
    </w:p>
    <w:p>
      <w:pPr>
        <w:spacing w:after="0" w:line="181" w:lineRule="exact"/>
        <w:rPr>
          <w:rFonts w:ascii="Arial" w:cs="Arial" w:eastAsia="Arial" w:hAnsi="Arial"/>
          <w:sz w:val="18"/>
          <w:szCs w:val="18"/>
          <w:color w:val="auto"/>
        </w:rPr>
      </w:pPr>
    </w:p>
    <w:p>
      <w:pPr>
        <w:ind w:left="660" w:right="120" w:hanging="652"/>
        <w:spacing w:after="0" w:line="277" w:lineRule="auto"/>
        <w:tabs>
          <w:tab w:leader="none" w:pos="642"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There are no taxes, duties or other charges payable to or chargeable by the Government of Bermuda, or any authority or agency thereof in respect of the issue of the Shares.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Reservations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We have the following reservations:</w:t>
      </w:r>
    </w:p>
    <w:p>
      <w:pPr>
        <w:spacing w:after="0" w:line="225" w:lineRule="exact"/>
        <w:rPr>
          <w:sz w:val="20"/>
          <w:szCs w:val="20"/>
          <w:color w:val="auto"/>
        </w:rPr>
      </w:pPr>
    </w:p>
    <w:p>
      <w:pPr>
        <w:ind w:left="660" w:right="220" w:hanging="652"/>
        <w:spacing w:after="0" w:line="264" w:lineRule="auto"/>
        <w:tabs>
          <w:tab w:leader="none" w:pos="632"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660" w:right="220" w:hanging="652"/>
        <w:spacing w:after="0" w:line="264" w:lineRule="auto"/>
        <w:tabs>
          <w:tab w:leader="none" w:pos="642"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181" w:lineRule="exact"/>
        <w:rPr>
          <w:rFonts w:ascii="Arial" w:cs="Arial" w:eastAsia="Arial" w:hAnsi="Arial"/>
          <w:sz w:val="18"/>
          <w:szCs w:val="18"/>
          <w:color w:val="auto"/>
        </w:rPr>
      </w:pPr>
    </w:p>
    <w:p>
      <w:pPr>
        <w:ind w:left="660" w:right="20" w:hanging="652"/>
        <w:spacing w:after="0" w:line="302" w:lineRule="auto"/>
        <w:tabs>
          <w:tab w:leader="none" w:pos="632" w:val="left"/>
        </w:tabs>
        <w:numPr>
          <w:ilvl w:val="0"/>
          <w:numId w:val="8"/>
        </w:numPr>
        <w:rPr>
          <w:rFonts w:ascii="Arial" w:cs="Arial" w:eastAsia="Arial" w:hAnsi="Arial"/>
          <w:sz w:val="16"/>
          <w:szCs w:val="16"/>
          <w:color w:val="auto"/>
        </w:rPr>
      </w:pPr>
      <w:r>
        <w:rPr>
          <w:rFonts w:ascii="Arial" w:cs="Arial" w:eastAsia="Arial" w:hAnsi="Arial"/>
          <w:sz w:val="16"/>
          <w:szCs w:val="16"/>
          <w:color w:val="auto"/>
        </w:rPr>
        <w:t>We express no opinion as to the validity, binding effect or enforceability of provision incorporated into the Asset Purchase Agreement by reference to a law other than that of Bermuda, or as to the availability in Bermuda of remedies which are available in other jurisdictions. Searches of the Register of Companies at the office of the Registrar of Companies and of the Supreme Court Causes Book at the Registry of the Supreme Court are not conclusive and it should be noted that the Register of Companies and the Supreme Court Causes Book do not reveal:</w:t>
      </w:r>
    </w:p>
    <w:p>
      <w:pPr>
        <w:spacing w:after="0" w:line="154" w:lineRule="exact"/>
        <w:rPr>
          <w:rFonts w:ascii="Arial" w:cs="Arial" w:eastAsia="Arial" w:hAnsi="Arial"/>
          <w:sz w:val="16"/>
          <w:szCs w:val="16"/>
          <w:color w:val="auto"/>
        </w:rPr>
      </w:pPr>
    </w:p>
    <w:p>
      <w:pPr>
        <w:ind w:left="1300" w:right="100" w:hanging="320"/>
        <w:spacing w:after="0" w:line="257" w:lineRule="auto"/>
        <w:tabs>
          <w:tab w:leader="none" w:pos="1299" w:val="left"/>
        </w:tabs>
        <w:numPr>
          <w:ilvl w:val="1"/>
          <w:numId w:val="8"/>
        </w:numPr>
        <w:rPr>
          <w:rFonts w:ascii="Arial" w:cs="Arial" w:eastAsia="Arial" w:hAnsi="Arial"/>
          <w:sz w:val="18"/>
          <w:szCs w:val="18"/>
          <w:color w:val="auto"/>
        </w:rPr>
      </w:pPr>
      <w:r>
        <w:rPr>
          <w:rFonts w:ascii="Arial" w:cs="Arial" w:eastAsia="Arial" w:hAnsi="Arial"/>
          <w:sz w:val="18"/>
          <w:szCs w:val="18"/>
          <w:color w:val="auto"/>
        </w:rPr>
        <w:t>details of matters which have been lodged for filing or registration which as a matter of best practice of the Registrar of Companies or the Registry of the Supreme Court would have or should have been disclosed on the public file, the Causes Book or the Judgment Book, as the case may be, but for whatever reason have not actually been filed or registered or are not disclosed or which, notwithstanding filing or registration, at the date and time the search is concluded are for whatever reason not disclosed or do not appear on the public file, the Causes Book or Judgment Book;</w:t>
      </w:r>
    </w:p>
    <w:p>
      <w:pPr>
        <w:spacing w:after="0" w:line="188" w:lineRule="exact"/>
        <w:rPr>
          <w:rFonts w:ascii="Arial" w:cs="Arial" w:eastAsia="Arial" w:hAnsi="Arial"/>
          <w:sz w:val="18"/>
          <w:szCs w:val="18"/>
          <w:color w:val="auto"/>
        </w:rPr>
      </w:pPr>
    </w:p>
    <w:p>
      <w:pPr>
        <w:ind w:left="1300" w:right="340" w:hanging="320"/>
        <w:spacing w:after="0" w:line="277" w:lineRule="auto"/>
        <w:tabs>
          <w:tab w:leader="none" w:pos="1310" w:val="left"/>
        </w:tabs>
        <w:numPr>
          <w:ilvl w:val="1"/>
          <w:numId w:val="8"/>
        </w:numPr>
        <w:rPr>
          <w:rFonts w:ascii="Arial" w:cs="Arial" w:eastAsia="Arial" w:hAnsi="Arial"/>
          <w:sz w:val="18"/>
          <w:szCs w:val="18"/>
          <w:color w:val="auto"/>
        </w:rPr>
      </w:pPr>
      <w:r>
        <w:rPr>
          <w:rFonts w:ascii="Arial" w:cs="Arial" w:eastAsia="Arial" w:hAnsi="Arial"/>
          <w:sz w:val="18"/>
          <w:szCs w:val="18"/>
          <w:color w:val="auto"/>
        </w:rPr>
        <w:t>details of matters which should have been lodged for filing or registration at the Registrar of Companies or the Registry of the Supreme Court but have not been lodged for filing or registration at the date the search is concluded;</w:t>
      </w:r>
    </w:p>
    <w:p>
      <w:pPr>
        <w:spacing w:after="0" w:line="170" w:lineRule="exact"/>
        <w:rPr>
          <w:sz w:val="20"/>
          <w:szCs w:val="20"/>
          <w:color w:val="auto"/>
        </w:rPr>
      </w:pPr>
    </w:p>
    <w:p>
      <w:pPr>
        <w:ind w:left="660" w:right="320"/>
        <w:spacing w:after="0" w:line="286" w:lineRule="auto"/>
        <w:rPr>
          <w:sz w:val="20"/>
          <w:szCs w:val="20"/>
          <w:color w:val="auto"/>
        </w:rPr>
      </w:pPr>
      <w:r>
        <w:rPr>
          <w:rFonts w:ascii="Arial" w:cs="Arial" w:eastAsia="Arial" w:hAnsi="Arial"/>
          <w:sz w:val="17"/>
          <w:szCs w:val="17"/>
          <w:color w:val="auto"/>
        </w:rPr>
        <w:t>Furthermore, in the absence of a statutorily defined system for the registration of charges created by companies incorporated outside Bermuda (“overseas companies”) over their assets located in Bermuda, it is not possible to determine definitively from searches of the Register of Charges maintained by the Registrar of Companies in respect of such overseas companies what charges</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660"/>
        <w:spacing w:after="0"/>
        <w:rPr>
          <w:sz w:val="20"/>
          <w:szCs w:val="20"/>
          <w:color w:val="auto"/>
        </w:rPr>
      </w:pPr>
      <w:r>
        <w:rPr>
          <w:rFonts w:ascii="Arial" w:cs="Arial" w:eastAsia="Arial" w:hAnsi="Arial"/>
          <w:sz w:val="16"/>
          <w:szCs w:val="16"/>
          <w:color w:val="auto"/>
        </w:rPr>
        <w:t>have been registered over any of their assets located in Bermuda or whether any one charge has priority over any other charge over such assets.</w:t>
      </w:r>
    </w:p>
    <w:p>
      <w:pPr>
        <w:spacing w:after="0" w:line="248" w:lineRule="exact"/>
        <w:rPr>
          <w:sz w:val="20"/>
          <w:szCs w:val="20"/>
          <w:color w:val="auto"/>
        </w:rPr>
      </w:pPr>
    </w:p>
    <w:p>
      <w:pPr>
        <w:ind w:left="660" w:hanging="652"/>
        <w:spacing w:after="0" w:line="257" w:lineRule="auto"/>
        <w:tabs>
          <w:tab w:leader="none" w:pos="642" w:val="left"/>
        </w:tabs>
        <w:numPr>
          <w:ilvl w:val="0"/>
          <w:numId w:val="9"/>
        </w:numPr>
        <w:rPr>
          <w:rFonts w:ascii="Arial" w:cs="Arial" w:eastAsia="Arial" w:hAnsi="Arial"/>
          <w:sz w:val="18"/>
          <w:szCs w:val="18"/>
          <w:color w:val="auto"/>
        </w:rPr>
      </w:pPr>
      <w:r>
        <w:rPr>
          <w:rFonts w:ascii="Arial" w:cs="Arial" w:eastAsia="Arial" w:hAnsi="Arial"/>
          <w:sz w:val="18"/>
          <w:szCs w:val="18"/>
          <w:color w:val="auto"/>
        </w:rPr>
        <w:t>Any reference in this opinion to shares being “non-assessable” shall mean, in relation to fully paid shares of the Company and subject to any contrary provision in any agreement in writing between such company and the holder of such shares, that no shareholder shall be bound by an alteration to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188" w:lineRule="exact"/>
        <w:rPr>
          <w:rFonts w:ascii="Arial" w:cs="Arial" w:eastAsia="Arial" w:hAnsi="Arial"/>
          <w:sz w:val="18"/>
          <w:szCs w:val="18"/>
          <w:color w:val="auto"/>
        </w:rPr>
      </w:pPr>
    </w:p>
    <w:p>
      <w:pPr>
        <w:ind w:left="660" w:right="100" w:hanging="652"/>
        <w:spacing w:after="0" w:line="277" w:lineRule="auto"/>
        <w:tabs>
          <w:tab w:leader="none" w:pos="632" w:val="left"/>
        </w:tabs>
        <w:numPr>
          <w:ilvl w:val="0"/>
          <w:numId w:val="9"/>
        </w:numPr>
        <w:rPr>
          <w:rFonts w:ascii="Arial" w:cs="Arial" w:eastAsia="Arial" w:hAnsi="Arial"/>
          <w:sz w:val="18"/>
          <w:szCs w:val="18"/>
          <w:color w:val="auto"/>
        </w:rPr>
      </w:pPr>
      <w:r>
        <w:rPr>
          <w:rFonts w:ascii="Arial" w:cs="Arial" w:eastAsia="Arial" w:hAnsi="Arial"/>
          <w:sz w:val="18"/>
          <w:szCs w:val="18"/>
          <w:color w:val="auto"/>
        </w:rPr>
        <w:t>In order to issue this opinion we have carried out the Company Search as referred to in the First Schedule to this opinion and have not enquired as to whether there has been any change since the date of such search.</w:t>
      </w:r>
    </w:p>
    <w:p>
      <w:pPr>
        <w:spacing w:after="0" w:line="170" w:lineRule="exact"/>
        <w:rPr>
          <w:rFonts w:ascii="Arial" w:cs="Arial" w:eastAsia="Arial" w:hAnsi="Arial"/>
          <w:sz w:val="18"/>
          <w:szCs w:val="18"/>
          <w:color w:val="auto"/>
        </w:rPr>
      </w:pPr>
    </w:p>
    <w:p>
      <w:pPr>
        <w:ind w:left="660" w:right="60" w:hanging="652"/>
        <w:spacing w:after="0" w:line="277" w:lineRule="auto"/>
        <w:tabs>
          <w:tab w:leader="none" w:pos="651" w:val="left"/>
        </w:tabs>
        <w:numPr>
          <w:ilvl w:val="0"/>
          <w:numId w:val="9"/>
        </w:numPr>
        <w:rPr>
          <w:rFonts w:ascii="Arial" w:cs="Arial" w:eastAsia="Arial" w:hAnsi="Arial"/>
          <w:sz w:val="18"/>
          <w:szCs w:val="18"/>
          <w:color w:val="auto"/>
        </w:rPr>
      </w:pPr>
      <w:r>
        <w:rPr>
          <w:rFonts w:ascii="Arial" w:cs="Arial" w:eastAsia="Arial" w:hAnsi="Arial"/>
          <w:sz w:val="18"/>
          <w:szCs w:val="18"/>
          <w:color w:val="auto"/>
        </w:rPr>
        <w:t>In order to issue this opinion we have carried out the Litigation Search as referred to in the First Schedule to this opinion and have not enquired as to whether there has been any change since the date of such search.</w:t>
      </w:r>
    </w:p>
    <w:p>
      <w:pPr>
        <w:spacing w:after="0" w:line="170" w:lineRule="exact"/>
        <w:rPr>
          <w:rFonts w:ascii="Arial" w:cs="Arial" w:eastAsia="Arial" w:hAnsi="Arial"/>
          <w:sz w:val="18"/>
          <w:szCs w:val="18"/>
          <w:color w:val="auto"/>
        </w:rPr>
      </w:pPr>
    </w:p>
    <w:p>
      <w:pPr>
        <w:ind w:left="660" w:right="800" w:hanging="652"/>
        <w:spacing w:after="0" w:line="277" w:lineRule="auto"/>
        <w:tabs>
          <w:tab w:leader="none" w:pos="642" w:val="left"/>
        </w:tabs>
        <w:numPr>
          <w:ilvl w:val="0"/>
          <w:numId w:val="9"/>
        </w:numPr>
        <w:rPr>
          <w:rFonts w:ascii="Arial" w:cs="Arial" w:eastAsia="Arial" w:hAnsi="Arial"/>
          <w:sz w:val="18"/>
          <w:szCs w:val="18"/>
          <w:color w:val="auto"/>
        </w:rPr>
      </w:pPr>
      <w:r>
        <w:rPr>
          <w:rFonts w:ascii="Arial" w:cs="Arial" w:eastAsia="Arial" w:hAnsi="Arial"/>
          <w:sz w:val="18"/>
          <w:szCs w:val="18"/>
          <w:color w:val="auto"/>
        </w:rPr>
        <w:t>In paragraph (1) above, the term “good standing” means that the Company has received a Certificates of Compliance from the Registrar of Companies.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Disclosure</w:t>
      </w:r>
    </w:p>
    <w:p>
      <w:pPr>
        <w:spacing w:after="0" w:line="229" w:lineRule="exact"/>
        <w:rPr>
          <w:sz w:val="20"/>
          <w:szCs w:val="20"/>
          <w:color w:val="auto"/>
        </w:rPr>
      </w:pPr>
    </w:p>
    <w:p>
      <w:pPr>
        <w:spacing w:after="0"/>
        <w:rPr>
          <w:sz w:val="20"/>
          <w:szCs w:val="20"/>
          <w:color w:val="auto"/>
        </w:rPr>
      </w:pPr>
      <w:r>
        <w:rPr>
          <w:rFonts w:ascii="Arial" w:cs="Arial" w:eastAsia="Arial" w:hAnsi="Arial"/>
          <w:sz w:val="16"/>
          <w:szCs w:val="16"/>
          <w:color w:val="auto"/>
        </w:rPr>
        <w:t>This opinion is addressed to you in connection with the filing by the Company of the Registration Statement with the Securities and Exchange Commission.</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We consent to the inclusion of this opinion as Exhibit 5.1 to the Registration Statement.</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64135</wp:posOffset>
            </wp:positionV>
            <wp:extent cx="7267575"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color w:val="auto"/>
        </w:rPr>
        <w:t>Further, this opinion speaks as of its date and is strictly limited to the matters stated herein and we assume no obligation to review or update this opinion if applicable law or the existing facts or circumstances should change.</w:t>
      </w:r>
    </w:p>
    <w:p>
      <w:pPr>
        <w:sectPr>
          <w:pgSz w:w="11900" w:h="16838" w:orient="portrait"/>
          <w:cols w:equalWidth="0" w:num="1">
            <w:col w:w="11420"/>
          </w:cols>
          <w:pgMar w:left="240" w:top="341" w:right="239" w:bottom="58" w:gutter="0" w:footer="0" w:header="0"/>
        </w:sectPr>
      </w:pPr>
    </w:p>
    <w:bookmarkStart w:id="6" w:name="page7"/>
    <w:bookmarkEnd w:id="6"/>
    <w:p>
      <w:pPr>
        <w:spacing w:after="0" w:line="277" w:lineRule="auto"/>
        <w:rPr>
          <w:sz w:val="20"/>
          <w:szCs w:val="20"/>
          <w:color w:val="auto"/>
        </w:rPr>
      </w:pPr>
      <w:r>
        <w:rPr>
          <w:rFonts w:ascii="Arial" w:cs="Arial" w:eastAsia="Arial" w:hAnsi="Arial"/>
          <w:sz w:val="18"/>
          <w:szCs w:val="18"/>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Appleby Spurling Hunter</w:t>
      </w:r>
    </w:p>
    <w:p>
      <w:pPr>
        <w:spacing w:after="0" w:line="200" w:lineRule="exact"/>
        <w:rPr>
          <w:sz w:val="20"/>
          <w:szCs w:val="20"/>
          <w:color w:val="auto"/>
        </w:rPr>
      </w:pPr>
    </w:p>
    <w:p>
      <w:pPr>
        <w:spacing w:after="0" w:line="24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FIRST SCHEDULE</w:t>
      </w:r>
    </w:p>
    <w:p>
      <w:pPr>
        <w:spacing w:after="0" w:line="229" w:lineRule="exact"/>
        <w:rPr>
          <w:sz w:val="20"/>
          <w:szCs w:val="20"/>
          <w:color w:val="auto"/>
        </w:rPr>
      </w:pPr>
    </w:p>
    <w:p>
      <w:pPr>
        <w:ind w:left="660" w:right="280" w:hanging="652"/>
        <w:spacing w:after="0" w:line="308" w:lineRule="auto"/>
        <w:tabs>
          <w:tab w:leader="none" w:pos="644" w:val="left"/>
        </w:tabs>
        <w:numPr>
          <w:ilvl w:val="0"/>
          <w:numId w:val="10"/>
        </w:numPr>
        <w:rPr>
          <w:rFonts w:ascii="Arial" w:cs="Arial" w:eastAsia="Arial" w:hAnsi="Arial"/>
          <w:sz w:val="17"/>
          <w:szCs w:val="17"/>
          <w:color w:val="auto"/>
        </w:rPr>
      </w:pPr>
      <w:r>
        <w:rPr>
          <w:rFonts w:ascii="Arial" w:cs="Arial" w:eastAsia="Arial" w:hAnsi="Arial"/>
          <w:sz w:val="17"/>
          <w:szCs w:val="17"/>
          <w:color w:val="auto"/>
        </w:rPr>
        <w:t>The entries and filings shown in respect of the Company on the file of the Company maintained in the Register of Companies at the office of the Registrar of Companies in Hamilton, Bermuda, as revealed by a search conducted on 18 November 2005 (the “Company Search”).</w:t>
      </w:r>
    </w:p>
    <w:p>
      <w:pPr>
        <w:spacing w:after="0" w:line="146" w:lineRule="exact"/>
        <w:rPr>
          <w:rFonts w:ascii="Arial" w:cs="Arial" w:eastAsia="Arial" w:hAnsi="Arial"/>
          <w:sz w:val="17"/>
          <w:szCs w:val="17"/>
          <w:color w:val="auto"/>
        </w:rPr>
      </w:pPr>
    </w:p>
    <w:p>
      <w:pPr>
        <w:ind w:left="660" w:right="300" w:hanging="652"/>
        <w:spacing w:after="0" w:line="277" w:lineRule="auto"/>
        <w:tabs>
          <w:tab w:leader="none" w:pos="644"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maintained at the Registry of the Supreme Court in Hamilton, Bermuda, as revealed by a search conducted on 18 November 2005 (the “Litigation Search”).</w:t>
      </w:r>
    </w:p>
    <w:p>
      <w:pPr>
        <w:spacing w:after="0" w:line="170" w:lineRule="exact"/>
        <w:rPr>
          <w:rFonts w:ascii="Arial" w:cs="Arial" w:eastAsia="Arial" w:hAnsi="Arial"/>
          <w:sz w:val="18"/>
          <w:szCs w:val="18"/>
          <w:color w:val="auto"/>
        </w:rPr>
      </w:pPr>
    </w:p>
    <w:p>
      <w:pPr>
        <w:ind w:left="640" w:hanging="632"/>
        <w:spacing w:after="0"/>
        <w:tabs>
          <w:tab w:leader="none" w:pos="6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Copy of the draft Asset Purchase Agreement between the Company, Marvell International Ltd. and Q Logic Corporations.</w:t>
      </w:r>
    </w:p>
    <w:p>
      <w:pPr>
        <w:spacing w:after="0" w:line="225" w:lineRule="exact"/>
        <w:rPr>
          <w:rFonts w:ascii="Arial" w:cs="Arial" w:eastAsia="Arial" w:hAnsi="Arial"/>
          <w:sz w:val="18"/>
          <w:szCs w:val="18"/>
          <w:color w:val="auto"/>
        </w:rPr>
      </w:pPr>
    </w:p>
    <w:p>
      <w:pPr>
        <w:ind w:left="660" w:right="420" w:hanging="652"/>
        <w:spacing w:after="0" w:line="277" w:lineRule="auto"/>
        <w:tabs>
          <w:tab w:leader="none" w:pos="644" w:val="left"/>
        </w:tabs>
        <w:numPr>
          <w:ilvl w:val="0"/>
          <w:numId w:val="10"/>
        </w:numPr>
        <w:rPr>
          <w:rFonts w:ascii="Arial" w:cs="Arial" w:eastAsia="Arial" w:hAnsi="Arial"/>
          <w:sz w:val="18"/>
          <w:szCs w:val="18"/>
          <w:color w:val="auto"/>
        </w:rPr>
      </w:pPr>
      <w:r>
        <w:rPr>
          <w:rFonts w:ascii="Arial" w:cs="Arial" w:eastAsia="Arial" w:hAnsi="Arial"/>
          <w:sz w:val="18"/>
          <w:szCs w:val="18"/>
          <w:color w:val="auto"/>
        </w:rPr>
        <w:t>An electronic copy of the draft of the Registration Statement received on 18 November 2005 (excluding exhibits and excluding the documents incorporated by reference)</w:t>
      </w:r>
    </w:p>
    <w:p>
      <w:pPr>
        <w:spacing w:after="0" w:line="170" w:lineRule="exact"/>
        <w:rPr>
          <w:rFonts w:ascii="Arial" w:cs="Arial" w:eastAsia="Arial" w:hAnsi="Arial"/>
          <w:sz w:val="18"/>
          <w:szCs w:val="18"/>
          <w:color w:val="auto"/>
        </w:rPr>
      </w:pPr>
    </w:p>
    <w:p>
      <w:pPr>
        <w:ind w:left="660" w:hanging="652"/>
        <w:spacing w:after="0" w:line="277" w:lineRule="auto"/>
        <w:tabs>
          <w:tab w:leader="none" w:pos="644"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Certificate of Incorporation, Memorandum of Association and Bye-Laws adopted 21 June 2001 for the Company (collectively referred to as the “Constitutional Documents”).</w:t>
      </w:r>
    </w:p>
    <w:p>
      <w:pPr>
        <w:spacing w:after="0" w:line="170" w:lineRule="exact"/>
        <w:rPr>
          <w:rFonts w:ascii="Arial" w:cs="Arial" w:eastAsia="Arial" w:hAnsi="Arial"/>
          <w:sz w:val="18"/>
          <w:szCs w:val="18"/>
          <w:color w:val="auto"/>
        </w:rPr>
      </w:pPr>
    </w:p>
    <w:p>
      <w:pPr>
        <w:ind w:left="640" w:hanging="632"/>
        <w:spacing w:after="0"/>
        <w:tabs>
          <w:tab w:leader="none" w:pos="640" w:val="left"/>
        </w:tabs>
        <w:numPr>
          <w:ilvl w:val="0"/>
          <w:numId w:val="10"/>
        </w:numPr>
        <w:rPr>
          <w:rFonts w:ascii="Arial" w:cs="Arial" w:eastAsia="Arial" w:hAnsi="Arial"/>
          <w:sz w:val="18"/>
          <w:szCs w:val="18"/>
          <w:color w:val="auto"/>
        </w:rPr>
      </w:pPr>
      <w:r>
        <w:rPr>
          <w:rFonts w:ascii="Arial" w:cs="Arial" w:eastAsia="Arial" w:hAnsi="Arial"/>
          <w:sz w:val="15"/>
          <w:szCs w:val="15"/>
          <w:color w:val="auto"/>
        </w:rPr>
        <w:t>T</w:t>
      </w:r>
      <w:r>
        <w:rPr>
          <w:rFonts w:ascii="Arial" w:cs="Arial" w:eastAsia="Arial" w:hAnsi="Arial"/>
          <w:sz w:val="18"/>
          <w:szCs w:val="18"/>
          <w:color w:val="auto"/>
        </w:rPr>
        <w:t>he Minutes of the Meeting of the Board of Directors of the Company held on August 26, 2005 (the “Resolutions”).</w:t>
      </w:r>
    </w:p>
    <w:p>
      <w:pPr>
        <w:spacing w:after="0" w:line="225" w:lineRule="exact"/>
        <w:rPr>
          <w:rFonts w:ascii="Arial" w:cs="Arial" w:eastAsia="Arial" w:hAnsi="Arial"/>
          <w:sz w:val="18"/>
          <w:szCs w:val="18"/>
          <w:color w:val="auto"/>
        </w:rPr>
      </w:pPr>
    </w:p>
    <w:p>
      <w:pPr>
        <w:ind w:left="660" w:right="600" w:hanging="652"/>
        <w:spacing w:after="0" w:line="277" w:lineRule="auto"/>
        <w:tabs>
          <w:tab w:leader="none" w:pos="644" w:val="left"/>
        </w:tabs>
        <w:numPr>
          <w:ilvl w:val="0"/>
          <w:numId w:val="10"/>
        </w:numPr>
        <w:rPr>
          <w:rFonts w:ascii="Arial" w:cs="Arial" w:eastAsia="Arial" w:hAnsi="Arial"/>
          <w:sz w:val="18"/>
          <w:szCs w:val="18"/>
          <w:color w:val="auto"/>
        </w:rPr>
      </w:pPr>
      <w:r>
        <w:rPr>
          <w:rFonts w:ascii="Arial" w:cs="Arial" w:eastAsia="Arial" w:hAnsi="Arial"/>
          <w:sz w:val="18"/>
          <w:szCs w:val="18"/>
          <w:color w:val="auto"/>
        </w:rPr>
        <w:t>A copy of the “Foreign Exchange Letter”, dated 31 May 2000 and 10 February 2003, issued by the Bermuda Monetary Authority, Hamilton Bermuda in relation to the Company.</w:t>
      </w:r>
    </w:p>
    <w:p>
      <w:pPr>
        <w:spacing w:after="0" w:line="170" w:lineRule="exact"/>
        <w:rPr>
          <w:rFonts w:ascii="Arial" w:cs="Arial" w:eastAsia="Arial" w:hAnsi="Arial"/>
          <w:sz w:val="18"/>
          <w:szCs w:val="18"/>
          <w:color w:val="auto"/>
        </w:rPr>
      </w:pPr>
    </w:p>
    <w:p>
      <w:pPr>
        <w:ind w:left="640" w:hanging="632"/>
        <w:spacing w:after="0"/>
        <w:tabs>
          <w:tab w:leader="none" w:pos="640" w:val="left"/>
        </w:tabs>
        <w:numPr>
          <w:ilvl w:val="0"/>
          <w:numId w:val="10"/>
        </w:numPr>
        <w:rPr>
          <w:rFonts w:ascii="Arial" w:cs="Arial" w:eastAsia="Arial" w:hAnsi="Arial"/>
          <w:sz w:val="17"/>
          <w:szCs w:val="17"/>
          <w:color w:val="auto"/>
        </w:rPr>
      </w:pPr>
      <w:r>
        <w:rPr>
          <w:rFonts w:ascii="Arial" w:cs="Arial" w:eastAsia="Arial" w:hAnsi="Arial"/>
          <w:sz w:val="14"/>
          <w:szCs w:val="14"/>
          <w:color w:val="auto"/>
        </w:rPr>
        <w:t>T</w:t>
      </w:r>
      <w:r>
        <w:rPr>
          <w:rFonts w:ascii="Arial" w:cs="Arial" w:eastAsia="Arial" w:hAnsi="Arial"/>
          <w:sz w:val="17"/>
          <w:szCs w:val="17"/>
          <w:color w:val="auto"/>
        </w:rPr>
        <w:t>he “Tax Assurance”, dated 10 March 1995, issued by the Registrar of Companies for the Minister of Finance in relation to the Company.</w:t>
      </w:r>
    </w:p>
    <w:p>
      <w:pPr>
        <w:spacing w:after="0" w:line="236" w:lineRule="exact"/>
        <w:rPr>
          <w:rFonts w:ascii="Arial" w:cs="Arial" w:eastAsia="Arial" w:hAnsi="Arial"/>
          <w:sz w:val="17"/>
          <w:szCs w:val="17"/>
          <w:color w:val="auto"/>
        </w:rPr>
      </w:pPr>
    </w:p>
    <w:p>
      <w:pPr>
        <w:ind w:left="640" w:hanging="632"/>
        <w:spacing w:after="0"/>
        <w:tabs>
          <w:tab w:leader="none" w:pos="6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 Certificate of Compliance, dated 18 November 2005 issued by the Registrar of Companies in respect of the Company.</w:t>
      </w:r>
    </w:p>
    <w:p>
      <w:pPr>
        <w:spacing w:after="0" w:line="200" w:lineRule="exact"/>
        <w:rPr>
          <w:sz w:val="20"/>
          <w:szCs w:val="20"/>
          <w:color w:val="auto"/>
        </w:rPr>
      </w:pPr>
    </w:p>
    <w:p>
      <w:pPr>
        <w:spacing w:after="0" w:line="24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320"/>
      </w:cols>
      <w:pgMar w:left="240" w:top="125"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D1B58BA"/>
    <w:multiLevelType w:val="hybridMultilevel"/>
    <w:lvl w:ilvl="0">
      <w:lvlJc w:val="left"/>
      <w:lvlText w:val="(%1)"/>
      <w:numFmt w:val="decimal"/>
      <w:start w:val="1"/>
    </w:lvl>
    <w:lvl w:ilvl="1">
      <w:lvlJc w:val="left"/>
      <w:lvlText w:val="(%2)"/>
      <w:numFmt w:val="lowerRoman"/>
      <w:start w:val="1"/>
    </w:lvl>
  </w:abstractNum>
  <w:abstractNum w:abstractNumId="1">
    <w:nsid w:val="507ED7AB"/>
    <w:multiLevelType w:val="hybridMultilevel"/>
    <w:lvl w:ilvl="0">
      <w:lvlJc w:val="left"/>
      <w:lvlText w:val="(%1)"/>
      <w:numFmt w:val="lowerRoman"/>
      <w:start w:val="3"/>
    </w:lvl>
  </w:abstractNum>
  <w:abstractNum w:abstractNumId="2">
    <w:nsid w:val="2EB141F2"/>
    <w:multiLevelType w:val="hybridMultilevel"/>
    <w:lvl w:ilvl="0">
      <w:lvlJc w:val="left"/>
      <w:lvlText w:val="(%1)"/>
      <w:numFmt w:val="decimal"/>
      <w:start w:val="2"/>
    </w:lvl>
  </w:abstractNum>
  <w:abstractNum w:abstractNumId="3">
    <w:nsid w:val="41B71EFB"/>
    <w:multiLevelType w:val="hybridMultilevel"/>
    <w:lvl w:ilvl="0">
      <w:lvlJc w:val="left"/>
      <w:lvlText w:val="(%1)"/>
      <w:numFmt w:val="lowerLetter"/>
      <w:start w:val="1"/>
    </w:lvl>
  </w:abstractNum>
  <w:abstractNum w:abstractNumId="4">
    <w:nsid w:val="79E2A9E3"/>
    <w:multiLevelType w:val="hybridMultilevel"/>
    <w:lvl w:ilvl="0">
      <w:lvlJc w:val="left"/>
      <w:lvlText w:val="(%1)"/>
      <w:numFmt w:val="decimal"/>
      <w:start w:val="1"/>
    </w:lvl>
  </w:abstractNum>
  <w:abstractNum w:abstractNumId="5">
    <w:nsid w:val="7545E146"/>
    <w:multiLevelType w:val="hybridMultilevel"/>
    <w:lvl w:ilvl="0">
      <w:lvlJc w:val="left"/>
      <w:lvlText w:val="(%1)"/>
      <w:numFmt w:val="decimal"/>
      <w:start w:val="3"/>
    </w:lvl>
  </w:abstractNum>
  <w:abstractNum w:abstractNumId="6">
    <w:nsid w:val="515F007C"/>
    <w:multiLevelType w:val="hybridMultilevel"/>
    <w:lvl w:ilvl="0">
      <w:lvlJc w:val="left"/>
      <w:lvlText w:val="(%1)"/>
      <w:numFmt w:val="lowerLetter"/>
      <w:start w:val="1"/>
    </w:lvl>
  </w:abstractNum>
  <w:abstractNum w:abstractNumId="7">
    <w:nsid w:val="5BD062C2"/>
    <w:multiLevelType w:val="hybridMultilevel"/>
    <w:lvl w:ilvl="0">
      <w:lvlJc w:val="left"/>
      <w:lvlText w:val="(%1)"/>
      <w:numFmt w:val="lowerLetter"/>
      <w:start w:val="2"/>
    </w:lvl>
    <w:lvl w:ilvl="1">
      <w:lvlJc w:val="left"/>
      <w:lvlText w:val="(%2)"/>
      <w:numFmt w:val="lowerRoman"/>
      <w:start w:val="1"/>
    </w:lvl>
  </w:abstractNum>
  <w:abstractNum w:abstractNumId="8">
    <w:nsid w:val="12200854"/>
    <w:multiLevelType w:val="hybridMultilevel"/>
    <w:lvl w:ilvl="0">
      <w:lvlJc w:val="left"/>
      <w:lvlText w:val="(%1)"/>
      <w:numFmt w:val="lowerLetter"/>
      <w:start w:val="4"/>
    </w:lvl>
  </w:abstractNum>
  <w:abstractNum w:abstractNumId="9">
    <w:nsid w:val="4DB127F8"/>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2019-12-14T18:59:53Z</dcterms:created>
  <dcterms:modified xsi:type="dcterms:W3CDTF">2019-12-14T18:59:53Z</dcterms:modified>
</cp:coreProperties>
</file>