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22225</wp:posOffset>
            </wp:positionH>
            <wp:positionV relativeFrom="paragraph">
              <wp:posOffset>-10795</wp:posOffset>
            </wp:positionV>
            <wp:extent cx="140335" cy="1898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9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40" w:right="340" w:hanging="259"/>
        <w:spacing w:after="0" w:line="180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6460" w:type="dxa"/>
            <w:vAlign w:val="bottom"/>
          </w:tcPr>
          <w:p>
            <w:pPr>
              <w:jc w:val="center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3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316"/>
              <w:spacing w:after="0" w:line="18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5423535</wp:posOffset>
            </wp:positionH>
            <wp:positionV relativeFrom="paragraph">
              <wp:posOffset>-628650</wp:posOffset>
            </wp:positionV>
            <wp:extent cx="58420" cy="641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4083050</wp:posOffset>
            </wp:positionH>
            <wp:positionV relativeFrom="paragraph">
              <wp:posOffset>-628650</wp:posOffset>
            </wp:positionV>
            <wp:extent cx="58420" cy="641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-1762125</wp:posOffset>
            </wp:positionH>
            <wp:positionV relativeFrom="paragraph">
              <wp:posOffset>15875</wp:posOffset>
            </wp:positionV>
            <wp:extent cx="7325360" cy="93853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938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520"/>
            <w:col w:w="8760"/>
          </w:cols>
          <w:pgMar w:left="240" w:top="222" w:right="139" w:bottom="0" w:gutter="0" w:footer="0" w:header="0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30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1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 w:line="138" w:lineRule="exact"/>
              <w:rPr>
                <w:rFonts w:ascii="Arial" w:cs="Arial" w:eastAsia="Arial" w:hAnsi="Arial"/>
                <w:sz w:val="15"/>
                <w:szCs w:val="15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5"/>
                  <w:szCs w:val="15"/>
                  <w:color w:val="0000EE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15"/>
                <w:szCs w:val="15"/>
                <w:color w:val="000000"/>
              </w:rPr>
              <w:t>[</w:t>
            </w:r>
          </w:p>
        </w:tc>
        <w:tc>
          <w:tcPr>
            <w:tcW w:w="1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  <w:vMerge w:val="restart"/>
          </w:tcPr>
          <w:p>
            <w:pPr>
              <w:ind w:left="18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"/>
        </w:trPr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rFonts w:ascii="Arial" w:cs="Arial" w:eastAsia="Arial" w:hAnsi="Arial"/>
                <w:sz w:val="1"/>
                <w:szCs w:val="1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1"/>
                  <w:szCs w:val="1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1"/>
                  <w:szCs w:val="1"/>
                  <w:color w:val="000000"/>
                </w:rPr>
                <w:t>]</w:t>
              </w:r>
            </w:hyperlink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3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11/28/2005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ind w:left="4260"/>
        <w:spacing w:after="0" w:line="235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More than One Reporting Person</w:t>
      </w: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2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4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80" w:type="dxa"/>
            <w:vAlign w:val="bottom"/>
            <w:gridSpan w:val="3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707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 Owned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10,226,667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90"/>
                <w:vertAlign w:val="superscript"/>
              </w:rPr>
              <w:t>(1)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11/28/2005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127,100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26,253,258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11/28/2005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127,100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57.088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11/29/2005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83,561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26,209,719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11/29/2005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83,561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57.306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58,334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58,334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11/28/2005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127,100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1,460,591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(5)</w:t>
            </w: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1,460,591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11/29/2005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83,561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1,377,030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(5)</w:t>
            </w: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1,377,030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2,953,582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2,953,582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 w:line="23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w w:val="99"/>
                <w:vertAlign w:val="superscript"/>
              </w:rPr>
              <w:t>*</w:t>
            </w: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80" w:type="dxa"/>
            <w:vAlign w:val="bottom"/>
            <w:gridSpan w:val="4"/>
          </w:tcPr>
          <w:p>
            <w:pPr>
              <w:spacing w:after="0" w:line="21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Weili Dai &amp; Sehat Sutardja</w:t>
              </w:r>
            </w:hyperlink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0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bookmarkStart w:id="1" w:name="page2"/>
    <w:bookmarkEnd w:id="1"/>
    <w:p>
      <w:pPr>
        <w:ind w:left="8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4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Sehat Sutardja &amp; Weili Dai</w:t>
        </w:r>
      </w:hyperlink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-34925</wp:posOffset>
            </wp:positionH>
            <wp:positionV relativeFrom="paragraph">
              <wp:posOffset>-139700</wp:posOffset>
            </wp:positionV>
            <wp:extent cx="2919730" cy="1443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30" cy="144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2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60" w:firstLine="2"/>
        <w:spacing w:after="0" w:line="250" w:lineRule="auto"/>
        <w:tabs>
          <w:tab w:leader="none" w:pos="13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60" w:firstLine="2"/>
        <w:spacing w:after="0" w:line="250" w:lineRule="auto"/>
        <w:tabs>
          <w:tab w:leader="none" w:pos="13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firstLine="2"/>
        <w:spacing w:after="0" w:line="250" w:lineRule="auto"/>
        <w:tabs>
          <w:tab w:leader="none" w:pos="13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40" w:firstLine="2"/>
        <w:spacing w:after="0" w:line="250" w:lineRule="auto"/>
        <w:tabs>
          <w:tab w:leader="none" w:pos="13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Weili Dai &amp; Dr. Sehat Sutardja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11/30/2005</w:t>
            </w:r>
          </w:p>
        </w:tc>
      </w:tr>
      <w:tr>
        <w:trPr>
          <w:trHeight w:val="22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jc w:val="both"/>
        <w:ind w:right="3800" w:firstLine="2"/>
        <w:spacing w:after="0" w:line="336" w:lineRule="auto"/>
        <w:tabs>
          <w:tab w:leader="none" w:pos="13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280"/>
      </w:cols>
      <w:pgMar w:left="280" w:top="120" w:right="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5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4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2019-12-17T03:19:09Z</dcterms:created>
  <dcterms:modified xsi:type="dcterms:W3CDTF">2019-12-17T03:19:09Z</dcterms:modified>
</cp:coreProperties>
</file>