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t>UNITED STATES</w:t>
      </w:r>
    </w:p>
    <w:p>
      <w:pPr>
        <w:spacing w:after="0" w:line="39"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spacing w:after="0" w:line="196"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Washington, D.C. 20549</w:t>
      </w:r>
    </w:p>
    <w:p>
      <w:pPr>
        <w:spacing w:after="0" w:line="200"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28" w:lineRule="exact"/>
        <w:rPr>
          <w:sz w:val="24"/>
          <w:szCs w:val="24"/>
          <w:color w:val="auto"/>
        </w:rPr>
      </w:pPr>
    </w:p>
    <w:p>
      <w:pPr>
        <w:ind w:left="4700"/>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Times New Roman" w:cs="Times New Roman" w:eastAsia="Times New Roman" w:hAnsi="Times New Roman"/>
          <w:sz w:val="22"/>
          <w:szCs w:val="22"/>
          <w:b w:val="1"/>
          <w:bCs w:val="1"/>
          <w:color w:val="auto"/>
        </w:rPr>
        <w:t>Pursuant to Section 13 or 15(d) of the</w:t>
      </w:r>
    </w:p>
    <w:p>
      <w:pPr>
        <w:spacing w:after="0" w:line="18"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22"/>
          <w:szCs w:val="22"/>
          <w:b w:val="1"/>
          <w:bCs w:val="1"/>
          <w:color w:val="auto"/>
        </w:rPr>
        <w:t>Securities Exchange Act of 1934</w:t>
      </w:r>
    </w:p>
    <w:p>
      <w:pPr>
        <w:spacing w:after="0" w:line="187"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 xml:space="preserve">Date of Report (Date of Earliest Event Reported): </w:t>
      </w:r>
      <w:r>
        <w:rPr>
          <w:rFonts w:ascii="Times New Roman" w:cs="Times New Roman" w:eastAsia="Times New Roman" w:hAnsi="Times New Roman"/>
          <w:sz w:val="18"/>
          <w:szCs w:val="18"/>
          <w:b w:val="1"/>
          <w:bCs w:val="1"/>
          <w:color w:val="auto"/>
        </w:rPr>
        <w:t>November 17, 2005</w:t>
      </w:r>
    </w:p>
    <w:p>
      <w:pPr>
        <w:spacing w:after="0" w:line="200"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MARVELL TECHNOLOGY GROUP LTD.</w:t>
      </w:r>
    </w:p>
    <w:p>
      <w:pPr>
        <w:spacing w:after="0" w:line="46"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(Exact name of registrant as specified in its charter)</w:t>
      </w:r>
    </w:p>
    <w:p>
      <w:pPr>
        <w:sectPr>
          <w:pgSz w:w="11900" w:h="16838" w:orient="portrait"/>
          <w:cols w:equalWidth="0" w:num="1">
            <w:col w:w="11380"/>
          </w:cols>
          <w:pgMar w:left="240" w:top="579" w:right="279" w:bottom="0" w:gutter="0" w:footer="0" w:header="0"/>
        </w:sectPr>
      </w:pPr>
    </w:p>
    <w:p>
      <w:pPr>
        <w:spacing w:after="0" w:line="201" w:lineRule="exact"/>
        <w:rPr>
          <w:sz w:val="24"/>
          <w:szCs w:val="24"/>
          <w:color w:val="auto"/>
        </w:rPr>
      </w:pPr>
    </w:p>
    <w:p>
      <w:pPr>
        <w:ind w:left="148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31" w:lineRule="exact"/>
        <w:rPr>
          <w:sz w:val="24"/>
          <w:szCs w:val="24"/>
          <w:color w:val="auto"/>
        </w:rPr>
      </w:pPr>
    </w:p>
    <w:p>
      <w:pPr>
        <w:ind w:left="760"/>
        <w:spacing w:after="0"/>
        <w:rPr>
          <w:sz w:val="20"/>
          <w:szCs w:val="20"/>
          <w:color w:val="auto"/>
        </w:rPr>
      </w:pPr>
      <w:r>
        <w:rPr>
          <w:rFonts w:ascii="Times New Roman" w:cs="Times New Roman" w:eastAsia="Times New Roman" w:hAnsi="Times New Roman"/>
          <w:sz w:val="18"/>
          <w:szCs w:val="18"/>
          <w:color w:val="auto"/>
        </w:rPr>
        <w:t>(State or Other Jurisdiction of</w:t>
      </w:r>
    </w:p>
    <w:p>
      <w:pPr>
        <w:spacing w:after="0" w:line="9" w:lineRule="exact"/>
        <w:rPr>
          <w:sz w:val="24"/>
          <w:szCs w:val="24"/>
          <w:color w:val="auto"/>
        </w:rPr>
      </w:pPr>
    </w:p>
    <w:p>
      <w:pPr>
        <w:ind w:left="1320"/>
        <w:spacing w:after="0"/>
        <w:rPr>
          <w:sz w:val="20"/>
          <w:szCs w:val="20"/>
          <w:color w:val="auto"/>
        </w:rPr>
      </w:pPr>
      <w:r>
        <w:rPr>
          <w:rFonts w:ascii="Times New Roman" w:cs="Times New Roman" w:eastAsia="Times New Roman" w:hAnsi="Times New Roman"/>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1" w:lineRule="exact"/>
        <w:rPr>
          <w:sz w:val="24"/>
          <w:szCs w:val="24"/>
          <w:color w:val="auto"/>
        </w:rPr>
      </w:pPr>
    </w:p>
    <w:p>
      <w:pPr>
        <w:jc w:val="center"/>
        <w:ind w:right="1480"/>
        <w:spacing w:after="0"/>
        <w:rPr>
          <w:sz w:val="20"/>
          <w:szCs w:val="20"/>
          <w:color w:val="auto"/>
        </w:rPr>
      </w:pPr>
      <w:r>
        <w:rPr>
          <w:rFonts w:ascii="Times New Roman" w:cs="Times New Roman" w:eastAsia="Times New Roman" w:hAnsi="Times New Roman"/>
          <w:sz w:val="18"/>
          <w:szCs w:val="18"/>
          <w:b w:val="1"/>
          <w:bCs w:val="1"/>
          <w:color w:val="auto"/>
        </w:rPr>
        <w:t>0-30877</w:t>
      </w:r>
    </w:p>
    <w:p>
      <w:pPr>
        <w:spacing w:after="0" w:line="31" w:lineRule="exact"/>
        <w:rPr>
          <w:sz w:val="24"/>
          <w:szCs w:val="24"/>
          <w:color w:val="auto"/>
        </w:rPr>
      </w:pPr>
    </w:p>
    <w:p>
      <w:pPr>
        <w:jc w:val="center"/>
        <w:ind w:right="1480"/>
        <w:spacing w:after="0"/>
        <w:rPr>
          <w:sz w:val="20"/>
          <w:szCs w:val="20"/>
          <w:color w:val="auto"/>
        </w:rPr>
      </w:pPr>
      <w:r>
        <w:rPr>
          <w:rFonts w:ascii="Times New Roman" w:cs="Times New Roman" w:eastAsia="Times New Roman" w:hAnsi="Times New Roman"/>
          <w:sz w:val="17"/>
          <w:szCs w:val="17"/>
          <w:color w:val="auto"/>
        </w:rPr>
        <w:t>(Commission File Number)</w:t>
      </w:r>
    </w:p>
    <w:p>
      <w:pPr>
        <w:spacing w:after="0" w:line="20" w:lineRule="exact"/>
        <w:rPr>
          <w:sz w:val="24"/>
          <w:szCs w:val="24"/>
          <w:color w:val="auto"/>
        </w:rPr>
      </w:pPr>
      <w:r>
        <w:rPr>
          <w:sz w:val="24"/>
          <w:szCs w:val="24"/>
          <w:color w:val="auto"/>
        </w:rPr>
        <w:br w:type="column"/>
      </w:r>
    </w:p>
    <w:p>
      <w:pPr>
        <w:spacing w:after="0" w:line="181" w:lineRule="exact"/>
        <w:rPr>
          <w:sz w:val="24"/>
          <w:szCs w:val="24"/>
          <w:color w:val="auto"/>
        </w:rPr>
      </w:pPr>
    </w:p>
    <w:p>
      <w:pPr>
        <w:jc w:val="center"/>
        <w:ind w:right="1120"/>
        <w:spacing w:after="0"/>
        <w:rPr>
          <w:sz w:val="20"/>
          <w:szCs w:val="20"/>
          <w:color w:val="auto"/>
        </w:rPr>
      </w:pPr>
      <w:r>
        <w:rPr>
          <w:rFonts w:ascii="Times New Roman" w:cs="Times New Roman" w:eastAsia="Times New Roman" w:hAnsi="Times New Roman"/>
          <w:sz w:val="18"/>
          <w:szCs w:val="18"/>
          <w:b w:val="1"/>
          <w:bCs w:val="1"/>
          <w:color w:val="auto"/>
        </w:rPr>
        <w:t>77-0481679</w:t>
      </w:r>
    </w:p>
    <w:p>
      <w:pPr>
        <w:spacing w:after="0" w:line="31" w:lineRule="exact"/>
        <w:rPr>
          <w:sz w:val="24"/>
          <w:szCs w:val="24"/>
          <w:color w:val="auto"/>
        </w:rPr>
      </w:pPr>
    </w:p>
    <w:p>
      <w:pPr>
        <w:jc w:val="center"/>
        <w:ind w:right="1120"/>
        <w:spacing w:after="0"/>
        <w:rPr>
          <w:sz w:val="20"/>
          <w:szCs w:val="20"/>
          <w:color w:val="auto"/>
        </w:rPr>
      </w:pPr>
      <w:r>
        <w:rPr>
          <w:rFonts w:ascii="Times New Roman" w:cs="Times New Roman" w:eastAsia="Times New Roman" w:hAnsi="Times New Roman"/>
          <w:sz w:val="18"/>
          <w:szCs w:val="18"/>
          <w:color w:val="auto"/>
        </w:rPr>
        <w:t>(I.R.S. Employer</w:t>
      </w:r>
    </w:p>
    <w:p>
      <w:pPr>
        <w:spacing w:after="0" w:line="9" w:lineRule="exact"/>
        <w:rPr>
          <w:sz w:val="24"/>
          <w:szCs w:val="24"/>
          <w:color w:val="auto"/>
        </w:rPr>
      </w:pPr>
    </w:p>
    <w:p>
      <w:pPr>
        <w:jc w:val="center"/>
        <w:ind w:right="1120"/>
        <w:spacing w:after="0"/>
        <w:rPr>
          <w:sz w:val="20"/>
          <w:szCs w:val="20"/>
          <w:color w:val="auto"/>
        </w:rPr>
      </w:pPr>
      <w:r>
        <w:rPr>
          <w:rFonts w:ascii="Times New Roman" w:cs="Times New Roman" w:eastAsia="Times New Roman" w:hAnsi="Times New Roman"/>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460"/>
          </w:cols>
          <w:pgMar w:left="240" w:top="579" w:right="279" w:bottom="0" w:gutter="0" w:footer="0" w:header="0"/>
          <w:type w:val="continuous"/>
        </w:sectPr>
      </w:pPr>
    </w:p>
    <w:p>
      <w:pPr>
        <w:spacing w:after="0" w:line="3"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(Address of principal executive offices)</w:t>
      </w:r>
    </w:p>
    <w:p>
      <w:pPr>
        <w:spacing w:after="0" w:line="203"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3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(Registrant’s telephone number,</w:t>
      </w:r>
    </w:p>
    <w:p>
      <w:pPr>
        <w:spacing w:after="0" w:line="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including area code)</w:t>
      </w:r>
    </w:p>
    <w:p>
      <w:pPr>
        <w:spacing w:after="0" w:line="203"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N/A</w:t>
      </w:r>
    </w:p>
    <w:p>
      <w:pPr>
        <w:spacing w:after="0" w:line="3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(Former name or former address, if changed since last report.)</w:t>
      </w:r>
    </w:p>
    <w:p>
      <w:pPr>
        <w:sectPr>
          <w:pgSz w:w="11900" w:h="16838" w:orient="portrait"/>
          <w:cols w:equalWidth="0" w:num="1">
            <w:col w:w="11380"/>
          </w:cols>
          <w:pgMar w:left="240" w:top="579" w:right="279" w:bottom="0" w:gutter="0" w:footer="0" w:header="0"/>
          <w:type w:val="continuous"/>
        </w:sectPr>
      </w:pPr>
    </w:p>
    <w:p>
      <w:pPr>
        <w:spacing w:after="0" w:line="207" w:lineRule="exact"/>
        <w:rPr>
          <w:sz w:val="24"/>
          <w:szCs w:val="24"/>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62" w:lineRule="exact"/>
        <w:rPr>
          <w:sz w:val="24"/>
          <w:szCs w:val="24"/>
          <w:color w:val="auto"/>
        </w:rPr>
      </w:pPr>
    </w:p>
    <w:p>
      <w:pPr>
        <w:ind w:left="260" w:hanging="252"/>
        <w:spacing w:after="0"/>
        <w:tabs>
          <w:tab w:leader="none" w:pos="26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225" w:lineRule="exact"/>
        <w:rPr>
          <w:rFonts w:ascii="Times New Roman" w:cs="Times New Roman" w:eastAsia="Times New Roman" w:hAnsi="Times New Roman"/>
          <w:sz w:val="18"/>
          <w:szCs w:val="18"/>
          <w:color w:val="auto"/>
        </w:rPr>
      </w:pPr>
    </w:p>
    <w:p>
      <w:pPr>
        <w:ind w:left="260" w:hanging="252"/>
        <w:spacing w:after="0"/>
        <w:tabs>
          <w:tab w:leader="none" w:pos="26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225" w:lineRule="exact"/>
        <w:rPr>
          <w:rFonts w:ascii="Times New Roman" w:cs="Times New Roman" w:eastAsia="Times New Roman" w:hAnsi="Times New Roman"/>
          <w:sz w:val="18"/>
          <w:szCs w:val="18"/>
          <w:color w:val="auto"/>
        </w:rPr>
      </w:pPr>
    </w:p>
    <w:p>
      <w:pPr>
        <w:ind w:left="260" w:hanging="252"/>
        <w:spacing w:after="0"/>
        <w:tabs>
          <w:tab w:leader="none" w:pos="26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225" w:lineRule="exact"/>
        <w:rPr>
          <w:rFonts w:ascii="Times New Roman" w:cs="Times New Roman" w:eastAsia="Times New Roman" w:hAnsi="Times New Roman"/>
          <w:sz w:val="18"/>
          <w:szCs w:val="18"/>
          <w:color w:val="auto"/>
        </w:rPr>
      </w:pPr>
    </w:p>
    <w:p>
      <w:pPr>
        <w:ind w:left="260" w:hanging="252"/>
        <w:spacing w:after="0"/>
        <w:tabs>
          <w:tab w:leader="none" w:pos="26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154940</wp:posOffset>
            </wp:positionV>
            <wp:extent cx="7246620" cy="342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223520</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452755</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2.02. Results of Operations and Financial Condition</w:t>
      </w:r>
    </w:p>
    <w:p>
      <w:pPr>
        <w:spacing w:after="0" w:line="229" w:lineRule="exact"/>
        <w:rPr>
          <w:sz w:val="24"/>
          <w:szCs w:val="24"/>
          <w:color w:val="auto"/>
        </w:rPr>
      </w:pPr>
    </w:p>
    <w:p>
      <w:pPr>
        <w:ind w:right="60" w:firstLine="648"/>
        <w:spacing w:after="0" w:line="266" w:lineRule="auto"/>
        <w:rPr>
          <w:sz w:val="20"/>
          <w:szCs w:val="20"/>
          <w:color w:val="auto"/>
        </w:rPr>
      </w:pPr>
      <w:r>
        <w:rPr>
          <w:rFonts w:ascii="Times New Roman" w:cs="Times New Roman" w:eastAsia="Times New Roman" w:hAnsi="Times New Roman"/>
          <w:sz w:val="18"/>
          <w:szCs w:val="18"/>
          <w:color w:val="auto"/>
        </w:rPr>
        <w:t>The information in this Current Report is being furnished and shall not be deemed “filed” for purposes of Section 18 of the Securities Exchange Act of 1934 (the “Exchange Act”), or otherwise subject to the liabilities of that Section. The information in this Current Report shall not be incorporated by reference in any filing under the Securities Act of 1933 or the Exchange Act, except as shall be expressly set forth by specific reference in such a filing.</w:t>
      </w:r>
    </w:p>
    <w:p>
      <w:pPr>
        <w:spacing w:after="0" w:line="176" w:lineRule="exact"/>
        <w:rPr>
          <w:sz w:val="24"/>
          <w:szCs w:val="24"/>
          <w:color w:val="auto"/>
        </w:rPr>
      </w:pPr>
    </w:p>
    <w:p>
      <w:pPr>
        <w:ind w:right="160" w:firstLine="648"/>
        <w:spacing w:after="0" w:line="282" w:lineRule="auto"/>
        <w:rPr>
          <w:sz w:val="20"/>
          <w:szCs w:val="20"/>
          <w:color w:val="auto"/>
        </w:rPr>
      </w:pPr>
      <w:r>
        <w:rPr>
          <w:rFonts w:ascii="Times New Roman" w:cs="Times New Roman" w:eastAsia="Times New Roman" w:hAnsi="Times New Roman"/>
          <w:sz w:val="18"/>
          <w:szCs w:val="18"/>
          <w:color w:val="auto"/>
        </w:rPr>
        <w:t>On November 17, 2005, Marvell Technology Group Ltd. (“Marvell”) issued a press release regarding its financial results for its third fiscal quarter ended October 29, 2005. The full text of Marvell’s press release is furnished herewith as Exhibit 99.1.</w:t>
      </w:r>
    </w:p>
    <w:p>
      <w:pPr>
        <w:spacing w:after="0" w:line="162" w:lineRule="exact"/>
        <w:rPr>
          <w:sz w:val="24"/>
          <w:szCs w:val="24"/>
          <w:color w:val="auto"/>
        </w:rPr>
      </w:pPr>
    </w:p>
    <w:p>
      <w:pPr>
        <w:jc w:val="both"/>
        <w:ind w:right="280" w:firstLine="648"/>
        <w:spacing w:after="0" w:line="266" w:lineRule="auto"/>
        <w:rPr>
          <w:sz w:val="20"/>
          <w:szCs w:val="20"/>
          <w:color w:val="auto"/>
        </w:rPr>
      </w:pPr>
      <w:r>
        <w:rPr>
          <w:rFonts w:ascii="Times New Roman" w:cs="Times New Roman" w:eastAsia="Times New Roman" w:hAnsi="Times New Roman"/>
          <w:sz w:val="18"/>
          <w:szCs w:val="18"/>
          <w:color w:val="auto"/>
        </w:rPr>
        <w:t>The following non-GAAP financial measures are included in the press release: pro forma net income and basic and diluted net income per share. These non-GAAP measures exclude the effects of acquisition-related expenses, amortization of stock-based compensation and charges related to facilities consolidation. A reconciliation to the most directly comparable GAAP measure is included in the financial statements portion of the press release.</w:t>
      </w:r>
    </w:p>
    <w:p>
      <w:pPr>
        <w:spacing w:after="0" w:line="176" w:lineRule="exact"/>
        <w:rPr>
          <w:sz w:val="24"/>
          <w:szCs w:val="24"/>
          <w:color w:val="auto"/>
        </w:rPr>
      </w:pPr>
    </w:p>
    <w:p>
      <w:pPr>
        <w:ind w:firstLine="648"/>
        <w:spacing w:after="0" w:line="261" w:lineRule="auto"/>
        <w:rPr>
          <w:sz w:val="20"/>
          <w:szCs w:val="20"/>
          <w:color w:val="auto"/>
        </w:rPr>
      </w:pPr>
      <w:r>
        <w:rPr>
          <w:rFonts w:ascii="Times New Roman" w:cs="Times New Roman" w:eastAsia="Times New Roman" w:hAnsi="Times New Roman"/>
          <w:sz w:val="18"/>
          <w:szCs w:val="18"/>
          <w:color w:val="auto"/>
        </w:rPr>
        <w:t>Marvell’s management believes this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company management analyzes operating results.</w:t>
      </w:r>
    </w:p>
    <w:p>
      <w:pPr>
        <w:spacing w:after="0" w:line="176"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9.01. Financial Statements and Exhibits</w:t>
      </w:r>
    </w:p>
    <w:p>
      <w:pPr>
        <w:spacing w:after="0" w:line="225" w:lineRule="exact"/>
        <w:rPr>
          <w:sz w:val="24"/>
          <w:szCs w:val="24"/>
          <w:color w:val="auto"/>
        </w:rPr>
      </w:pPr>
    </w:p>
    <w:p>
      <w:pPr>
        <w:ind w:left="660"/>
        <w:spacing w:after="0"/>
        <w:rPr>
          <w:sz w:val="20"/>
          <w:szCs w:val="20"/>
          <w:color w:val="auto"/>
        </w:rPr>
      </w:pPr>
      <w:r>
        <w:rPr>
          <w:rFonts w:ascii="Times New Roman" w:cs="Times New Roman" w:eastAsia="Times New Roman" w:hAnsi="Times New Roman"/>
          <w:sz w:val="18"/>
          <w:szCs w:val="18"/>
          <w:b w:val="1"/>
          <w:bCs w:val="1"/>
          <w:color w:val="auto"/>
        </w:rPr>
        <w:t>(d) Exhibits</w:t>
      </w:r>
    </w:p>
    <w:p>
      <w:pPr>
        <w:sectPr>
          <w:pgSz w:w="11900" w:h="16838" w:orient="portrait"/>
          <w:cols w:equalWidth="0" w:num="1">
            <w:col w:w="11380"/>
          </w:cols>
          <w:pgMar w:left="240" w:top="579" w:right="27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173"/>
        </w:trPr>
        <w:tc>
          <w:tcPr>
            <w:tcW w:w="1700" w:type="dxa"/>
            <w:vAlign w:val="bottom"/>
            <w:gridSpan w:val="2"/>
          </w:tcPr>
          <w:p>
            <w:pPr>
              <w:jc w:val="center"/>
              <w:ind w:left="248"/>
              <w:spacing w:after="0"/>
              <w:rPr>
                <w:sz w:val="20"/>
                <w:szCs w:val="20"/>
                <w:color w:val="auto"/>
              </w:rPr>
            </w:pPr>
            <w:r>
              <w:rPr>
                <w:rFonts w:ascii="Times New Roman" w:cs="Times New Roman" w:eastAsia="Times New Roman" w:hAnsi="Times New Roman"/>
                <w:sz w:val="14"/>
                <w:szCs w:val="14"/>
                <w:b w:val="1"/>
                <w:bCs w:val="1"/>
                <w:color w:val="auto"/>
              </w:rPr>
              <w:t>Exhibit No.</w:t>
            </w:r>
          </w:p>
        </w:tc>
        <w:tc>
          <w:tcPr>
            <w:tcW w:w="520" w:type="dxa"/>
            <w:vAlign w:val="bottom"/>
          </w:tcPr>
          <w:p>
            <w:pPr>
              <w:spacing w:after="0"/>
              <w:rPr>
                <w:sz w:val="15"/>
                <w:szCs w:val="15"/>
                <w:color w:val="auto"/>
              </w:rPr>
            </w:pPr>
          </w:p>
        </w:tc>
        <w:tc>
          <w:tcPr>
            <w:tcW w:w="8700" w:type="dxa"/>
            <w:vAlign w:val="bottom"/>
          </w:tcPr>
          <w:p>
            <w:pPr>
              <w:jc w:val="right"/>
              <w:ind w:right="3919"/>
              <w:spacing w:after="0"/>
              <w:rPr>
                <w:sz w:val="20"/>
                <w:szCs w:val="20"/>
                <w:color w:val="auto"/>
              </w:rPr>
            </w:pPr>
            <w:r>
              <w:rPr>
                <w:rFonts w:ascii="Times New Roman" w:cs="Times New Roman" w:eastAsia="Times New Roman" w:hAnsi="Times New Roman"/>
                <w:sz w:val="14"/>
                <w:szCs w:val="14"/>
                <w:b w:val="1"/>
                <w:bCs w:val="1"/>
                <w:color w:val="auto"/>
              </w:rPr>
              <w:t>Description</w:t>
            </w:r>
          </w:p>
        </w:tc>
        <w:tc>
          <w:tcPr>
            <w:tcW w:w="520" w:type="dxa"/>
            <w:vAlign w:val="bottom"/>
          </w:tcPr>
          <w:p>
            <w:pPr>
              <w:spacing w:after="0"/>
              <w:rPr>
                <w:sz w:val="15"/>
                <w:szCs w:val="15"/>
                <w:color w:val="auto"/>
              </w:rPr>
            </w:pPr>
          </w:p>
        </w:tc>
      </w:tr>
      <w:tr>
        <w:trPr>
          <w:trHeight w:val="426"/>
        </w:trPr>
        <w:tc>
          <w:tcPr>
            <w:tcW w:w="660" w:type="dxa"/>
            <w:vAlign w:val="bottom"/>
          </w:tcPr>
          <w:p>
            <w:pPr>
              <w:spacing w:after="0"/>
              <w:rPr>
                <w:sz w:val="24"/>
                <w:szCs w:val="24"/>
                <w:color w:val="auto"/>
              </w:rPr>
            </w:pPr>
          </w:p>
        </w:tc>
        <w:tc>
          <w:tcPr>
            <w:tcW w:w="1040" w:type="dxa"/>
            <w:vAlign w:val="bottom"/>
            <w:tcBorders>
              <w:top w:val="single" w:sz="8" w:color="auto"/>
            </w:tcBorders>
          </w:tcPr>
          <w:p>
            <w:pPr>
              <w:jc w:val="right"/>
              <w:ind w:right="450"/>
              <w:spacing w:after="0"/>
              <w:rPr>
                <w:sz w:val="20"/>
                <w:szCs w:val="20"/>
                <w:color w:val="auto"/>
              </w:rPr>
            </w:pPr>
            <w:r>
              <w:rPr>
                <w:rFonts w:ascii="Times New Roman" w:cs="Times New Roman" w:eastAsia="Times New Roman" w:hAnsi="Times New Roman"/>
                <w:sz w:val="18"/>
                <w:szCs w:val="18"/>
                <w:color w:val="auto"/>
              </w:rPr>
              <w:t>99.1</w:t>
            </w:r>
          </w:p>
        </w:tc>
        <w:tc>
          <w:tcPr>
            <w:tcW w:w="520" w:type="dxa"/>
            <w:vAlign w:val="bottom"/>
          </w:tcPr>
          <w:p>
            <w:pPr>
              <w:spacing w:after="0"/>
              <w:rPr>
                <w:sz w:val="24"/>
                <w:szCs w:val="24"/>
                <w:color w:val="auto"/>
              </w:rPr>
            </w:pPr>
          </w:p>
        </w:tc>
        <w:tc>
          <w:tcPr>
            <w:tcW w:w="8700" w:type="dxa"/>
            <w:vAlign w:val="bottom"/>
            <w:tcBorders>
              <w:top w:val="single" w:sz="8" w:color="auto"/>
            </w:tcBorders>
          </w:tcPr>
          <w:p>
            <w:pPr>
              <w:jc w:val="right"/>
              <w:ind w:right="5679"/>
              <w:spacing w:after="0"/>
              <w:rPr>
                <w:sz w:val="20"/>
                <w:szCs w:val="20"/>
                <w:color w:val="auto"/>
              </w:rPr>
            </w:pPr>
            <w:r>
              <w:rPr>
                <w:rFonts w:ascii="Times New Roman" w:cs="Times New Roman" w:eastAsia="Times New Roman" w:hAnsi="Times New Roman"/>
                <w:sz w:val="18"/>
                <w:szCs w:val="18"/>
                <w:color w:val="auto"/>
                <w:w w:val="99"/>
              </w:rPr>
              <w:t>Press Release dated November 17, 2005.</w:t>
            </w:r>
          </w:p>
        </w:tc>
        <w:tc>
          <w:tcPr>
            <w:tcW w:w="520" w:type="dxa"/>
            <w:vAlign w:val="bottom"/>
          </w:tcPr>
          <w:p>
            <w:pPr>
              <w:spacing w:after="0"/>
              <w:rPr>
                <w:sz w:val="24"/>
                <w:szCs w:val="24"/>
                <w:color w:val="auto"/>
              </w:rPr>
            </w:pPr>
          </w:p>
        </w:tc>
      </w:tr>
      <w:tr>
        <w:trPr>
          <w:trHeight w:val="432"/>
        </w:trPr>
        <w:tc>
          <w:tcPr>
            <w:tcW w:w="6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9220" w:type="dxa"/>
            <w:vAlign w:val="bottom"/>
            <w:gridSpan w:val="2"/>
          </w:tcPr>
          <w:p>
            <w:pPr>
              <w:jc w:val="right"/>
              <w:ind w:right="5079"/>
              <w:spacing w:after="0"/>
              <w:rPr>
                <w:sz w:val="20"/>
                <w:szCs w:val="20"/>
                <w:color w:val="auto"/>
              </w:rPr>
            </w:pPr>
            <w:r>
              <w:rPr>
                <w:rFonts w:ascii="Times New Roman" w:cs="Times New Roman" w:eastAsia="Times New Roman" w:hAnsi="Times New Roman"/>
                <w:sz w:val="18"/>
                <w:szCs w:val="18"/>
                <w:color w:val="auto"/>
              </w:rPr>
              <w:t>2</w:t>
            </w:r>
          </w:p>
        </w:tc>
        <w:tc>
          <w:tcPr>
            <w:tcW w:w="520" w:type="dxa"/>
            <w:vAlign w:val="bottom"/>
          </w:tcPr>
          <w:p>
            <w:pPr>
              <w:spacing w:after="0"/>
              <w:rPr>
                <w:sz w:val="24"/>
                <w:szCs w:val="24"/>
                <w:color w:val="auto"/>
              </w:rPr>
            </w:pPr>
          </w:p>
        </w:tc>
      </w:tr>
      <w:tr>
        <w:trPr>
          <w:trHeight w:val="105"/>
        </w:trPr>
        <w:tc>
          <w:tcPr>
            <w:tcW w:w="660" w:type="dxa"/>
            <w:vAlign w:val="bottom"/>
            <w:tcBorders>
              <w:bottom w:val="single" w:sz="8" w:color="808080"/>
            </w:tcBorders>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8700" w:type="dxa"/>
            <w:vAlign w:val="bottom"/>
            <w:tcBorders>
              <w:bottom w:val="single" w:sz="8" w:color="808080"/>
            </w:tcBorders>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295"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SIGNATURE</w:t>
      </w:r>
    </w:p>
    <w:p>
      <w:pPr>
        <w:spacing w:after="0" w:line="229" w:lineRule="exact"/>
        <w:rPr>
          <w:sz w:val="20"/>
          <w:szCs w:val="20"/>
          <w:color w:val="auto"/>
        </w:rPr>
      </w:pPr>
    </w:p>
    <w:p>
      <w:pPr>
        <w:ind w:right="500" w:firstLine="648"/>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the registrant has duly caused this report to be signed on its behalf by the undersigned hereunto duly authorized.</w:t>
      </w:r>
    </w:p>
    <w:p>
      <w:pPr>
        <w:spacing w:after="0" w:line="16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Dated: November 17, 2005</w:t>
      </w:r>
    </w:p>
    <w:p>
      <w:pPr>
        <w:spacing w:after="0" w:line="225" w:lineRule="exact"/>
        <w:rPr>
          <w:sz w:val="20"/>
          <w:szCs w:val="20"/>
          <w:color w:val="auto"/>
        </w:rPr>
      </w:pPr>
    </w:p>
    <w:p>
      <w:pPr>
        <w:ind w:left="590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5900"/>
        <w:spacing w:after="0"/>
        <w:tabs>
          <w:tab w:leader="none" w:pos="6380" w:val="left"/>
        </w:tabs>
        <w:rPr>
          <w:sz w:val="20"/>
          <w:szCs w:val="20"/>
          <w:color w:val="auto"/>
        </w:rPr>
      </w:pPr>
      <w:r>
        <w:rPr>
          <w:rFonts w:ascii="Times New Roman" w:cs="Times New Roman" w:eastAsia="Times New Roman" w:hAnsi="Times New Roman"/>
          <w:sz w:val="18"/>
          <w:szCs w:val="18"/>
          <w:color w:val="auto"/>
        </w:rPr>
        <w:t>By:</w:t>
        <w:tab/>
        <w:t>/s/ George A. Hervey</w:t>
      </w:r>
    </w:p>
    <w:p>
      <w:pPr>
        <w:spacing w:after="0" w:line="27" w:lineRule="exact"/>
        <w:rPr>
          <w:sz w:val="20"/>
          <w:szCs w:val="20"/>
          <w:color w:val="auto"/>
        </w:rPr>
      </w:pPr>
    </w:p>
    <w:p>
      <w:pPr>
        <w:ind w:left="7320"/>
        <w:spacing w:after="0"/>
        <w:rPr>
          <w:sz w:val="20"/>
          <w:szCs w:val="20"/>
          <w:color w:val="auto"/>
        </w:rPr>
      </w:pPr>
      <w:r>
        <w:rPr>
          <w:rFonts w:ascii="Times New Roman" w:cs="Times New Roman" w:eastAsia="Times New Roman" w:hAnsi="Times New Roman"/>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4010025</wp:posOffset>
            </wp:positionH>
            <wp:positionV relativeFrom="paragraph">
              <wp:posOffset>-130810</wp:posOffset>
            </wp:positionV>
            <wp:extent cx="237553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2375535" cy="8890"/>
                    </a:xfrm>
                    <a:prstGeom prst="rect">
                      <a:avLst/>
                    </a:prstGeom>
                    <a:noFill/>
                  </pic:spPr>
                </pic:pic>
              </a:graphicData>
            </a:graphic>
          </wp:anchor>
        </w:drawing>
      </w:r>
    </w:p>
    <w:p>
      <w:pPr>
        <w:ind w:left="6900"/>
        <w:spacing w:after="0"/>
        <w:rPr>
          <w:sz w:val="20"/>
          <w:szCs w:val="20"/>
          <w:color w:val="auto"/>
        </w:rPr>
      </w:pPr>
      <w:r>
        <w:rPr>
          <w:rFonts w:ascii="Times New Roman" w:cs="Times New Roman" w:eastAsia="Times New Roman" w:hAnsi="Times New Roman"/>
          <w:sz w:val="18"/>
          <w:szCs w:val="18"/>
          <w:color w:val="auto"/>
        </w:rPr>
        <w:t>Vice President of Finance and</w:t>
      </w:r>
    </w:p>
    <w:p>
      <w:pPr>
        <w:spacing w:after="0" w:line="9" w:lineRule="exact"/>
        <w:rPr>
          <w:sz w:val="20"/>
          <w:szCs w:val="20"/>
          <w:color w:val="auto"/>
        </w:rPr>
      </w:pPr>
    </w:p>
    <w:p>
      <w:pPr>
        <w:ind w:left="7140"/>
        <w:spacing w:after="0"/>
        <w:rPr>
          <w:sz w:val="20"/>
          <w:szCs w:val="20"/>
          <w:color w:val="auto"/>
        </w:rPr>
      </w:pPr>
      <w:r>
        <w:rPr>
          <w:rFonts w:ascii="Times New Roman" w:cs="Times New Roman" w:eastAsia="Times New Roman" w:hAnsi="Times New Roman"/>
          <w:sz w:val="18"/>
          <w:szCs w:val="18"/>
          <w:color w:val="auto"/>
        </w:rPr>
        <w:t>Chief Financial Officer</w:t>
      </w:r>
    </w:p>
    <w:p>
      <w:pPr>
        <w:spacing w:after="0" w:line="207"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75565</wp:posOffset>
            </wp:positionV>
            <wp:extent cx="7267575"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tbl>
      <w:tblPr>
        <w:tblLayout w:type="fixed"/>
        <w:tblInd w:w="0" w:type="dxa"/>
        <w:tblCellMar>
          <w:top w:w="0" w:type="dxa"/>
          <w:left w:w="0" w:type="dxa"/>
          <w:bottom w:w="0" w:type="dxa"/>
          <w:right w:w="0" w:type="dxa"/>
        </w:tblCellMar>
      </w:tblPr>
      <w:tr>
        <w:trPr>
          <w:trHeight w:val="238"/>
        </w:trPr>
        <w:tc>
          <w:tcPr>
            <w:tcW w:w="110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9660" w:type="dxa"/>
            <w:vAlign w:val="bottom"/>
          </w:tcPr>
          <w:p>
            <w:pPr>
              <w:jc w:val="center"/>
              <w:ind w:right="1659"/>
              <w:spacing w:after="0"/>
              <w:rPr>
                <w:sz w:val="20"/>
                <w:szCs w:val="20"/>
                <w:color w:val="auto"/>
              </w:rPr>
            </w:pPr>
            <w:r>
              <w:rPr>
                <w:rFonts w:ascii="Times New Roman" w:cs="Times New Roman" w:eastAsia="Times New Roman" w:hAnsi="Times New Roman"/>
                <w:sz w:val="18"/>
                <w:szCs w:val="18"/>
                <w:b w:val="1"/>
                <w:bCs w:val="1"/>
                <w:color w:val="auto"/>
              </w:rPr>
              <w:t>EXHIBIT INDEX</w:t>
            </w:r>
          </w:p>
        </w:tc>
        <w:tc>
          <w:tcPr>
            <w:tcW w:w="20" w:type="dxa"/>
            <w:vAlign w:val="bottom"/>
          </w:tcPr>
          <w:p>
            <w:pPr>
              <w:spacing w:after="0"/>
              <w:rPr>
                <w:sz w:val="20"/>
                <w:szCs w:val="20"/>
                <w:color w:val="auto"/>
              </w:rPr>
            </w:pPr>
          </w:p>
        </w:tc>
      </w:tr>
      <w:tr>
        <w:trPr>
          <w:trHeight w:val="365"/>
        </w:trPr>
        <w:tc>
          <w:tcPr>
            <w:tcW w:w="1100" w:type="dxa"/>
            <w:vAlign w:val="bottom"/>
            <w:tcBorders>
              <w:bottom w:val="single" w:sz="8" w:color="auto"/>
            </w:tcBorders>
          </w:tcPr>
          <w:p>
            <w:pPr>
              <w:jc w:val="center"/>
              <w:ind w:right="299"/>
              <w:spacing w:after="0"/>
              <w:rPr>
                <w:sz w:val="20"/>
                <w:szCs w:val="20"/>
                <w:color w:val="auto"/>
              </w:rPr>
            </w:pPr>
            <w:r>
              <w:rPr>
                <w:rFonts w:ascii="Times New Roman" w:cs="Times New Roman" w:eastAsia="Times New Roman" w:hAnsi="Times New Roman"/>
                <w:sz w:val="14"/>
                <w:szCs w:val="14"/>
                <w:b w:val="1"/>
                <w:bCs w:val="1"/>
                <w:color w:val="auto"/>
              </w:rPr>
              <w:t>Exhibit No.</w:t>
            </w:r>
          </w:p>
        </w:tc>
        <w:tc>
          <w:tcPr>
            <w:tcW w:w="660" w:type="dxa"/>
            <w:vAlign w:val="bottom"/>
          </w:tcPr>
          <w:p>
            <w:pPr>
              <w:spacing w:after="0"/>
              <w:rPr>
                <w:sz w:val="24"/>
                <w:szCs w:val="24"/>
                <w:color w:val="auto"/>
              </w:rPr>
            </w:pPr>
          </w:p>
        </w:tc>
        <w:tc>
          <w:tcPr>
            <w:tcW w:w="9660" w:type="dxa"/>
            <w:vAlign w:val="bottom"/>
            <w:tcBorders>
              <w:bottom w:val="single" w:sz="8" w:color="auto"/>
            </w:tcBorders>
          </w:tcPr>
          <w:p>
            <w:pPr>
              <w:ind w:left="4460"/>
              <w:spacing w:after="0"/>
              <w:rPr>
                <w:sz w:val="20"/>
                <w:szCs w:val="20"/>
                <w:color w:val="auto"/>
              </w:rPr>
            </w:pPr>
            <w:r>
              <w:rPr>
                <w:rFonts w:ascii="Times New Roman" w:cs="Times New Roman" w:eastAsia="Times New Roman" w:hAnsi="Times New Roman"/>
                <w:sz w:val="14"/>
                <w:szCs w:val="14"/>
                <w:b w:val="1"/>
                <w:bCs w:val="1"/>
                <w:color w:val="auto"/>
              </w:rPr>
              <w:t>Description</w:t>
            </w:r>
          </w:p>
        </w:tc>
        <w:tc>
          <w:tcPr>
            <w:tcW w:w="20" w:type="dxa"/>
            <w:vAlign w:val="bottom"/>
          </w:tcPr>
          <w:p>
            <w:pPr>
              <w:spacing w:after="0"/>
              <w:rPr>
                <w:sz w:val="24"/>
                <w:szCs w:val="24"/>
                <w:color w:val="auto"/>
              </w:rPr>
            </w:pPr>
          </w:p>
        </w:tc>
      </w:tr>
      <w:tr>
        <w:trPr>
          <w:trHeight w:val="426"/>
        </w:trPr>
        <w:tc>
          <w:tcPr>
            <w:tcW w:w="1100" w:type="dxa"/>
            <w:vAlign w:val="bottom"/>
          </w:tcPr>
          <w:p>
            <w:pPr>
              <w:jc w:val="right"/>
              <w:ind w:right="519"/>
              <w:spacing w:after="0"/>
              <w:rPr>
                <w:sz w:val="20"/>
                <w:szCs w:val="20"/>
                <w:color w:val="auto"/>
              </w:rPr>
            </w:pPr>
            <w:r>
              <w:rPr>
                <w:rFonts w:ascii="Times New Roman" w:cs="Times New Roman" w:eastAsia="Times New Roman" w:hAnsi="Times New Roman"/>
                <w:sz w:val="18"/>
                <w:szCs w:val="18"/>
                <w:color w:val="auto"/>
              </w:rPr>
              <w:t>99.1</w:t>
            </w:r>
          </w:p>
        </w:tc>
        <w:tc>
          <w:tcPr>
            <w:tcW w:w="10320" w:type="dxa"/>
            <w:vAlign w:val="bottom"/>
            <w:gridSpan w:val="2"/>
          </w:tcPr>
          <w:p>
            <w:pPr>
              <w:ind w:left="660"/>
              <w:spacing w:after="0"/>
              <w:rPr>
                <w:sz w:val="20"/>
                <w:szCs w:val="20"/>
                <w:color w:val="auto"/>
              </w:rPr>
            </w:pPr>
            <w:r>
              <w:rPr>
                <w:rFonts w:ascii="Times New Roman" w:cs="Times New Roman" w:eastAsia="Times New Roman" w:hAnsi="Times New Roman"/>
                <w:sz w:val="18"/>
                <w:szCs w:val="18"/>
                <w:color w:val="auto"/>
              </w:rPr>
              <w:t>Press Release dated November 17, 2005.</w:t>
            </w:r>
          </w:p>
        </w:tc>
        <w:tc>
          <w:tcPr>
            <w:tcW w:w="20" w:type="dxa"/>
            <w:vAlign w:val="bottom"/>
          </w:tcPr>
          <w:p>
            <w:pPr>
              <w:spacing w:after="0"/>
              <w:rPr>
                <w:sz w:val="24"/>
                <w:szCs w:val="24"/>
                <w:color w:val="auto"/>
              </w:rPr>
            </w:pPr>
          </w:p>
        </w:tc>
      </w:tr>
      <w:tr>
        <w:trPr>
          <w:trHeight w:val="432"/>
        </w:trPr>
        <w:tc>
          <w:tcPr>
            <w:tcW w:w="1100" w:type="dxa"/>
            <w:vAlign w:val="bottom"/>
          </w:tcPr>
          <w:p>
            <w:pPr>
              <w:spacing w:after="0"/>
              <w:rPr>
                <w:sz w:val="24"/>
                <w:szCs w:val="24"/>
                <w:color w:val="auto"/>
              </w:rPr>
            </w:pPr>
          </w:p>
        </w:tc>
        <w:tc>
          <w:tcPr>
            <w:tcW w:w="10320" w:type="dxa"/>
            <w:vAlign w:val="bottom"/>
            <w:gridSpan w:val="2"/>
          </w:tcPr>
          <w:p>
            <w:pPr>
              <w:jc w:val="right"/>
              <w:ind w:right="5579"/>
              <w:spacing w:after="0"/>
              <w:rPr>
                <w:sz w:val="20"/>
                <w:szCs w:val="20"/>
                <w:color w:val="auto"/>
              </w:rPr>
            </w:pPr>
            <w:r>
              <w:rPr>
                <w:rFonts w:ascii="Times New Roman" w:cs="Times New Roman" w:eastAsia="Times New Roman" w:hAnsi="Times New Roman"/>
                <w:sz w:val="18"/>
                <w:szCs w:val="18"/>
                <w:color w:val="auto"/>
              </w:rPr>
              <w:t>4</w:t>
            </w:r>
          </w:p>
        </w:tc>
        <w:tc>
          <w:tcPr>
            <w:tcW w:w="20" w:type="dxa"/>
            <w:vAlign w:val="bottom"/>
          </w:tcPr>
          <w:p>
            <w:pPr>
              <w:spacing w:after="0"/>
              <w:rPr>
                <w:sz w:val="24"/>
                <w:szCs w:val="24"/>
                <w:color w:val="auto"/>
              </w:rPr>
            </w:pPr>
          </w:p>
        </w:tc>
      </w:tr>
      <w:tr>
        <w:trPr>
          <w:trHeight w:val="91"/>
        </w:trPr>
        <w:tc>
          <w:tcPr>
            <w:tcW w:w="1100" w:type="dxa"/>
            <w:vAlign w:val="bottom"/>
            <w:tcBorders>
              <w:bottom w:val="single" w:sz="8" w:color="808080"/>
            </w:tcBorders>
          </w:tcPr>
          <w:p>
            <w:pPr>
              <w:spacing w:after="0"/>
              <w:rPr>
                <w:sz w:val="7"/>
                <w:szCs w:val="7"/>
                <w:color w:val="auto"/>
              </w:rPr>
            </w:pPr>
          </w:p>
        </w:tc>
        <w:tc>
          <w:tcPr>
            <w:tcW w:w="660" w:type="dxa"/>
            <w:vAlign w:val="bottom"/>
            <w:tcBorders>
              <w:bottom w:val="single" w:sz="8" w:color="808080"/>
            </w:tcBorders>
          </w:tcPr>
          <w:p>
            <w:pPr>
              <w:spacing w:after="0"/>
              <w:rPr>
                <w:sz w:val="7"/>
                <w:szCs w:val="7"/>
                <w:color w:val="auto"/>
              </w:rPr>
            </w:pPr>
          </w:p>
        </w:tc>
        <w:tc>
          <w:tcPr>
            <w:tcW w:w="9660" w:type="dxa"/>
            <w:vAlign w:val="bottom"/>
            <w:tcBorders>
              <w:bottom w:val="single" w:sz="8" w:color="808080"/>
            </w:tcBorders>
          </w:tcPr>
          <w:p>
            <w:pPr>
              <w:spacing w:after="0"/>
              <w:rPr>
                <w:sz w:val="7"/>
                <w:szCs w:val="7"/>
                <w:color w:val="auto"/>
              </w:rPr>
            </w:pPr>
          </w:p>
        </w:tc>
        <w:tc>
          <w:tcPr>
            <w:tcW w:w="20" w:type="dxa"/>
            <w:vAlign w:val="bottom"/>
            <w:tcBorders>
              <w:bottom w:val="single" w:sz="8" w:color="808080"/>
            </w:tcBorders>
          </w:tcPr>
          <w:p>
            <w:pPr>
              <w:spacing w:after="0"/>
              <w:rPr>
                <w:sz w:val="7"/>
                <w:szCs w:val="7"/>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40"/>
          </w:cols>
          <w:pgMar w:left="240" w:top="331" w:right="219" w:bottom="1440" w:gutter="0" w:footer="0" w:header="0"/>
        </w:sectPr>
      </w:pPr>
    </w:p>
    <w:bookmarkStart w:id="2" w:name="page3"/>
    <w:bookmarkEnd w:id="2"/>
    <w:p>
      <w:pPr>
        <w:ind w:left="10480"/>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NEWS RELEASE</w:t>
      </w:r>
    </w:p>
    <w:p>
      <w:pPr>
        <w:spacing w:after="0" w:line="161" w:lineRule="exact"/>
        <w:rPr>
          <w:sz w:val="20"/>
          <w:szCs w:val="20"/>
          <w:color w:val="auto"/>
        </w:rPr>
      </w:pPr>
    </w:p>
    <w:p>
      <w:pPr>
        <w:ind w:left="4100"/>
        <w:spacing w:after="0"/>
        <w:rPr>
          <w:sz w:val="20"/>
          <w:szCs w:val="20"/>
          <w:color w:val="auto"/>
        </w:rPr>
      </w:pPr>
      <w:r>
        <w:rPr>
          <w:rFonts w:ascii="Times New Roman" w:cs="Times New Roman" w:eastAsia="Times New Roman" w:hAnsi="Times New Roman"/>
          <w:sz w:val="18"/>
          <w:szCs w:val="18"/>
          <w:b w:val="1"/>
          <w:bCs w:val="1"/>
          <w:color w:val="auto"/>
        </w:rPr>
        <w:t>Marvell</w:t>
      </w:r>
      <w:r>
        <w:rPr>
          <w:rFonts w:ascii="Times New Roman" w:cs="Times New Roman" w:eastAsia="Times New Roman" w:hAnsi="Times New Roman"/>
          <w:sz w:val="30"/>
          <w:szCs w:val="30"/>
          <w:b w:val="1"/>
          <w:bCs w:val="1"/>
          <w:color w:val="auto"/>
          <w:vertAlign w:val="superscript"/>
        </w:rPr>
        <w:t>®</w:t>
      </w:r>
      <w:r>
        <w:rPr>
          <w:rFonts w:ascii="Times New Roman" w:cs="Times New Roman" w:eastAsia="Times New Roman" w:hAnsi="Times New Roman"/>
          <w:sz w:val="18"/>
          <w:szCs w:val="18"/>
          <w:b w:val="1"/>
          <w:bCs w:val="1"/>
          <w:color w:val="auto"/>
        </w:rPr>
        <w:t xml:space="preserve"> Technology Group Ltd. Reports</w:t>
      </w:r>
    </w:p>
    <w:p>
      <w:pPr>
        <w:ind w:left="4100"/>
        <w:spacing w:after="0"/>
        <w:rPr>
          <w:sz w:val="20"/>
          <w:szCs w:val="20"/>
          <w:color w:val="auto"/>
        </w:rPr>
      </w:pPr>
      <w:r>
        <w:rPr>
          <w:rFonts w:ascii="Times New Roman" w:cs="Times New Roman" w:eastAsia="Times New Roman" w:hAnsi="Times New Roman"/>
          <w:sz w:val="18"/>
          <w:szCs w:val="18"/>
          <w:b w:val="1"/>
          <w:bCs w:val="1"/>
          <w:color w:val="auto"/>
        </w:rPr>
        <w:t>Record Third Quarter Fiscal 2006 Results</w:t>
      </w:r>
    </w:p>
    <w:p>
      <w:pPr>
        <w:spacing w:after="0" w:line="209" w:lineRule="exact"/>
        <w:rPr>
          <w:sz w:val="20"/>
          <w:szCs w:val="20"/>
          <w:color w:val="auto"/>
        </w:rPr>
      </w:pPr>
    </w:p>
    <w:p>
      <w:pPr>
        <w:ind w:right="220"/>
        <w:spacing w:after="0" w:line="211" w:lineRule="auto"/>
        <w:rPr>
          <w:sz w:val="20"/>
          <w:szCs w:val="20"/>
          <w:color w:val="auto"/>
        </w:rPr>
      </w:pPr>
      <w:r>
        <w:rPr>
          <w:rFonts w:ascii="Times New Roman" w:cs="Times New Roman" w:eastAsia="Times New Roman" w:hAnsi="Times New Roman"/>
          <w:sz w:val="18"/>
          <w:szCs w:val="18"/>
          <w:color w:val="auto"/>
        </w:rPr>
        <w:t xml:space="preserve">Sunnyvale, CA. (November 17, 2005) </w:t>
      </w:r>
      <w:r>
        <w:rPr>
          <w:rFonts w:ascii="Times New Roman" w:cs="Times New Roman" w:eastAsia="Times New Roman" w:hAnsi="Times New Roman"/>
          <w:sz w:val="18"/>
          <w:szCs w:val="18"/>
          <w:b w:val="1"/>
          <w:bCs w:val="1"/>
          <w:color w:val="auto"/>
        </w:rPr>
        <w:t>–</w:t>
      </w:r>
      <w:r>
        <w:rPr>
          <w:rFonts w:ascii="Times New Roman" w:cs="Times New Roman" w:eastAsia="Times New Roman" w:hAnsi="Times New Roman"/>
          <w:sz w:val="18"/>
          <w:szCs w:val="18"/>
          <w:color w:val="auto"/>
        </w:rPr>
        <w:t xml:space="preserve"> Marvell</w:t>
      </w:r>
      <w:r>
        <w:rPr>
          <w:rFonts w:ascii="Times New Roman" w:cs="Times New Roman" w:eastAsia="Times New Roman" w:hAnsi="Times New Roman"/>
          <w:sz w:val="30"/>
          <w:szCs w:val="30"/>
          <w:color w:val="auto"/>
          <w:vertAlign w:val="superscript"/>
        </w:rPr>
        <w:t>®</w:t>
      </w:r>
      <w:r>
        <w:rPr>
          <w:rFonts w:ascii="Times New Roman" w:cs="Times New Roman" w:eastAsia="Times New Roman" w:hAnsi="Times New Roman"/>
          <w:sz w:val="18"/>
          <w:szCs w:val="18"/>
          <w:color w:val="auto"/>
        </w:rPr>
        <w:t xml:space="preserve"> Technology Group Ltd. (NASDAQ: MRVL), the leader in development of storage, communications, and consumer silicon solutions, today reported financial results for its third fiscal quarter ended October 29, 2005.</w:t>
      </w:r>
    </w:p>
    <w:p>
      <w:pPr>
        <w:spacing w:after="0" w:line="200" w:lineRule="exact"/>
        <w:rPr>
          <w:sz w:val="20"/>
          <w:szCs w:val="20"/>
          <w:color w:val="auto"/>
        </w:rPr>
      </w:pPr>
    </w:p>
    <w:p>
      <w:pPr>
        <w:ind w:right="160"/>
        <w:spacing w:after="0" w:line="261" w:lineRule="auto"/>
        <w:rPr>
          <w:sz w:val="20"/>
          <w:szCs w:val="20"/>
          <w:color w:val="auto"/>
        </w:rPr>
      </w:pPr>
      <w:r>
        <w:rPr>
          <w:rFonts w:ascii="Times New Roman" w:cs="Times New Roman" w:eastAsia="Times New Roman" w:hAnsi="Times New Roman"/>
          <w:sz w:val="18"/>
          <w:szCs w:val="18"/>
          <w:color w:val="auto"/>
        </w:rPr>
        <w:t>Net revenue for the third quarter of fiscal 2006 was a record $426.0 million, an increase of 34.1% over net revenue of $317.6 million for the third quarter of fiscal 2005 and a 9.1% sequential increase from net revenue of $390.5 million for the second quarter of fiscal 2006. Net income under generally accepted accounting principles (GAAP) was $93.0 million, or $0.29 per share (diluted), for the third quarter of fiscal 2006, compared with a net income under GAAP of $43.6 million, or $0.15 per share (diluted), for the third quarter of fiscal 2005.</w:t>
      </w:r>
    </w:p>
    <w:p>
      <w:pPr>
        <w:spacing w:after="0" w:line="180" w:lineRule="exact"/>
        <w:rPr>
          <w:sz w:val="20"/>
          <w:szCs w:val="20"/>
          <w:color w:val="auto"/>
        </w:rPr>
      </w:pPr>
    </w:p>
    <w:p>
      <w:pPr>
        <w:jc w:val="both"/>
        <w:ind w:right="160"/>
        <w:spacing w:after="0" w:line="266" w:lineRule="auto"/>
        <w:rPr>
          <w:sz w:val="20"/>
          <w:szCs w:val="20"/>
          <w:color w:val="auto"/>
        </w:rPr>
      </w:pPr>
      <w:r>
        <w:rPr>
          <w:rFonts w:ascii="Times New Roman" w:cs="Times New Roman" w:eastAsia="Times New Roman" w:hAnsi="Times New Roman"/>
          <w:sz w:val="18"/>
          <w:szCs w:val="18"/>
          <w:color w:val="auto"/>
        </w:rPr>
        <w:t>Net revenue for the nine months ended October 29, 2005 was $1,181.3 million, an increase of 33.6% over net revenue of $884.3 million for the nine months ended October 30, 2004. Net income under GAAP was $233.9 million, or $0.75 per share (diluted), for the nine months ended October 29, 2005, compared with a net income under GAAP of $86.7 million, or $0.29 per share (diluted), for the nine months ended October 30, 2004.</w:t>
      </w:r>
    </w:p>
    <w:p>
      <w:pPr>
        <w:spacing w:after="0" w:line="176" w:lineRule="exact"/>
        <w:rPr>
          <w:sz w:val="20"/>
          <w:szCs w:val="20"/>
          <w:color w:val="auto"/>
        </w:rPr>
      </w:pPr>
    </w:p>
    <w:p>
      <w:pPr>
        <w:ind w:right="140"/>
        <w:spacing w:after="0" w:line="258" w:lineRule="auto"/>
        <w:rPr>
          <w:sz w:val="20"/>
          <w:szCs w:val="20"/>
          <w:color w:val="auto"/>
        </w:rPr>
      </w:pPr>
      <w:r>
        <w:rPr>
          <w:rFonts w:ascii="Times New Roman" w:cs="Times New Roman" w:eastAsia="Times New Roman" w:hAnsi="Times New Roman"/>
          <w:sz w:val="18"/>
          <w:szCs w:val="18"/>
          <w:color w:val="auto"/>
        </w:rPr>
        <w:t>Marvell reports net income and basic and diluted net income per share in accordance with GAAP and additionally on a non-GAAP basis, referred to as pro forma. Pro forma net income, where applicable, excludes the effect of amortization and write-off of acquired intangible assets and other and amortization of stock-based compensation. Pro forma net income was $113.3 million, or $0.36 per share (diluted), for the third quarter of fiscal 2006, compared with pro forma net income of $66.6 million, or $0.22 per share (diluted), for the third quarter of fiscal 2005. Shares used in computing net income per share for the third quarter of fiscal 2006 increased to 316.2 million, compared with 300.6 million for the third quarter of fiscal 2005.</w:t>
      </w:r>
    </w:p>
    <w:p>
      <w:pPr>
        <w:spacing w:after="0" w:line="184" w:lineRule="exact"/>
        <w:rPr>
          <w:sz w:val="20"/>
          <w:szCs w:val="20"/>
          <w:color w:val="auto"/>
        </w:rPr>
      </w:pPr>
    </w:p>
    <w:p>
      <w:pPr>
        <w:jc w:val="both"/>
        <w:ind w:right="140"/>
        <w:spacing w:after="0" w:line="266" w:lineRule="auto"/>
        <w:rPr>
          <w:sz w:val="20"/>
          <w:szCs w:val="20"/>
          <w:color w:val="auto"/>
        </w:rPr>
      </w:pPr>
      <w:r>
        <w:rPr>
          <w:rFonts w:ascii="Times New Roman" w:cs="Times New Roman" w:eastAsia="Times New Roman" w:hAnsi="Times New Roman"/>
          <w:sz w:val="18"/>
          <w:szCs w:val="18"/>
          <w:color w:val="auto"/>
        </w:rPr>
        <w:t>Pro forma net income was $295.0 million, or $0.94 per share (diluted), for the nine months ended October 29, 2005, compared with pro forma net income of $175.4 million, or $0.59 per share (diluted), for the nine months ended October 30, 2004. Shares used in computing pro forma net income per share for the nine months ended October 29, 2005 increased to 313.4 million, compared with 296.6 million for the nine months ended October 30, 2004.</w:t>
      </w:r>
    </w:p>
    <w:p>
      <w:pPr>
        <w:spacing w:after="0" w:line="176"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These non-GAAP measures should be considered in addition to, and not as a substitute for, the results prepared in accordance with GAAP. A reconciliation of GAAP net income to pro forma net income is included in the financial statements portion of this release as well as on our website in the Investors section at www.marvell.com.</w:t>
      </w:r>
    </w:p>
    <w:p>
      <w:pPr>
        <w:spacing w:after="0" w:line="176" w:lineRule="exact"/>
        <w:rPr>
          <w:sz w:val="20"/>
          <w:szCs w:val="20"/>
          <w:color w:val="auto"/>
        </w:rPr>
      </w:pPr>
    </w:p>
    <w:p>
      <w:pPr>
        <w:ind w:right="60"/>
        <w:spacing w:after="0" w:line="266" w:lineRule="auto"/>
        <w:rPr>
          <w:sz w:val="20"/>
          <w:szCs w:val="20"/>
          <w:color w:val="auto"/>
        </w:rPr>
      </w:pPr>
      <w:r>
        <w:rPr>
          <w:rFonts w:ascii="Times New Roman" w:cs="Times New Roman" w:eastAsia="Times New Roman" w:hAnsi="Times New Roman"/>
          <w:sz w:val="18"/>
          <w:szCs w:val="18"/>
          <w:color w:val="auto"/>
        </w:rPr>
        <w:t>Marvell’s management believes the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the Company analyzes its operating results.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181610</wp:posOffset>
            </wp:positionV>
            <wp:extent cx="7267575"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right="380"/>
        <w:spacing w:after="0" w:line="266" w:lineRule="auto"/>
        <w:rPr>
          <w:sz w:val="20"/>
          <w:szCs w:val="20"/>
          <w:color w:val="auto"/>
        </w:rPr>
      </w:pPr>
      <w:r>
        <w:rPr>
          <w:rFonts w:ascii="Times New Roman" w:cs="Times New Roman" w:eastAsia="Times New Roman" w:hAnsi="Times New Roman"/>
          <w:sz w:val="18"/>
          <w:szCs w:val="18"/>
          <w:color w:val="auto"/>
        </w:rPr>
        <w:t>“Q3 was another excellent quarter for Marvell,” stated Dr. Sehat Sutardja, Marvell’s President and CEO. “We continue to experience strong growth and design activity for an increasing number of different consumer and enterprise applications. The expanding breadth of our product portfolio as well as the growing diversity of our revenue streams allows us to build upon our consistently strong financial results.”</w:t>
      </w:r>
    </w:p>
    <w:p>
      <w:pPr>
        <w:spacing w:after="0" w:line="180" w:lineRule="exact"/>
        <w:rPr>
          <w:sz w:val="20"/>
          <w:szCs w:val="20"/>
          <w:color w:val="auto"/>
        </w:rPr>
      </w:pPr>
    </w:p>
    <w:p>
      <w:pPr>
        <w:ind w:right="80"/>
        <w:spacing w:after="0" w:line="222" w:lineRule="auto"/>
        <w:rPr>
          <w:sz w:val="20"/>
          <w:szCs w:val="20"/>
          <w:color w:val="auto"/>
        </w:rPr>
      </w:pPr>
      <w:r>
        <w:rPr>
          <w:rFonts w:ascii="Times New Roman" w:cs="Times New Roman" w:eastAsia="Times New Roman" w:hAnsi="Times New Roman"/>
          <w:sz w:val="18"/>
          <w:szCs w:val="18"/>
          <w:color w:val="auto"/>
        </w:rPr>
        <w:t>Revenue for the third quarter was a record for Marvell and represented the 32</w:t>
      </w:r>
      <w:r>
        <w:rPr>
          <w:rFonts w:ascii="Times New Roman" w:cs="Times New Roman" w:eastAsia="Times New Roman" w:hAnsi="Times New Roman"/>
          <w:sz w:val="30"/>
          <w:szCs w:val="30"/>
          <w:color w:val="auto"/>
          <w:vertAlign w:val="superscript"/>
        </w:rPr>
        <w:t>nd</w:t>
      </w:r>
      <w:r>
        <w:rPr>
          <w:rFonts w:ascii="Times New Roman" w:cs="Times New Roman" w:eastAsia="Times New Roman" w:hAnsi="Times New Roman"/>
          <w:sz w:val="18"/>
          <w:szCs w:val="18"/>
          <w:color w:val="auto"/>
        </w:rPr>
        <w:t xml:space="preserve"> consecutive quarter for sequential revenue growth. During the quarter Marvell continued to generate strong positive cash flows and reported its highest level of cash, cash equivalents and short-term investments with a balance of $914.9 million. The following is a review of some of the recent highlights that occurred since last quarter’s earnings release:</w:t>
      </w:r>
    </w:p>
    <w:p>
      <w:pPr>
        <w:spacing w:after="0" w:line="226" w:lineRule="exact"/>
        <w:rPr>
          <w:sz w:val="20"/>
          <w:szCs w:val="20"/>
          <w:color w:val="auto"/>
        </w:rPr>
      </w:pPr>
    </w:p>
    <w:p>
      <w:pPr>
        <w:ind w:left="660" w:right="40" w:hanging="328"/>
        <w:spacing w:after="0" w:line="246" w:lineRule="auto"/>
        <w:tabs>
          <w:tab w:leader="none" w:pos="655" w:val="left"/>
        </w:tabs>
        <w:numPr>
          <w:ilvl w:val="0"/>
          <w:numId w:val="2"/>
        </w:numPr>
        <w:rPr>
          <w:rFonts w:ascii="Times New Roman" w:cs="Times New Roman" w:eastAsia="Times New Roman" w:hAnsi="Times New Roman"/>
          <w:sz w:val="22"/>
          <w:szCs w:val="22"/>
          <w:color w:val="auto"/>
        </w:rPr>
      </w:pPr>
      <w:r>
        <w:rPr>
          <w:rFonts w:ascii="Times New Roman" w:cs="Times New Roman" w:eastAsia="Times New Roman" w:hAnsi="Times New Roman"/>
          <w:sz w:val="18"/>
          <w:szCs w:val="18"/>
          <w:color w:val="auto"/>
        </w:rPr>
        <w:t>In October, Marvell further extended its consumer wireless local area networking (WLAN) technology leadership with the introduction of the world’s first WLAN chipset based on the new Enhanced Wireless Consortium’s (EWC) technology to accelerate the adoption of 802.11n. As the first company with solutions supporting the EWC standard, Marvell is closely working with key customers to deliver consumer products based on this new high performance standard. Building upon Marvell’s strong success in driving the adoption of its embedded consumer WLAN solutions into applications such as cell phones, game consoles, digital cameras, printers and PDAs, Marvell’s new 88W8360 802.11n family ties together all digital, consumer components by enabling consumers to enjoy new levels of wireless performance and coverage demanded by the next generation of integrated audio/video/data consumer appliances.</w:t>
      </w:r>
    </w:p>
    <w:p>
      <w:pPr>
        <w:spacing w:after="0" w:line="223" w:lineRule="exact"/>
        <w:rPr>
          <w:rFonts w:ascii="Times New Roman" w:cs="Times New Roman" w:eastAsia="Times New Roman" w:hAnsi="Times New Roman"/>
          <w:sz w:val="22"/>
          <w:szCs w:val="22"/>
          <w:color w:val="auto"/>
        </w:rPr>
      </w:pPr>
    </w:p>
    <w:p>
      <w:pPr>
        <w:jc w:val="both"/>
        <w:ind w:left="660" w:right="80" w:hanging="328"/>
        <w:spacing w:after="0" w:line="244" w:lineRule="auto"/>
        <w:tabs>
          <w:tab w:leader="none" w:pos="655" w:val="left"/>
        </w:tabs>
        <w:numPr>
          <w:ilvl w:val="0"/>
          <w:numId w:val="2"/>
        </w:numPr>
        <w:rPr>
          <w:rFonts w:ascii="Times New Roman" w:cs="Times New Roman" w:eastAsia="Times New Roman" w:hAnsi="Times New Roman"/>
          <w:sz w:val="22"/>
          <w:szCs w:val="22"/>
          <w:color w:val="auto"/>
        </w:rPr>
      </w:pPr>
      <w:r>
        <w:rPr>
          <w:rFonts w:ascii="Times New Roman" w:cs="Times New Roman" w:eastAsia="Times New Roman" w:hAnsi="Times New Roman"/>
          <w:sz w:val="18"/>
          <w:szCs w:val="18"/>
          <w:color w:val="auto"/>
        </w:rPr>
        <w:t>Marvell announced the initial launch of the Discovery V, the industry’s most powerful system controller for Power Architecture™ technology-based microprocessors. Discovery V sets new benchmarks for performance and integration by incorporating an innovative cross-bar architecture, support for advanced communications peripherals, and performance-tuned interfaces. The newest member of Marvell’s widely adopted Discovery family is optimized for a broad range of applications from sophisticated routers, switches and wireless base stations to high-volume storage and laser printer applications.</w:t>
      </w:r>
    </w:p>
    <w:p>
      <w:pPr>
        <w:spacing w:after="0" w:line="224" w:lineRule="exact"/>
        <w:rPr>
          <w:rFonts w:ascii="Times New Roman" w:cs="Times New Roman" w:eastAsia="Times New Roman" w:hAnsi="Times New Roman"/>
          <w:sz w:val="22"/>
          <w:szCs w:val="22"/>
          <w:color w:val="auto"/>
        </w:rPr>
      </w:pPr>
    </w:p>
    <w:p>
      <w:pPr>
        <w:ind w:left="660" w:right="100" w:hanging="328"/>
        <w:spacing w:after="0" w:line="243" w:lineRule="auto"/>
        <w:tabs>
          <w:tab w:leader="none" w:pos="655" w:val="left"/>
        </w:tabs>
        <w:numPr>
          <w:ilvl w:val="0"/>
          <w:numId w:val="2"/>
        </w:numPr>
        <w:rPr>
          <w:rFonts w:ascii="Times New Roman" w:cs="Times New Roman" w:eastAsia="Times New Roman" w:hAnsi="Times New Roman"/>
          <w:sz w:val="22"/>
          <w:szCs w:val="22"/>
          <w:color w:val="auto"/>
        </w:rPr>
      </w:pPr>
      <w:r>
        <w:rPr>
          <w:rFonts w:ascii="Times New Roman" w:cs="Times New Roman" w:eastAsia="Times New Roman" w:hAnsi="Times New Roman"/>
          <w:sz w:val="18"/>
          <w:szCs w:val="18"/>
          <w:color w:val="auto"/>
        </w:rPr>
        <w:t>The industry’s ongoing adoption of Gigabit technology continues to drive revenue growth for Marvell’s client and infrastructure Gigabit solutions. During the quarter, Marvell experienced strong revenue growth from its Gigabit controllers for client applications as well as widespread adoption of the Marvell Total Solution™ which combines both production ready software and silicon across all segments of the infrastructure switching market ranging from highly sophisticated metro core systems to high volume small and medium business (SMB) equipment.</w:t>
      </w:r>
    </w:p>
    <w:p>
      <w:pPr>
        <w:spacing w:after="0" w:line="196" w:lineRule="exact"/>
        <w:rPr>
          <w:sz w:val="20"/>
          <w:szCs w:val="20"/>
          <w:color w:val="auto"/>
        </w:rPr>
      </w:pPr>
    </w:p>
    <w:p>
      <w:pPr>
        <w:ind w:right="20"/>
        <w:spacing w:after="0" w:line="261" w:lineRule="auto"/>
        <w:rPr>
          <w:sz w:val="20"/>
          <w:szCs w:val="20"/>
          <w:color w:val="auto"/>
        </w:rPr>
      </w:pPr>
      <w:r>
        <w:rPr>
          <w:rFonts w:ascii="Times New Roman" w:cs="Times New Roman" w:eastAsia="Times New Roman" w:hAnsi="Times New Roman"/>
          <w:sz w:val="18"/>
          <w:szCs w:val="18"/>
          <w:color w:val="auto"/>
        </w:rPr>
        <w:t>Marvell will be conducting a conference call today at 1:45 p.m. PST to discuss its third quarter financial results. To listen to the conference call, investors can dial (706) 679-0800 approximately ten minutes prior to the initiation of the teleconference and refer to conference code 1861100. Replay of the conference call will be available until November 24, 2005 at midnight PST by dialing (706) 645-9291. The conference call will also be available via the web at www.marvell.com. Please visit the Investor Events section. Replay on the Internet will be available until November 17, 2006.</w:t>
      </w:r>
    </w:p>
    <w:p>
      <w:pPr>
        <w:spacing w:after="0" w:line="1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financial results included in this release are unaudited.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212725</wp:posOffset>
            </wp:positionV>
            <wp:extent cx="7267575"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117" w:right="239" w:bottom="171" w:gutter="0" w:footer="0" w:header="0"/>
        </w:sectPr>
      </w:pPr>
    </w:p>
    <w:bookmarkStart w:id="3" w:name="page4"/>
    <w:bookmarkEnd w:id="3"/>
    <w:p>
      <w:pPr>
        <w:spacing w:after="0" w:line="6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31" w:lineRule="exact"/>
        <w:rPr>
          <w:sz w:val="20"/>
          <w:szCs w:val="20"/>
          <w:color w:val="auto"/>
        </w:rPr>
      </w:pPr>
    </w:p>
    <w:p>
      <w:pPr>
        <w:ind w:right="160"/>
        <w:spacing w:after="0" w:line="252" w:lineRule="auto"/>
        <w:rPr>
          <w:sz w:val="20"/>
          <w:szCs w:val="20"/>
          <w:color w:val="auto"/>
        </w:rPr>
      </w:pPr>
      <w:r>
        <w:rPr>
          <w:rFonts w:ascii="Times New Roman" w:cs="Times New Roman" w:eastAsia="Times New Roman" w:hAnsi="Times New Roman"/>
          <w:sz w:val="18"/>
          <w:szCs w:val="18"/>
          <w:color w:val="auto"/>
        </w:rPr>
        <w:t>Marvell (NASDAQ: MRVL) is the leader in development of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SysKonnect GmbH. MSI is headquartered in Sunnyvale, Calif., and designs, develops and markets products on behalf of MIL and MAPL. MSI may be contacted at (408) 222-2500 or at www.marvell.com.</w:t>
      </w:r>
    </w:p>
    <w:p>
      <w:pPr>
        <w:spacing w:after="0" w:line="18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Safe Harbor Statement Under the Private Securities Litigation Reform Act of 1995:</w:t>
      </w:r>
    </w:p>
    <w:p>
      <w:pPr>
        <w:spacing w:after="0" w:line="31" w:lineRule="exact"/>
        <w:rPr>
          <w:sz w:val="20"/>
          <w:szCs w:val="20"/>
          <w:color w:val="auto"/>
        </w:rPr>
      </w:pPr>
    </w:p>
    <w:p>
      <w:pPr>
        <w:ind w:right="80"/>
        <w:spacing w:after="0" w:line="251" w:lineRule="auto"/>
        <w:rPr>
          <w:sz w:val="20"/>
          <w:szCs w:val="20"/>
          <w:color w:val="auto"/>
        </w:rPr>
      </w:pPr>
      <w:r>
        <w:rPr>
          <w:rFonts w:ascii="Times New Roman" w:cs="Times New Roman" w:eastAsia="Times New Roman" w:hAnsi="Times New Roman"/>
          <w:sz w:val="18"/>
          <w:szCs w:val="18"/>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These statements include those relating to continued growth and diversity of our revenue streams, continued growth and design activity for the enterprise and consumer applications, ongoing adoption of Gigabit technology and the anticipated features and benefits of our WLAN solutions. Statements that refer to, or are based on projections, uncertain events or assumptions also identify forward-looking statements. These statements are not guarantees of results and are subject to risks and uncertainties. Some risks and uncertainties that may adversely impact the statements in this release include, but are not limited to, the timing, cost and successful completion of development and volume production, end-customer qualification and adoption, and the timing, pricing, rescheduling, or cancellation of orders. For other factors that could cause Marvell’s results to vary from expectations, please see the sections titled “Additional Factors That May Affect Future Results” in Marvell’s annual report on Form 10-K for the fiscal year ended January 29, 2005. We undertake no obligation to revise or update publicly any forward-looking statements.</w:t>
      </w:r>
    </w:p>
    <w:p>
      <w:pPr>
        <w:spacing w:after="0" w:line="19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Marvell</w:t>
      </w:r>
      <w:r>
        <w:rPr>
          <w:rFonts w:ascii="Times New Roman" w:cs="Times New Roman" w:eastAsia="Times New Roman" w:hAnsi="Times New Roman"/>
          <w:sz w:val="30"/>
          <w:szCs w:val="30"/>
          <w:i w:val="1"/>
          <w:iCs w:val="1"/>
          <w:color w:val="auto"/>
          <w:vertAlign w:val="superscript"/>
        </w:rPr>
        <w:t>®</w:t>
      </w:r>
      <w:r>
        <w:rPr>
          <w:rFonts w:ascii="Times New Roman" w:cs="Times New Roman" w:eastAsia="Times New Roman" w:hAnsi="Times New Roman"/>
          <w:sz w:val="18"/>
          <w:szCs w:val="18"/>
          <w:i w:val="1"/>
          <w:iCs w:val="1"/>
          <w:color w:val="auto"/>
        </w:rPr>
        <w:t xml:space="preserve"> , Marvell Total Solution and the Marvell logo are trademarks of Marvell. All other trademarks are the property of their respective owners.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67575"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Condensed Consolidated Statements of Operations</w:t>
      </w:r>
    </w:p>
    <w:p>
      <w:pPr>
        <w:spacing w:after="0" w:line="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(Unaudited)</w:t>
      </w:r>
    </w:p>
    <w:p>
      <w:pPr>
        <w:spacing w:after="0" w:line="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(In thousands, except per share amounts)</w:t>
      </w:r>
    </w:p>
    <w:p>
      <w:pPr>
        <w:spacing w:after="0" w:line="200"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20" w:type="dxa"/>
            <w:vAlign w:val="bottom"/>
          </w:tcPr>
          <w:p>
            <w:pPr>
              <w:spacing w:after="0"/>
              <w:rPr>
                <w:sz w:val="15"/>
                <w:szCs w:val="15"/>
                <w:color w:val="auto"/>
              </w:rPr>
            </w:pPr>
          </w:p>
        </w:tc>
        <w:tc>
          <w:tcPr>
            <w:tcW w:w="51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3000" w:type="dxa"/>
            <w:vAlign w:val="bottom"/>
            <w:gridSpan w:val="6"/>
          </w:tcPr>
          <w:p>
            <w:pPr>
              <w:ind w:left="64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220" w:type="dxa"/>
            <w:vAlign w:val="bottom"/>
          </w:tcPr>
          <w:p>
            <w:pPr>
              <w:spacing w:after="0"/>
              <w:rPr>
                <w:sz w:val="15"/>
                <w:szCs w:val="15"/>
                <w:color w:val="auto"/>
              </w:rPr>
            </w:pPr>
          </w:p>
        </w:tc>
        <w:tc>
          <w:tcPr>
            <w:tcW w:w="2840" w:type="dxa"/>
            <w:vAlign w:val="bottom"/>
            <w:gridSpan w:val="6"/>
          </w:tcPr>
          <w:p>
            <w:pPr>
              <w:ind w:left="640"/>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514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1280" w:type="dxa"/>
            <w:vAlign w:val="bottom"/>
            <w:tcBorders>
              <w:top w:val="single" w:sz="8" w:color="auto"/>
            </w:tcBorders>
            <w:gridSpan w:val="2"/>
          </w:tcPr>
          <w:p>
            <w:pPr>
              <w:ind w:left="120"/>
              <w:spacing w:after="0" w:line="118" w:lineRule="exact"/>
              <w:rPr>
                <w:sz w:val="20"/>
                <w:szCs w:val="20"/>
                <w:color w:val="auto"/>
              </w:rPr>
            </w:pPr>
            <w:r>
              <w:rPr>
                <w:rFonts w:ascii="Times New Roman" w:cs="Times New Roman" w:eastAsia="Times New Roman" w:hAnsi="Times New Roman"/>
                <w:sz w:val="13"/>
                <w:szCs w:val="13"/>
                <w:b w:val="1"/>
                <w:bCs w:val="1"/>
                <w:color w:val="auto"/>
              </w:rPr>
              <w:t>October 29,</w:t>
            </w:r>
          </w:p>
        </w:tc>
        <w:tc>
          <w:tcPr>
            <w:tcW w:w="120" w:type="dxa"/>
            <w:vAlign w:val="bottom"/>
            <w:tcBorders>
              <w:top w:val="single" w:sz="8" w:color="auto"/>
            </w:tcBorders>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1160" w:type="dxa"/>
            <w:vAlign w:val="bottom"/>
            <w:tcBorders>
              <w:top w:val="single" w:sz="8" w:color="auto"/>
            </w:tcBorders>
          </w:tcPr>
          <w:p>
            <w:pPr>
              <w:jc w:val="right"/>
              <w:ind w:right="252"/>
              <w:spacing w:after="0" w:line="118" w:lineRule="exact"/>
              <w:rPr>
                <w:sz w:val="20"/>
                <w:szCs w:val="20"/>
                <w:color w:val="auto"/>
              </w:rPr>
            </w:pPr>
            <w:r>
              <w:rPr>
                <w:rFonts w:ascii="Times New Roman" w:cs="Times New Roman" w:eastAsia="Times New Roman" w:hAnsi="Times New Roman"/>
                <w:sz w:val="13"/>
                <w:szCs w:val="13"/>
                <w:b w:val="1"/>
                <w:bCs w:val="1"/>
                <w:color w:val="auto"/>
              </w:rPr>
              <w:t>October 30,</w:t>
            </w:r>
          </w:p>
        </w:tc>
        <w:tc>
          <w:tcPr>
            <w:tcW w:w="22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1380" w:type="dxa"/>
            <w:vAlign w:val="bottom"/>
            <w:tcBorders>
              <w:top w:val="single" w:sz="8" w:color="auto"/>
            </w:tcBorders>
            <w:gridSpan w:val="2"/>
          </w:tcPr>
          <w:p>
            <w:pPr>
              <w:jc w:val="right"/>
              <w:ind w:right="540"/>
              <w:spacing w:after="0" w:line="118" w:lineRule="exact"/>
              <w:rPr>
                <w:sz w:val="20"/>
                <w:szCs w:val="20"/>
                <w:color w:val="auto"/>
              </w:rPr>
            </w:pPr>
            <w:r>
              <w:rPr>
                <w:rFonts w:ascii="Times New Roman" w:cs="Times New Roman" w:eastAsia="Times New Roman" w:hAnsi="Times New Roman"/>
                <w:sz w:val="13"/>
                <w:szCs w:val="13"/>
                <w:b w:val="1"/>
                <w:bCs w:val="1"/>
                <w:color w:val="auto"/>
              </w:rPr>
              <w:t>October 29,</w:t>
            </w:r>
          </w:p>
        </w:tc>
        <w:tc>
          <w:tcPr>
            <w:tcW w:w="200" w:type="dxa"/>
            <w:vAlign w:val="bottom"/>
            <w:tcBorders>
              <w:top w:val="single" w:sz="8" w:color="auto"/>
            </w:tcBorders>
          </w:tcPr>
          <w:p>
            <w:pPr>
              <w:spacing w:after="0"/>
              <w:rPr>
                <w:sz w:val="10"/>
                <w:szCs w:val="10"/>
                <w:color w:val="auto"/>
              </w:rPr>
            </w:pPr>
          </w:p>
        </w:tc>
        <w:tc>
          <w:tcPr>
            <w:tcW w:w="1160" w:type="dxa"/>
            <w:vAlign w:val="bottom"/>
            <w:tcBorders>
              <w:top w:val="single" w:sz="8" w:color="auto"/>
            </w:tcBorders>
          </w:tcPr>
          <w:p>
            <w:pPr>
              <w:jc w:val="right"/>
              <w:ind w:right="232"/>
              <w:spacing w:after="0" w:line="118" w:lineRule="exact"/>
              <w:rPr>
                <w:sz w:val="20"/>
                <w:szCs w:val="20"/>
                <w:color w:val="auto"/>
              </w:rPr>
            </w:pPr>
            <w:r>
              <w:rPr>
                <w:rFonts w:ascii="Times New Roman" w:cs="Times New Roman" w:eastAsia="Times New Roman" w:hAnsi="Times New Roman"/>
                <w:sz w:val="13"/>
                <w:szCs w:val="13"/>
                <w:b w:val="1"/>
                <w:bCs w:val="1"/>
                <w:color w:val="auto"/>
              </w:rPr>
              <w:t>October 30,</w:t>
            </w:r>
          </w:p>
        </w:tc>
        <w:tc>
          <w:tcPr>
            <w:tcW w:w="100" w:type="dxa"/>
            <w:vAlign w:val="bottom"/>
            <w:gridSpan w:val="2"/>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5140" w:type="dxa"/>
            <w:vAlign w:val="bottom"/>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180" w:type="dxa"/>
            <w:vAlign w:val="bottom"/>
            <w:tcBorders>
              <w:bottom w:val="single" w:sz="8" w:color="auto"/>
            </w:tcBorders>
          </w:tcPr>
          <w:p>
            <w:pPr>
              <w:jc w:val="right"/>
              <w:ind w:right="473"/>
              <w:spacing w:after="0"/>
              <w:rPr>
                <w:sz w:val="20"/>
                <w:szCs w:val="20"/>
                <w:color w:val="auto"/>
              </w:rPr>
            </w:pPr>
            <w:r>
              <w:rPr>
                <w:rFonts w:ascii="Times New Roman" w:cs="Times New Roman" w:eastAsia="Times New Roman" w:hAnsi="Times New Roman"/>
                <w:sz w:val="14"/>
                <w:szCs w:val="14"/>
                <w:b w:val="1"/>
                <w:bCs w:val="1"/>
                <w:color w:val="auto"/>
              </w:rPr>
              <w:t>2005</w:t>
            </w: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160" w:type="dxa"/>
            <w:vAlign w:val="bottom"/>
            <w:tcBorders>
              <w:bottom w:val="single" w:sz="8" w:color="auto"/>
            </w:tcBorders>
          </w:tcPr>
          <w:p>
            <w:pPr>
              <w:jc w:val="right"/>
              <w:ind w:right="452"/>
              <w:spacing w:after="0"/>
              <w:rPr>
                <w:sz w:val="20"/>
                <w:szCs w:val="20"/>
                <w:color w:val="auto"/>
              </w:rPr>
            </w:pPr>
            <w:r>
              <w:rPr>
                <w:rFonts w:ascii="Times New Roman" w:cs="Times New Roman" w:eastAsia="Times New Roman" w:hAnsi="Times New Roman"/>
                <w:sz w:val="14"/>
                <w:szCs w:val="14"/>
                <w:b w:val="1"/>
                <w:bCs w:val="1"/>
                <w:color w:val="auto"/>
              </w:rPr>
              <w:t>2004</w:t>
            </w:r>
          </w:p>
        </w:tc>
        <w:tc>
          <w:tcPr>
            <w:tcW w:w="220" w:type="dxa"/>
            <w:vAlign w:val="bottom"/>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160" w:type="dxa"/>
            <w:vAlign w:val="bottom"/>
            <w:tcBorders>
              <w:bottom w:val="single" w:sz="8" w:color="auto"/>
            </w:tcBorders>
          </w:tcPr>
          <w:p>
            <w:pPr>
              <w:jc w:val="right"/>
              <w:ind w:right="453"/>
              <w:spacing w:after="0"/>
              <w:rPr>
                <w:sz w:val="20"/>
                <w:szCs w:val="20"/>
                <w:color w:val="auto"/>
              </w:rPr>
            </w:pPr>
            <w:r>
              <w:rPr>
                <w:rFonts w:ascii="Times New Roman" w:cs="Times New Roman" w:eastAsia="Times New Roman" w:hAnsi="Times New Roman"/>
                <w:sz w:val="14"/>
                <w:szCs w:val="14"/>
                <w:b w:val="1"/>
                <w:bCs w:val="1"/>
                <w:color w:val="auto"/>
              </w:rPr>
              <w:t>2005</w:t>
            </w:r>
          </w:p>
        </w:tc>
        <w:tc>
          <w:tcPr>
            <w:tcW w:w="220" w:type="dxa"/>
            <w:vAlign w:val="bottom"/>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160" w:type="dxa"/>
            <w:vAlign w:val="bottom"/>
            <w:tcBorders>
              <w:bottom w:val="single" w:sz="8" w:color="auto"/>
            </w:tcBorders>
          </w:tcPr>
          <w:p>
            <w:pPr>
              <w:jc w:val="right"/>
              <w:ind w:right="452"/>
              <w:spacing w:after="0"/>
              <w:rPr>
                <w:sz w:val="20"/>
                <w:szCs w:val="20"/>
                <w:color w:val="auto"/>
              </w:rPr>
            </w:pPr>
            <w:r>
              <w:rPr>
                <w:rFonts w:ascii="Times New Roman" w:cs="Times New Roman" w:eastAsia="Times New Roman" w:hAnsi="Times New Roman"/>
                <w:sz w:val="14"/>
                <w:szCs w:val="14"/>
                <w:b w:val="1"/>
                <w:bCs w:val="1"/>
                <w:color w:val="auto"/>
              </w:rPr>
              <w:t>2004</w:t>
            </w: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5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revenue</w:t>
            </w:r>
          </w:p>
        </w:tc>
        <w:tc>
          <w:tcPr>
            <w:tcW w:w="200" w:type="dxa"/>
            <w:vAlign w:val="bottom"/>
            <w:shd w:val="clear" w:color="auto" w:fill="CCEEFF"/>
          </w:tcPr>
          <w:p>
            <w:pPr>
              <w:jc w:val="right"/>
              <w:ind w:right="35"/>
              <w:spacing w:after="0"/>
              <w:rPr>
                <w:sz w:val="20"/>
                <w:szCs w:val="20"/>
                <w:color w:val="auto"/>
              </w:rPr>
            </w:pPr>
            <w:r>
              <w:rPr>
                <w:rFonts w:ascii="Times New Roman" w:cs="Times New Roman" w:eastAsia="Times New Roman" w:hAnsi="Times New Roman"/>
                <w:sz w:val="17"/>
                <w:szCs w:val="17"/>
                <w:color w:val="auto"/>
                <w:w w:val="70"/>
              </w:rPr>
              <w:t>$</w:t>
            </w:r>
          </w:p>
        </w:tc>
        <w:tc>
          <w:tcPr>
            <w:tcW w:w="128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426,026</w:t>
            </w:r>
          </w:p>
        </w:tc>
        <w:tc>
          <w:tcPr>
            <w:tcW w:w="340" w:type="dxa"/>
            <w:vAlign w:val="bottom"/>
            <w:gridSpan w:val="2"/>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38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317,583</w:t>
            </w:r>
          </w:p>
        </w:tc>
        <w:tc>
          <w:tcPr>
            <w:tcW w:w="22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38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1,181,250</w:t>
            </w:r>
          </w:p>
        </w:tc>
        <w:tc>
          <w:tcPr>
            <w:tcW w:w="200" w:type="dxa"/>
            <w:vAlign w:val="bottom"/>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w w:val="88"/>
              </w:rPr>
              <w:t>$</w:t>
            </w:r>
          </w:p>
        </w:tc>
        <w:tc>
          <w:tcPr>
            <w:tcW w:w="118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884,314</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Times New Roman" w:cs="Times New Roman" w:eastAsia="Times New Roman" w:hAnsi="Times New Roman"/>
                <w:sz w:val="18"/>
                <w:szCs w:val="18"/>
                <w:color w:val="auto"/>
              </w:rPr>
              <w:t>Cost of goods sold</w:t>
            </w:r>
          </w:p>
        </w:tc>
        <w:tc>
          <w:tcPr>
            <w:tcW w:w="200" w:type="dxa"/>
            <w:vAlign w:val="bottom"/>
          </w:tcPr>
          <w:p>
            <w:pPr>
              <w:spacing w:after="0"/>
              <w:rPr>
                <w:sz w:val="18"/>
                <w:szCs w:val="18"/>
                <w:color w:val="auto"/>
              </w:rPr>
            </w:pPr>
          </w:p>
        </w:tc>
        <w:tc>
          <w:tcPr>
            <w:tcW w:w="128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197,077</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150,260</w:t>
            </w:r>
          </w:p>
        </w:tc>
        <w:tc>
          <w:tcPr>
            <w:tcW w:w="22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555,967</w:t>
            </w: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419,001</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4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Gross profit</w:t>
            </w:r>
          </w:p>
        </w:tc>
        <w:tc>
          <w:tcPr>
            <w:tcW w:w="200" w:type="dxa"/>
            <w:vAlign w:val="bottom"/>
            <w:tcBorders>
              <w:top w:val="single" w:sz="8" w:color="auto"/>
            </w:tcBorders>
            <w:shd w:val="clear" w:color="auto" w:fill="CCEEFF"/>
          </w:tcPr>
          <w:p>
            <w:pPr>
              <w:spacing w:after="0"/>
              <w:rPr>
                <w:sz w:val="18"/>
                <w:szCs w:val="18"/>
                <w:color w:val="auto"/>
              </w:rPr>
            </w:pPr>
          </w:p>
        </w:tc>
        <w:tc>
          <w:tcPr>
            <w:tcW w:w="11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228,949</w:t>
            </w: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167,323</w:t>
            </w:r>
          </w:p>
        </w:tc>
        <w:tc>
          <w:tcPr>
            <w:tcW w:w="2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625,283</w:t>
            </w:r>
          </w:p>
        </w:tc>
        <w:tc>
          <w:tcPr>
            <w:tcW w:w="2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465,313</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Times New Roman" w:cs="Times New Roman" w:eastAsia="Times New Roman" w:hAnsi="Times New Roman"/>
                <w:sz w:val="18"/>
                <w:szCs w:val="18"/>
                <w:color w:val="auto"/>
              </w:rPr>
              <w:t>Operating expenses:</w:t>
            </w:r>
          </w:p>
        </w:tc>
        <w:tc>
          <w:tcPr>
            <w:tcW w:w="2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Research and development</w:t>
            </w:r>
          </w:p>
        </w:tc>
        <w:tc>
          <w:tcPr>
            <w:tcW w:w="20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77,689</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66,378</w:t>
            </w: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222,751</w:t>
            </w: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193,686</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ind w:left="340"/>
              <w:spacing w:after="0"/>
              <w:rPr>
                <w:sz w:val="20"/>
                <w:szCs w:val="20"/>
                <w:color w:val="auto"/>
              </w:rPr>
            </w:pPr>
            <w:r>
              <w:rPr>
                <w:rFonts w:ascii="Times New Roman" w:cs="Times New Roman" w:eastAsia="Times New Roman" w:hAnsi="Times New Roman"/>
                <w:sz w:val="18"/>
                <w:szCs w:val="18"/>
                <w:color w:val="auto"/>
              </w:rPr>
              <w:t>Selling and marketing</w:t>
            </w:r>
          </w:p>
        </w:tc>
        <w:tc>
          <w:tcPr>
            <w:tcW w:w="200" w:type="dxa"/>
            <w:vAlign w:val="bottom"/>
          </w:tcPr>
          <w:p>
            <w:pPr>
              <w:spacing w:after="0"/>
              <w:rPr>
                <w:sz w:val="18"/>
                <w:szCs w:val="18"/>
                <w:color w:val="auto"/>
              </w:rPr>
            </w:pPr>
          </w:p>
        </w:tc>
        <w:tc>
          <w:tcPr>
            <w:tcW w:w="128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21,634</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19,381</w:t>
            </w:r>
          </w:p>
        </w:tc>
        <w:tc>
          <w:tcPr>
            <w:tcW w:w="22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63,898</w:t>
            </w: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57,966</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General and administrative</w:t>
            </w:r>
          </w:p>
        </w:tc>
        <w:tc>
          <w:tcPr>
            <w:tcW w:w="20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9,029</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9,330</w:t>
            </w: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24,107</w:t>
            </w: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23,829</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ind w:left="340"/>
              <w:spacing w:after="0"/>
              <w:rPr>
                <w:sz w:val="20"/>
                <w:szCs w:val="20"/>
                <w:color w:val="auto"/>
              </w:rPr>
            </w:pPr>
            <w:r>
              <w:rPr>
                <w:rFonts w:ascii="Times New Roman" w:cs="Times New Roman" w:eastAsia="Times New Roman" w:hAnsi="Times New Roman"/>
                <w:sz w:val="18"/>
                <w:szCs w:val="18"/>
                <w:color w:val="auto"/>
              </w:rPr>
              <w:t>Amortization of stock-based compensation</w:t>
            </w:r>
          </w:p>
        </w:tc>
        <w:tc>
          <w:tcPr>
            <w:tcW w:w="200" w:type="dxa"/>
            <w:vAlign w:val="bottom"/>
          </w:tcPr>
          <w:p>
            <w:pPr>
              <w:spacing w:after="0"/>
              <w:rPr>
                <w:sz w:val="18"/>
                <w:szCs w:val="18"/>
                <w:color w:val="auto"/>
              </w:rPr>
            </w:pPr>
          </w:p>
        </w:tc>
        <w:tc>
          <w:tcPr>
            <w:tcW w:w="128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465</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837</w:t>
            </w:r>
          </w:p>
        </w:tc>
        <w:tc>
          <w:tcPr>
            <w:tcW w:w="22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1,853</w:t>
            </w: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3,497</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Amortization/write-off of acquired intangible assets and other</w:t>
            </w:r>
          </w:p>
        </w:tc>
        <w:tc>
          <w:tcPr>
            <w:tcW w:w="20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19,746</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19,758</w:t>
            </w: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59,258</w:t>
            </w: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82,775</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ind w:left="340"/>
              <w:spacing w:after="0"/>
              <w:rPr>
                <w:sz w:val="20"/>
                <w:szCs w:val="20"/>
                <w:color w:val="auto"/>
              </w:rPr>
            </w:pPr>
            <w:r>
              <w:rPr>
                <w:rFonts w:ascii="Times New Roman" w:cs="Times New Roman" w:eastAsia="Times New Roman" w:hAnsi="Times New Roman"/>
                <w:sz w:val="18"/>
                <w:szCs w:val="18"/>
                <w:color w:val="auto"/>
              </w:rPr>
              <w:t>Facilities consolidation charge</w:t>
            </w:r>
          </w:p>
        </w:tc>
        <w:tc>
          <w:tcPr>
            <w:tcW w:w="200" w:type="dxa"/>
            <w:vAlign w:val="bottom"/>
          </w:tcPr>
          <w:p>
            <w:pPr>
              <w:spacing w:after="0"/>
              <w:rPr>
                <w:sz w:val="18"/>
                <w:szCs w:val="18"/>
                <w:color w:val="auto"/>
              </w:rPr>
            </w:pPr>
          </w:p>
        </w:tc>
        <w:tc>
          <w:tcPr>
            <w:tcW w:w="128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2,414</w:t>
            </w:r>
          </w:p>
        </w:tc>
        <w:tc>
          <w:tcPr>
            <w:tcW w:w="22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2,414</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40" w:type="dxa"/>
            <w:vAlign w:val="bottom"/>
            <w:tcBorders>
              <w:top w:val="single" w:sz="8" w:color="CCEEFF"/>
            </w:tcBorders>
            <w:shd w:val="clear" w:color="auto" w:fill="CCEEFF"/>
          </w:tcPr>
          <w:p>
            <w:pPr>
              <w:ind w:left="620"/>
              <w:spacing w:after="0"/>
              <w:rPr>
                <w:sz w:val="20"/>
                <w:szCs w:val="20"/>
                <w:color w:val="auto"/>
              </w:rPr>
            </w:pPr>
            <w:r>
              <w:rPr>
                <w:rFonts w:ascii="Times New Roman" w:cs="Times New Roman" w:eastAsia="Times New Roman" w:hAnsi="Times New Roman"/>
                <w:sz w:val="18"/>
                <w:szCs w:val="18"/>
                <w:color w:val="auto"/>
              </w:rPr>
              <w:t>Total operating expenses</w:t>
            </w: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128,563</w:t>
            </w: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118,098</w:t>
            </w:r>
          </w:p>
        </w:tc>
        <w:tc>
          <w:tcPr>
            <w:tcW w:w="2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371,867</w:t>
            </w:r>
          </w:p>
        </w:tc>
        <w:tc>
          <w:tcPr>
            <w:tcW w:w="2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364,167</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Times New Roman" w:cs="Times New Roman" w:eastAsia="Times New Roman" w:hAnsi="Times New Roman"/>
                <w:sz w:val="18"/>
                <w:szCs w:val="18"/>
                <w:color w:val="auto"/>
              </w:rPr>
              <w:t>Operating income</w:t>
            </w:r>
          </w:p>
        </w:tc>
        <w:tc>
          <w:tcPr>
            <w:tcW w:w="20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100,386</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49,225</w:t>
            </w: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253,416</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101,146</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Interest and other income, net</w:t>
            </w:r>
          </w:p>
        </w:tc>
        <w:tc>
          <w:tcPr>
            <w:tcW w:w="20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5,244</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1,770</w:t>
            </w: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13,240</w:t>
            </w: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5,058</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Times New Roman" w:cs="Times New Roman" w:eastAsia="Times New Roman" w:hAnsi="Times New Roman"/>
                <w:sz w:val="18"/>
                <w:szCs w:val="18"/>
                <w:color w:val="auto"/>
              </w:rPr>
              <w:t>Income before income taxes</w:t>
            </w:r>
          </w:p>
        </w:tc>
        <w:tc>
          <w:tcPr>
            <w:tcW w:w="200" w:type="dxa"/>
            <w:vAlign w:val="bottom"/>
            <w:tcBorders>
              <w:top w:val="single" w:sz="8" w:color="auto"/>
            </w:tcBorders>
          </w:tcPr>
          <w:p>
            <w:pPr>
              <w:spacing w:after="0"/>
              <w:rPr>
                <w:sz w:val="18"/>
                <w:szCs w:val="18"/>
                <w:color w:val="auto"/>
              </w:rPr>
            </w:pPr>
          </w:p>
        </w:tc>
        <w:tc>
          <w:tcPr>
            <w:tcW w:w="11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105,630</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11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50,995</w:t>
            </w:r>
          </w:p>
        </w:tc>
        <w:tc>
          <w:tcPr>
            <w:tcW w:w="22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11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266,656</w:t>
            </w:r>
          </w:p>
        </w:tc>
        <w:tc>
          <w:tcPr>
            <w:tcW w:w="22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11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106,204</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Provision for income taxes</w:t>
            </w:r>
          </w:p>
        </w:tc>
        <w:tc>
          <w:tcPr>
            <w:tcW w:w="20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12,584</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7,400</w:t>
            </w: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32,776</w:t>
            </w: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19,488</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51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Net income</w:t>
            </w:r>
          </w:p>
        </w:tc>
        <w:tc>
          <w:tcPr>
            <w:tcW w:w="200" w:type="dxa"/>
            <w:vAlign w:val="bottom"/>
            <w:tcBorders>
              <w:top w:val="single" w:sz="8" w:color="auto"/>
            </w:tcBorders>
          </w:tcPr>
          <w:p>
            <w:pPr>
              <w:jc w:val="right"/>
              <w:ind w:right="35"/>
              <w:spacing w:after="0"/>
              <w:rPr>
                <w:sz w:val="20"/>
                <w:szCs w:val="20"/>
                <w:color w:val="auto"/>
              </w:rPr>
            </w:pPr>
            <w:r>
              <w:rPr>
                <w:rFonts w:ascii="Times New Roman" w:cs="Times New Roman" w:eastAsia="Times New Roman" w:hAnsi="Times New Roman"/>
                <w:sz w:val="17"/>
                <w:szCs w:val="17"/>
                <w:color w:val="auto"/>
                <w:w w:val="70"/>
              </w:rPr>
              <w:t>$</w:t>
            </w:r>
          </w:p>
        </w:tc>
        <w:tc>
          <w:tcPr>
            <w:tcW w:w="11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93,046</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1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43,595</w:t>
            </w:r>
          </w:p>
        </w:tc>
        <w:tc>
          <w:tcPr>
            <w:tcW w:w="220" w:type="dxa"/>
            <w:vAlign w:val="bottom"/>
          </w:tcPr>
          <w:p>
            <w:pPr>
              <w:spacing w:after="0"/>
              <w:rPr>
                <w:sz w:val="18"/>
                <w:szCs w:val="18"/>
                <w:color w:val="auto"/>
              </w:rPr>
            </w:pPr>
          </w:p>
        </w:tc>
        <w:tc>
          <w:tcPr>
            <w:tcW w:w="22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1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233,880</w:t>
            </w:r>
          </w:p>
        </w:tc>
        <w:tc>
          <w:tcPr>
            <w:tcW w:w="220" w:type="dxa"/>
            <w:vAlign w:val="bottom"/>
          </w:tcPr>
          <w:p>
            <w:pPr>
              <w:spacing w:after="0"/>
              <w:rPr>
                <w:sz w:val="18"/>
                <w:szCs w:val="18"/>
                <w:color w:val="auto"/>
              </w:rPr>
            </w:pPr>
          </w:p>
        </w:tc>
        <w:tc>
          <w:tcPr>
            <w:tcW w:w="200" w:type="dxa"/>
            <w:vAlign w:val="bottom"/>
            <w:tcBorders>
              <w:top w:val="single" w:sz="8" w:color="auto"/>
            </w:tcBorders>
          </w:tcPr>
          <w:p>
            <w:pPr>
              <w:jc w:val="right"/>
              <w:ind w:right="10"/>
              <w:spacing w:after="0"/>
              <w:rPr>
                <w:sz w:val="20"/>
                <w:szCs w:val="20"/>
                <w:color w:val="auto"/>
              </w:rPr>
            </w:pPr>
            <w:r>
              <w:rPr>
                <w:rFonts w:ascii="Times New Roman" w:cs="Times New Roman" w:eastAsia="Times New Roman" w:hAnsi="Times New Roman"/>
                <w:sz w:val="18"/>
                <w:szCs w:val="18"/>
                <w:color w:val="auto"/>
                <w:w w:val="88"/>
              </w:rPr>
              <w:t>$</w:t>
            </w:r>
          </w:p>
        </w:tc>
        <w:tc>
          <w:tcPr>
            <w:tcW w:w="11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86,716</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51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1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vMerge w:val="continue"/>
          </w:tcPr>
          <w:p>
            <w:pPr>
              <w:spacing w:after="0"/>
              <w:rPr>
                <w:sz w:val="19"/>
                <w:szCs w:val="19"/>
                <w:color w:val="auto"/>
              </w:rPr>
            </w:pPr>
          </w:p>
        </w:tc>
        <w:tc>
          <w:tcPr>
            <w:tcW w:w="5140" w:type="dxa"/>
            <w:vAlign w:val="bottom"/>
          </w:tcPr>
          <w:p>
            <w:pPr>
              <w:spacing w:after="0"/>
              <w:rPr>
                <w:sz w:val="20"/>
                <w:szCs w:val="20"/>
                <w:color w:val="auto"/>
              </w:rPr>
            </w:pPr>
            <w:r>
              <w:rPr>
                <w:rFonts w:ascii="Times New Roman" w:cs="Times New Roman" w:eastAsia="Times New Roman" w:hAnsi="Times New Roman"/>
                <w:sz w:val="18"/>
                <w:szCs w:val="18"/>
                <w:color w:val="auto"/>
              </w:rPr>
              <w:t>Basic net income per share</w:t>
            </w:r>
          </w:p>
        </w:tc>
        <w:tc>
          <w:tcPr>
            <w:tcW w:w="200" w:type="dxa"/>
            <w:vAlign w:val="bottom"/>
          </w:tcPr>
          <w:p>
            <w:pPr>
              <w:jc w:val="right"/>
              <w:ind w:right="35"/>
              <w:spacing w:after="0"/>
              <w:rPr>
                <w:sz w:val="20"/>
                <w:szCs w:val="20"/>
                <w:color w:val="auto"/>
              </w:rPr>
            </w:pPr>
            <w:r>
              <w:rPr>
                <w:rFonts w:ascii="Times New Roman" w:cs="Times New Roman" w:eastAsia="Times New Roman" w:hAnsi="Times New Roman"/>
                <w:sz w:val="17"/>
                <w:szCs w:val="17"/>
                <w:color w:val="auto"/>
                <w:w w:val="70"/>
              </w:rPr>
              <w:t>$</w:t>
            </w:r>
          </w:p>
        </w:tc>
        <w:tc>
          <w:tcPr>
            <w:tcW w:w="128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0.33</w:t>
            </w:r>
          </w:p>
        </w:tc>
        <w:tc>
          <w:tcPr>
            <w:tcW w:w="340" w:type="dxa"/>
            <w:vAlign w:val="bottom"/>
            <w:gridSpan w:val="2"/>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3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0.16</w:t>
            </w:r>
          </w:p>
        </w:tc>
        <w:tc>
          <w:tcPr>
            <w:tcW w:w="22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3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0.83</w:t>
            </w:r>
          </w:p>
        </w:tc>
        <w:tc>
          <w:tcPr>
            <w:tcW w:w="20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w w:val="88"/>
              </w:rPr>
              <w:t>$</w:t>
            </w:r>
          </w:p>
        </w:tc>
        <w:tc>
          <w:tcPr>
            <w:tcW w:w="118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0.32</w:t>
            </w: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140" w:type="dxa"/>
            <w:vAlign w:val="bottom"/>
            <w:tcBorders>
              <w:top w:val="single" w:sz="8" w:color="CCEEFF"/>
              <w:bottom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Diluted net income per share</w:t>
            </w:r>
          </w:p>
        </w:tc>
        <w:tc>
          <w:tcPr>
            <w:tcW w:w="200" w:type="dxa"/>
            <w:vAlign w:val="bottom"/>
            <w:tcBorders>
              <w:top w:val="single" w:sz="8" w:color="auto"/>
              <w:bottom w:val="single" w:sz="8" w:color="auto"/>
            </w:tcBorders>
            <w:shd w:val="clear" w:color="auto" w:fill="CCEEFF"/>
          </w:tcPr>
          <w:p>
            <w:pPr>
              <w:jc w:val="right"/>
              <w:ind w:right="35"/>
              <w:spacing w:after="0"/>
              <w:rPr>
                <w:sz w:val="20"/>
                <w:szCs w:val="20"/>
                <w:color w:val="auto"/>
              </w:rPr>
            </w:pPr>
            <w:r>
              <w:rPr>
                <w:rFonts w:ascii="Times New Roman" w:cs="Times New Roman" w:eastAsia="Times New Roman" w:hAnsi="Times New Roman"/>
                <w:sz w:val="17"/>
                <w:szCs w:val="17"/>
                <w:color w:val="auto"/>
                <w:w w:val="70"/>
              </w:rPr>
              <w:t>$</w:t>
            </w:r>
          </w:p>
        </w:tc>
        <w:tc>
          <w:tcPr>
            <w:tcW w:w="1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0.29</w:t>
            </w: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0.15</w:t>
            </w:r>
          </w:p>
        </w:tc>
        <w:tc>
          <w:tcPr>
            <w:tcW w:w="220" w:type="dxa"/>
            <w:vAlign w:val="bottom"/>
            <w:tcBorders>
              <w:top w:val="single" w:sz="8" w:color="CCEEFF"/>
              <w:bottom w:val="single" w:sz="8" w:color="CCEEFF"/>
            </w:tcBorders>
            <w:shd w:val="clear" w:color="auto" w:fill="CCEEFF"/>
          </w:tcPr>
          <w:p>
            <w:pPr>
              <w:spacing w:after="0"/>
              <w:rPr>
                <w:sz w:val="19"/>
                <w:szCs w:val="19"/>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0.75</w:t>
            </w:r>
          </w:p>
        </w:tc>
        <w:tc>
          <w:tcPr>
            <w:tcW w:w="220" w:type="dxa"/>
            <w:vAlign w:val="bottom"/>
            <w:tcBorders>
              <w:top w:val="single" w:sz="8" w:color="CCEEFF"/>
              <w:bottom w:val="single" w:sz="8" w:color="CCEEFF"/>
            </w:tcBorders>
            <w:shd w:val="clear" w:color="auto" w:fill="CCEEFF"/>
          </w:tcPr>
          <w:p>
            <w:pPr>
              <w:spacing w:after="0"/>
              <w:rPr>
                <w:sz w:val="19"/>
                <w:szCs w:val="19"/>
                <w:color w:val="auto"/>
              </w:rPr>
            </w:pPr>
          </w:p>
        </w:tc>
        <w:tc>
          <w:tcPr>
            <w:tcW w:w="200" w:type="dxa"/>
            <w:vAlign w:val="bottom"/>
            <w:tcBorders>
              <w:top w:val="single" w:sz="8" w:color="auto"/>
              <w:bottom w:val="single" w:sz="8" w:color="auto"/>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w w:val="88"/>
              </w:rPr>
              <w:t>$</w:t>
            </w: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0.29</w:t>
            </w:r>
          </w:p>
        </w:tc>
        <w:tc>
          <w:tcPr>
            <w:tcW w:w="20" w:type="dxa"/>
            <w:vAlign w:val="bottom"/>
            <w:tcBorders>
              <w:top w:val="single" w:sz="8" w:color="CCEEFF"/>
              <w:bottom w:val="single" w:sz="8" w:color="CCEEFF"/>
            </w:tcBorders>
            <w:shd w:val="clear" w:color="auto" w:fill="CCEEFF"/>
          </w:tcPr>
          <w:p>
            <w:pPr>
              <w:spacing w:after="0"/>
              <w:rPr>
                <w:sz w:val="19"/>
                <w:szCs w:val="19"/>
                <w:color w:val="auto"/>
              </w:rPr>
            </w:pP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5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Weighted average shares — basic</w:t>
            </w:r>
          </w:p>
        </w:tc>
        <w:tc>
          <w:tcPr>
            <w:tcW w:w="20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283,655</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271,069</w:t>
            </w: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281,121</w:t>
            </w: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267,731</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Times New Roman" w:cs="Times New Roman" w:eastAsia="Times New Roman" w:hAnsi="Times New Roman"/>
                <w:sz w:val="18"/>
                <w:szCs w:val="18"/>
                <w:color w:val="auto"/>
              </w:rPr>
              <w:t>Weighted average shares — diluted</w:t>
            </w:r>
          </w:p>
        </w:tc>
        <w:tc>
          <w:tcPr>
            <w:tcW w:w="200" w:type="dxa"/>
            <w:vAlign w:val="bottom"/>
            <w:tcBorders>
              <w:top w:val="single" w:sz="8" w:color="auto"/>
              <w:bottom w:val="single" w:sz="8" w:color="auto"/>
            </w:tcBorders>
          </w:tcPr>
          <w:p>
            <w:pPr>
              <w:spacing w:after="0"/>
              <w:rPr>
                <w:sz w:val="18"/>
                <w:szCs w:val="18"/>
                <w:color w:val="auto"/>
              </w:rPr>
            </w:pPr>
          </w:p>
        </w:tc>
        <w:tc>
          <w:tcPr>
            <w:tcW w:w="11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316,215</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Borders>
              <w:top w:val="single" w:sz="8" w:color="auto"/>
              <w:bottom w:val="single" w:sz="8" w:color="auto"/>
            </w:tcBorders>
          </w:tcPr>
          <w:p>
            <w:pPr>
              <w:spacing w:after="0"/>
              <w:rPr>
                <w:sz w:val="18"/>
                <w:szCs w:val="18"/>
                <w:color w:val="auto"/>
              </w:rPr>
            </w:pPr>
          </w:p>
        </w:tc>
        <w:tc>
          <w:tcPr>
            <w:tcW w:w="11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300,649</w:t>
            </w:r>
          </w:p>
        </w:tc>
        <w:tc>
          <w:tcPr>
            <w:tcW w:w="220" w:type="dxa"/>
            <w:vAlign w:val="bottom"/>
          </w:tcPr>
          <w:p>
            <w:pPr>
              <w:spacing w:after="0"/>
              <w:rPr>
                <w:sz w:val="18"/>
                <w:szCs w:val="18"/>
                <w:color w:val="auto"/>
              </w:rPr>
            </w:pPr>
          </w:p>
        </w:tc>
        <w:tc>
          <w:tcPr>
            <w:tcW w:w="220" w:type="dxa"/>
            <w:vAlign w:val="bottom"/>
            <w:tcBorders>
              <w:top w:val="single" w:sz="8" w:color="auto"/>
              <w:bottom w:val="single" w:sz="8" w:color="auto"/>
            </w:tcBorders>
          </w:tcPr>
          <w:p>
            <w:pPr>
              <w:spacing w:after="0"/>
              <w:rPr>
                <w:sz w:val="18"/>
                <w:szCs w:val="18"/>
                <w:color w:val="auto"/>
              </w:rPr>
            </w:pPr>
          </w:p>
        </w:tc>
        <w:tc>
          <w:tcPr>
            <w:tcW w:w="11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313,352</w:t>
            </w:r>
          </w:p>
        </w:tc>
        <w:tc>
          <w:tcPr>
            <w:tcW w:w="220" w:type="dxa"/>
            <w:vAlign w:val="bottom"/>
          </w:tcPr>
          <w:p>
            <w:pPr>
              <w:spacing w:after="0"/>
              <w:rPr>
                <w:sz w:val="18"/>
                <w:szCs w:val="18"/>
                <w:color w:val="auto"/>
              </w:rPr>
            </w:pPr>
          </w:p>
        </w:tc>
        <w:tc>
          <w:tcPr>
            <w:tcW w:w="200" w:type="dxa"/>
            <w:vAlign w:val="bottom"/>
            <w:tcBorders>
              <w:top w:val="single" w:sz="8" w:color="auto"/>
              <w:bottom w:val="single" w:sz="8" w:color="auto"/>
            </w:tcBorders>
          </w:tcPr>
          <w:p>
            <w:pPr>
              <w:spacing w:after="0"/>
              <w:rPr>
                <w:sz w:val="18"/>
                <w:szCs w:val="18"/>
                <w:color w:val="auto"/>
              </w:rPr>
            </w:pPr>
          </w:p>
        </w:tc>
        <w:tc>
          <w:tcPr>
            <w:tcW w:w="11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296,616</w:t>
            </w:r>
          </w:p>
        </w:tc>
        <w:tc>
          <w:tcPr>
            <w:tcW w:w="20" w:type="dxa"/>
            <w:vAlign w:val="bottom"/>
            <w:tcBorders>
              <w:bottom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14"/>
        </w:trPr>
        <w:tc>
          <w:tcPr>
            <w:tcW w:w="20" w:type="dxa"/>
            <w:vAlign w:val="bottom"/>
          </w:tcPr>
          <w:p>
            <w:pPr>
              <w:spacing w:after="0"/>
              <w:rPr>
                <w:sz w:val="24"/>
                <w:szCs w:val="24"/>
                <w:color w:val="auto"/>
              </w:rPr>
            </w:pPr>
          </w:p>
        </w:tc>
        <w:tc>
          <w:tcPr>
            <w:tcW w:w="5140" w:type="dxa"/>
            <w:vAlign w:val="bottom"/>
            <w:tcBorders>
              <w:bottom w:val="single" w:sz="8" w:color="808080"/>
            </w:tcBorders>
          </w:tcPr>
          <w:p>
            <w:pPr>
              <w:spacing w:after="0"/>
              <w:rPr>
                <w:sz w:val="24"/>
                <w:szCs w:val="24"/>
                <w:color w:val="auto"/>
              </w:rPr>
            </w:pPr>
          </w:p>
        </w:tc>
        <w:tc>
          <w:tcPr>
            <w:tcW w:w="200" w:type="dxa"/>
            <w:vAlign w:val="bottom"/>
            <w:tcBorders>
              <w:bottom w:val="single" w:sz="8" w:color="808080"/>
            </w:tcBorders>
          </w:tcPr>
          <w:p>
            <w:pPr>
              <w:spacing w:after="0"/>
              <w:rPr>
                <w:sz w:val="24"/>
                <w:szCs w:val="24"/>
                <w:color w:val="auto"/>
              </w:rPr>
            </w:pPr>
          </w:p>
        </w:tc>
        <w:tc>
          <w:tcPr>
            <w:tcW w:w="1180" w:type="dxa"/>
            <w:vAlign w:val="bottom"/>
            <w:tcBorders>
              <w:bottom w:val="single" w:sz="8" w:color="808080"/>
            </w:tcBorders>
          </w:tcPr>
          <w:p>
            <w:pPr>
              <w:spacing w:after="0"/>
              <w:rPr>
                <w:sz w:val="24"/>
                <w:szCs w:val="24"/>
                <w:color w:val="auto"/>
              </w:rPr>
            </w:pPr>
          </w:p>
        </w:tc>
        <w:tc>
          <w:tcPr>
            <w:tcW w:w="100" w:type="dxa"/>
            <w:vAlign w:val="bottom"/>
            <w:tcBorders>
              <w:bottom w:val="single" w:sz="8" w:color="808080"/>
            </w:tcBorders>
          </w:tcPr>
          <w:p>
            <w:pPr>
              <w:spacing w:after="0"/>
              <w:rPr>
                <w:sz w:val="24"/>
                <w:szCs w:val="24"/>
                <w:color w:val="auto"/>
              </w:rPr>
            </w:pPr>
          </w:p>
        </w:tc>
        <w:tc>
          <w:tcPr>
            <w:tcW w:w="120" w:type="dxa"/>
            <w:vAlign w:val="bottom"/>
            <w:tcBorders>
              <w:bottom w:val="single" w:sz="8" w:color="808080"/>
            </w:tcBorders>
          </w:tcPr>
          <w:p>
            <w:pPr>
              <w:spacing w:after="0"/>
              <w:rPr>
                <w:sz w:val="24"/>
                <w:szCs w:val="24"/>
                <w:color w:val="auto"/>
              </w:rPr>
            </w:pPr>
          </w:p>
        </w:tc>
        <w:tc>
          <w:tcPr>
            <w:tcW w:w="22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220" w:type="dxa"/>
            <w:vAlign w:val="bottom"/>
            <w:tcBorders>
              <w:bottom w:val="single" w:sz="8" w:color="808080"/>
            </w:tcBorders>
          </w:tcPr>
          <w:p>
            <w:pPr>
              <w:spacing w:after="0"/>
              <w:rPr>
                <w:sz w:val="24"/>
                <w:szCs w:val="24"/>
                <w:color w:val="auto"/>
              </w:rPr>
            </w:pPr>
          </w:p>
        </w:tc>
        <w:tc>
          <w:tcPr>
            <w:tcW w:w="22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220" w:type="dxa"/>
            <w:vAlign w:val="bottom"/>
            <w:tcBorders>
              <w:bottom w:val="single" w:sz="8" w:color="808080"/>
            </w:tcBorders>
          </w:tcPr>
          <w:p>
            <w:pPr>
              <w:spacing w:after="0"/>
              <w:rPr>
                <w:sz w:val="24"/>
                <w:szCs w:val="24"/>
                <w:color w:val="auto"/>
              </w:rPr>
            </w:pPr>
          </w:p>
        </w:tc>
        <w:tc>
          <w:tcPr>
            <w:tcW w:w="20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c>
          <w:tcPr>
            <w:tcW w:w="8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308"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Pro Forma Condensed Consolidated Statements of Operations</w:t>
      </w:r>
    </w:p>
    <w:p>
      <w:pPr>
        <w:spacing w:after="0" w:line="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(Unaudited)</w:t>
      </w:r>
    </w:p>
    <w:p>
      <w:pPr>
        <w:spacing w:after="0" w:line="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(In thousands, except per share amounts)</w:t>
      </w:r>
    </w:p>
    <w:p>
      <w:pPr>
        <w:spacing w:after="0" w:line="200"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20" w:type="dxa"/>
            <w:vAlign w:val="bottom"/>
          </w:tcPr>
          <w:p>
            <w:pPr>
              <w:spacing w:after="0"/>
              <w:rPr>
                <w:sz w:val="15"/>
                <w:szCs w:val="15"/>
                <w:color w:val="auto"/>
              </w:rPr>
            </w:pPr>
          </w:p>
        </w:tc>
        <w:tc>
          <w:tcPr>
            <w:tcW w:w="51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3000" w:type="dxa"/>
            <w:vAlign w:val="bottom"/>
            <w:gridSpan w:val="6"/>
          </w:tcPr>
          <w:p>
            <w:pPr>
              <w:ind w:left="64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220" w:type="dxa"/>
            <w:vAlign w:val="bottom"/>
          </w:tcPr>
          <w:p>
            <w:pPr>
              <w:spacing w:after="0"/>
              <w:rPr>
                <w:sz w:val="15"/>
                <w:szCs w:val="15"/>
                <w:color w:val="auto"/>
              </w:rPr>
            </w:pPr>
          </w:p>
        </w:tc>
        <w:tc>
          <w:tcPr>
            <w:tcW w:w="2840" w:type="dxa"/>
            <w:vAlign w:val="bottom"/>
            <w:gridSpan w:val="5"/>
          </w:tcPr>
          <w:p>
            <w:pPr>
              <w:ind w:left="640"/>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514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1280" w:type="dxa"/>
            <w:vAlign w:val="bottom"/>
            <w:tcBorders>
              <w:top w:val="single" w:sz="8" w:color="auto"/>
            </w:tcBorders>
            <w:gridSpan w:val="2"/>
          </w:tcPr>
          <w:p>
            <w:pPr>
              <w:ind w:left="120"/>
              <w:spacing w:after="0" w:line="118" w:lineRule="exact"/>
              <w:rPr>
                <w:sz w:val="20"/>
                <w:szCs w:val="20"/>
                <w:color w:val="auto"/>
              </w:rPr>
            </w:pPr>
            <w:r>
              <w:rPr>
                <w:rFonts w:ascii="Times New Roman" w:cs="Times New Roman" w:eastAsia="Times New Roman" w:hAnsi="Times New Roman"/>
                <w:sz w:val="13"/>
                <w:szCs w:val="13"/>
                <w:b w:val="1"/>
                <w:bCs w:val="1"/>
                <w:color w:val="auto"/>
              </w:rPr>
              <w:t>October 29,</w:t>
            </w:r>
          </w:p>
        </w:tc>
        <w:tc>
          <w:tcPr>
            <w:tcW w:w="120" w:type="dxa"/>
            <w:vAlign w:val="bottom"/>
            <w:tcBorders>
              <w:top w:val="single" w:sz="8" w:color="auto"/>
            </w:tcBorders>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1160" w:type="dxa"/>
            <w:vAlign w:val="bottom"/>
            <w:tcBorders>
              <w:top w:val="single" w:sz="8" w:color="auto"/>
            </w:tcBorders>
          </w:tcPr>
          <w:p>
            <w:pPr>
              <w:jc w:val="right"/>
              <w:ind w:right="258"/>
              <w:spacing w:after="0" w:line="118" w:lineRule="exact"/>
              <w:rPr>
                <w:sz w:val="20"/>
                <w:szCs w:val="20"/>
                <w:color w:val="auto"/>
              </w:rPr>
            </w:pPr>
            <w:r>
              <w:rPr>
                <w:rFonts w:ascii="Times New Roman" w:cs="Times New Roman" w:eastAsia="Times New Roman" w:hAnsi="Times New Roman"/>
                <w:sz w:val="13"/>
                <w:szCs w:val="13"/>
                <w:b w:val="1"/>
                <w:bCs w:val="1"/>
                <w:color w:val="auto"/>
              </w:rPr>
              <w:t>October 30,</w:t>
            </w:r>
          </w:p>
        </w:tc>
        <w:tc>
          <w:tcPr>
            <w:tcW w:w="22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1380" w:type="dxa"/>
            <w:vAlign w:val="bottom"/>
            <w:tcBorders>
              <w:top w:val="single" w:sz="8" w:color="auto"/>
            </w:tcBorders>
            <w:gridSpan w:val="2"/>
          </w:tcPr>
          <w:p>
            <w:pPr>
              <w:jc w:val="right"/>
              <w:ind w:right="540"/>
              <w:spacing w:after="0" w:line="118" w:lineRule="exact"/>
              <w:rPr>
                <w:sz w:val="20"/>
                <w:szCs w:val="20"/>
                <w:color w:val="auto"/>
              </w:rPr>
            </w:pPr>
            <w:r>
              <w:rPr>
                <w:rFonts w:ascii="Times New Roman" w:cs="Times New Roman" w:eastAsia="Times New Roman" w:hAnsi="Times New Roman"/>
                <w:sz w:val="13"/>
                <w:szCs w:val="13"/>
                <w:b w:val="1"/>
                <w:bCs w:val="1"/>
                <w:color w:val="auto"/>
              </w:rPr>
              <w:t>October 29,</w:t>
            </w:r>
          </w:p>
        </w:tc>
        <w:tc>
          <w:tcPr>
            <w:tcW w:w="200" w:type="dxa"/>
            <w:vAlign w:val="bottom"/>
            <w:tcBorders>
              <w:top w:val="single" w:sz="8" w:color="auto"/>
            </w:tcBorders>
          </w:tcPr>
          <w:p>
            <w:pPr>
              <w:spacing w:after="0"/>
              <w:rPr>
                <w:sz w:val="10"/>
                <w:szCs w:val="10"/>
                <w:color w:val="auto"/>
              </w:rPr>
            </w:pPr>
          </w:p>
        </w:tc>
        <w:tc>
          <w:tcPr>
            <w:tcW w:w="1160" w:type="dxa"/>
            <w:vAlign w:val="bottom"/>
            <w:tcBorders>
              <w:top w:val="single" w:sz="8" w:color="auto"/>
            </w:tcBorders>
          </w:tcPr>
          <w:p>
            <w:pPr>
              <w:jc w:val="right"/>
              <w:ind w:right="238"/>
              <w:spacing w:after="0" w:line="118" w:lineRule="exact"/>
              <w:rPr>
                <w:sz w:val="20"/>
                <w:szCs w:val="20"/>
                <w:color w:val="auto"/>
              </w:rPr>
            </w:pPr>
            <w:r>
              <w:rPr>
                <w:rFonts w:ascii="Times New Roman" w:cs="Times New Roman" w:eastAsia="Times New Roman" w:hAnsi="Times New Roman"/>
                <w:sz w:val="13"/>
                <w:szCs w:val="13"/>
                <w:b w:val="1"/>
                <w:bCs w:val="1"/>
                <w:color w:val="auto"/>
              </w:rPr>
              <w:t>October 30,</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5140" w:type="dxa"/>
            <w:vAlign w:val="bottom"/>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180" w:type="dxa"/>
            <w:vAlign w:val="bottom"/>
            <w:tcBorders>
              <w:bottom w:val="single" w:sz="8" w:color="auto"/>
            </w:tcBorders>
          </w:tcPr>
          <w:p>
            <w:pPr>
              <w:jc w:val="right"/>
              <w:ind w:right="480"/>
              <w:spacing w:after="0"/>
              <w:rPr>
                <w:sz w:val="20"/>
                <w:szCs w:val="20"/>
                <w:color w:val="auto"/>
              </w:rPr>
            </w:pPr>
            <w:r>
              <w:rPr>
                <w:rFonts w:ascii="Times New Roman" w:cs="Times New Roman" w:eastAsia="Times New Roman" w:hAnsi="Times New Roman"/>
                <w:sz w:val="14"/>
                <w:szCs w:val="14"/>
                <w:b w:val="1"/>
                <w:bCs w:val="1"/>
                <w:color w:val="auto"/>
              </w:rPr>
              <w:t>2005</w:t>
            </w: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160" w:type="dxa"/>
            <w:vAlign w:val="bottom"/>
            <w:tcBorders>
              <w:bottom w:val="single" w:sz="8" w:color="auto"/>
            </w:tcBorders>
          </w:tcPr>
          <w:p>
            <w:pPr>
              <w:jc w:val="right"/>
              <w:ind w:right="458"/>
              <w:spacing w:after="0"/>
              <w:rPr>
                <w:sz w:val="20"/>
                <w:szCs w:val="20"/>
                <w:color w:val="auto"/>
              </w:rPr>
            </w:pPr>
            <w:r>
              <w:rPr>
                <w:rFonts w:ascii="Times New Roman" w:cs="Times New Roman" w:eastAsia="Times New Roman" w:hAnsi="Times New Roman"/>
                <w:sz w:val="14"/>
                <w:szCs w:val="14"/>
                <w:b w:val="1"/>
                <w:bCs w:val="1"/>
                <w:color w:val="auto"/>
              </w:rPr>
              <w:t>2004</w:t>
            </w:r>
          </w:p>
        </w:tc>
        <w:tc>
          <w:tcPr>
            <w:tcW w:w="220" w:type="dxa"/>
            <w:vAlign w:val="bottom"/>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160" w:type="dxa"/>
            <w:vAlign w:val="bottom"/>
            <w:tcBorders>
              <w:bottom w:val="single" w:sz="8" w:color="auto"/>
            </w:tcBorders>
          </w:tcPr>
          <w:p>
            <w:pPr>
              <w:jc w:val="right"/>
              <w:ind w:right="460"/>
              <w:spacing w:after="0"/>
              <w:rPr>
                <w:sz w:val="20"/>
                <w:szCs w:val="20"/>
                <w:color w:val="auto"/>
              </w:rPr>
            </w:pPr>
            <w:r>
              <w:rPr>
                <w:rFonts w:ascii="Times New Roman" w:cs="Times New Roman" w:eastAsia="Times New Roman" w:hAnsi="Times New Roman"/>
                <w:sz w:val="14"/>
                <w:szCs w:val="14"/>
                <w:b w:val="1"/>
                <w:bCs w:val="1"/>
                <w:color w:val="auto"/>
              </w:rPr>
              <w:t>2005</w:t>
            </w:r>
          </w:p>
        </w:tc>
        <w:tc>
          <w:tcPr>
            <w:tcW w:w="220" w:type="dxa"/>
            <w:vAlign w:val="bottom"/>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160" w:type="dxa"/>
            <w:vAlign w:val="bottom"/>
            <w:tcBorders>
              <w:bottom w:val="single" w:sz="8" w:color="auto"/>
            </w:tcBorders>
          </w:tcPr>
          <w:p>
            <w:pPr>
              <w:jc w:val="right"/>
              <w:ind w:right="458"/>
              <w:spacing w:after="0"/>
              <w:rPr>
                <w:sz w:val="20"/>
                <w:szCs w:val="20"/>
                <w:color w:val="auto"/>
              </w:rPr>
            </w:pPr>
            <w:r>
              <w:rPr>
                <w:rFonts w:ascii="Times New Roman" w:cs="Times New Roman" w:eastAsia="Times New Roman" w:hAnsi="Times New Roman"/>
                <w:sz w:val="14"/>
                <w:szCs w:val="14"/>
                <w:b w:val="1"/>
                <w:bCs w:val="1"/>
                <w:color w:val="auto"/>
              </w:rPr>
              <w:t>2004</w:t>
            </w: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5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revenue</w:t>
            </w:r>
          </w:p>
        </w:tc>
        <w:tc>
          <w:tcPr>
            <w:tcW w:w="200" w:type="dxa"/>
            <w:vAlign w:val="bottom"/>
            <w:shd w:val="clear" w:color="auto" w:fill="CCEEFF"/>
          </w:tcPr>
          <w:p>
            <w:pPr>
              <w:jc w:val="right"/>
              <w:ind w:right="35"/>
              <w:spacing w:after="0"/>
              <w:rPr>
                <w:sz w:val="20"/>
                <w:szCs w:val="20"/>
                <w:color w:val="auto"/>
              </w:rPr>
            </w:pPr>
            <w:r>
              <w:rPr>
                <w:rFonts w:ascii="Times New Roman" w:cs="Times New Roman" w:eastAsia="Times New Roman" w:hAnsi="Times New Roman"/>
                <w:sz w:val="17"/>
                <w:szCs w:val="17"/>
                <w:color w:val="auto"/>
                <w:w w:val="70"/>
              </w:rPr>
              <w:t>$</w:t>
            </w:r>
          </w:p>
        </w:tc>
        <w:tc>
          <w:tcPr>
            <w:tcW w:w="128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426,026</w:t>
            </w:r>
          </w:p>
        </w:tc>
        <w:tc>
          <w:tcPr>
            <w:tcW w:w="34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w:t>
            </w:r>
          </w:p>
        </w:tc>
        <w:tc>
          <w:tcPr>
            <w:tcW w:w="138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317,583</w:t>
            </w:r>
          </w:p>
        </w:tc>
        <w:tc>
          <w:tcPr>
            <w:tcW w:w="22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38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1,181,250</w:t>
            </w:r>
          </w:p>
        </w:tc>
        <w:tc>
          <w:tcPr>
            <w:tcW w:w="200" w:type="dxa"/>
            <w:vAlign w:val="bottom"/>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w w:val="88"/>
              </w:rPr>
              <w:t>$</w:t>
            </w:r>
          </w:p>
        </w:tc>
        <w:tc>
          <w:tcPr>
            <w:tcW w:w="126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884,314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Times New Roman" w:cs="Times New Roman" w:eastAsia="Times New Roman" w:hAnsi="Times New Roman"/>
                <w:sz w:val="18"/>
                <w:szCs w:val="18"/>
                <w:color w:val="auto"/>
              </w:rPr>
              <w:t>Cost of goods sold</w:t>
            </w:r>
          </w:p>
        </w:tc>
        <w:tc>
          <w:tcPr>
            <w:tcW w:w="200" w:type="dxa"/>
            <w:vAlign w:val="bottom"/>
          </w:tcPr>
          <w:p>
            <w:pPr>
              <w:spacing w:after="0"/>
              <w:rPr>
                <w:sz w:val="18"/>
                <w:szCs w:val="18"/>
                <w:color w:val="auto"/>
              </w:rPr>
            </w:pPr>
          </w:p>
        </w:tc>
        <w:tc>
          <w:tcPr>
            <w:tcW w:w="128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197,077</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150,260</w:t>
            </w:r>
          </w:p>
        </w:tc>
        <w:tc>
          <w:tcPr>
            <w:tcW w:w="22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555,967</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419,001</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4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Gross profit</w:t>
            </w:r>
          </w:p>
        </w:tc>
        <w:tc>
          <w:tcPr>
            <w:tcW w:w="200" w:type="dxa"/>
            <w:vAlign w:val="bottom"/>
            <w:tcBorders>
              <w:top w:val="single" w:sz="8" w:color="auto"/>
            </w:tcBorders>
            <w:shd w:val="clear" w:color="auto" w:fill="CCEEFF"/>
          </w:tcPr>
          <w:p>
            <w:pPr>
              <w:spacing w:after="0"/>
              <w:rPr>
                <w:sz w:val="18"/>
                <w:szCs w:val="18"/>
                <w:color w:val="auto"/>
              </w:rPr>
            </w:pPr>
          </w:p>
        </w:tc>
        <w:tc>
          <w:tcPr>
            <w:tcW w:w="11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228,949</w:t>
            </w: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167,323</w:t>
            </w:r>
          </w:p>
        </w:tc>
        <w:tc>
          <w:tcPr>
            <w:tcW w:w="2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625,283</w:t>
            </w:r>
          </w:p>
        </w:tc>
        <w:tc>
          <w:tcPr>
            <w:tcW w:w="2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465,313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Times New Roman" w:cs="Times New Roman" w:eastAsia="Times New Roman" w:hAnsi="Times New Roman"/>
                <w:sz w:val="18"/>
                <w:szCs w:val="18"/>
                <w:color w:val="auto"/>
              </w:rPr>
              <w:t>Operating expenses:</w:t>
            </w:r>
          </w:p>
        </w:tc>
        <w:tc>
          <w:tcPr>
            <w:tcW w:w="2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5140" w:type="dxa"/>
            <w:vAlign w:val="bottom"/>
            <w:shd w:val="clear" w:color="auto" w:fill="CCEEFF"/>
          </w:tcPr>
          <w:p>
            <w:pPr>
              <w:spacing w:after="0"/>
              <w:rPr>
                <w:sz w:val="16"/>
                <w:szCs w:val="16"/>
                <w:color w:val="auto"/>
              </w:rPr>
            </w:pPr>
          </w:p>
        </w:tc>
        <w:tc>
          <w:tcPr>
            <w:tcW w:w="200" w:type="dxa"/>
            <w:vAlign w:val="bottom"/>
            <w:shd w:val="clear" w:color="auto" w:fill="CCEEFF"/>
          </w:tcPr>
          <w:p>
            <w:pPr>
              <w:spacing w:after="0"/>
              <w:rPr>
                <w:sz w:val="16"/>
                <w:szCs w:val="16"/>
                <w:color w:val="auto"/>
              </w:rPr>
            </w:pPr>
          </w:p>
        </w:tc>
        <w:tc>
          <w:tcPr>
            <w:tcW w:w="118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220" w:type="dxa"/>
            <w:vAlign w:val="bottom"/>
            <w:shd w:val="clear" w:color="auto" w:fill="CCEEFF"/>
          </w:tcPr>
          <w:p>
            <w:pPr>
              <w:spacing w:after="0"/>
              <w:rPr>
                <w:sz w:val="16"/>
                <w:szCs w:val="16"/>
                <w:color w:val="auto"/>
              </w:rPr>
            </w:pPr>
          </w:p>
        </w:tc>
        <w:tc>
          <w:tcPr>
            <w:tcW w:w="1160" w:type="dxa"/>
            <w:vAlign w:val="bottom"/>
            <w:shd w:val="clear" w:color="auto" w:fill="CCEEFF"/>
          </w:tcPr>
          <w:p>
            <w:pPr>
              <w:spacing w:after="0"/>
              <w:rPr>
                <w:sz w:val="16"/>
                <w:szCs w:val="16"/>
                <w:color w:val="auto"/>
              </w:rPr>
            </w:pPr>
          </w:p>
        </w:tc>
        <w:tc>
          <w:tcPr>
            <w:tcW w:w="220" w:type="dxa"/>
            <w:vAlign w:val="bottom"/>
            <w:shd w:val="clear" w:color="auto" w:fill="CCEEFF"/>
          </w:tcPr>
          <w:p>
            <w:pPr>
              <w:spacing w:after="0"/>
              <w:rPr>
                <w:sz w:val="16"/>
                <w:szCs w:val="16"/>
                <w:color w:val="auto"/>
              </w:rPr>
            </w:pPr>
          </w:p>
        </w:tc>
        <w:tc>
          <w:tcPr>
            <w:tcW w:w="220" w:type="dxa"/>
            <w:vAlign w:val="bottom"/>
            <w:shd w:val="clear" w:color="auto" w:fill="CCEEFF"/>
          </w:tcPr>
          <w:p>
            <w:pPr>
              <w:spacing w:after="0"/>
              <w:rPr>
                <w:sz w:val="16"/>
                <w:szCs w:val="16"/>
                <w:color w:val="auto"/>
              </w:rPr>
            </w:pPr>
          </w:p>
        </w:tc>
        <w:tc>
          <w:tcPr>
            <w:tcW w:w="1160" w:type="dxa"/>
            <w:vAlign w:val="bottom"/>
            <w:shd w:val="clear" w:color="auto" w:fill="CCEEFF"/>
          </w:tcPr>
          <w:p>
            <w:pPr>
              <w:spacing w:after="0"/>
              <w:rPr>
                <w:sz w:val="16"/>
                <w:szCs w:val="16"/>
                <w:color w:val="auto"/>
              </w:rPr>
            </w:pPr>
          </w:p>
        </w:tc>
        <w:tc>
          <w:tcPr>
            <w:tcW w:w="220" w:type="dxa"/>
            <w:vAlign w:val="bottom"/>
            <w:shd w:val="clear" w:color="auto" w:fill="CCEEFF"/>
          </w:tcPr>
          <w:p>
            <w:pPr>
              <w:spacing w:after="0"/>
              <w:rPr>
                <w:sz w:val="16"/>
                <w:szCs w:val="16"/>
                <w:color w:val="auto"/>
              </w:rPr>
            </w:pPr>
          </w:p>
        </w:tc>
        <w:tc>
          <w:tcPr>
            <w:tcW w:w="200" w:type="dxa"/>
            <w:vAlign w:val="bottom"/>
            <w:shd w:val="clear" w:color="auto" w:fill="CCEEFF"/>
          </w:tcPr>
          <w:p>
            <w:pPr>
              <w:spacing w:after="0"/>
              <w:rPr>
                <w:sz w:val="16"/>
                <w:szCs w:val="16"/>
                <w:color w:val="auto"/>
              </w:rPr>
            </w:pPr>
          </w:p>
        </w:tc>
        <w:tc>
          <w:tcPr>
            <w:tcW w:w="116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bl>
    <w:p>
      <w:pPr>
        <w:sectPr>
          <w:pgSz w:w="11900" w:h="16900" w:orient="portrait"/>
          <w:cols w:equalWidth="0" w:num="1">
            <w:col w:w="11440"/>
          </w:cols>
          <w:pgMar w:left="240" w:top="576" w:right="219" w:bottom="0" w:gutter="0" w:footer="0" w:header="0"/>
        </w:sectPr>
      </w:pPr>
    </w:p>
    <w:bookmarkStart w:id="4" w:name="page5"/>
    <w:bookmarkEnd w:id="4"/>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ind w:left="260"/>
              <w:spacing w:after="0"/>
              <w:rPr>
                <w:sz w:val="20"/>
                <w:szCs w:val="20"/>
                <w:color w:val="auto"/>
              </w:rPr>
            </w:pPr>
            <w:r>
              <w:rPr>
                <w:rFonts w:ascii="Times New Roman" w:cs="Times New Roman" w:eastAsia="Times New Roman" w:hAnsi="Times New Roman"/>
                <w:sz w:val="18"/>
                <w:szCs w:val="18"/>
                <w:color w:val="auto"/>
              </w:rPr>
              <w:t>Research and development</w:t>
            </w:r>
          </w:p>
        </w:tc>
        <w:tc>
          <w:tcPr>
            <w:tcW w:w="44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77,689</w:t>
            </w: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66,378</w:t>
            </w:r>
          </w:p>
        </w:tc>
        <w:tc>
          <w:tcPr>
            <w:tcW w:w="4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222,751</w:t>
            </w:r>
          </w:p>
        </w:tc>
        <w:tc>
          <w:tcPr>
            <w:tcW w:w="420" w:type="dxa"/>
            <w:vAlign w:val="bottom"/>
            <w:shd w:val="clear" w:color="auto" w:fill="CCEEFF"/>
          </w:tcPr>
          <w:p>
            <w:pPr>
              <w:spacing w:after="0"/>
              <w:rPr>
                <w:sz w:val="18"/>
                <w:szCs w:val="18"/>
                <w:color w:val="auto"/>
              </w:rPr>
            </w:pPr>
          </w:p>
        </w:tc>
        <w:tc>
          <w:tcPr>
            <w:tcW w:w="960" w:type="dxa"/>
            <w:vAlign w:val="bottom"/>
            <w:tcBorders>
              <w:right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193,686</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Selling and marketing</w:t>
            </w:r>
          </w:p>
        </w:tc>
        <w:tc>
          <w:tcPr>
            <w:tcW w:w="44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21,634</w:t>
            </w: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19,381</w:t>
            </w:r>
          </w:p>
        </w:tc>
        <w:tc>
          <w:tcPr>
            <w:tcW w:w="440" w:type="dxa"/>
            <w:vAlign w:val="bottom"/>
          </w:tcPr>
          <w:p>
            <w:pPr>
              <w:spacing w:after="0"/>
              <w:rPr>
                <w:sz w:val="18"/>
                <w:szCs w:val="18"/>
                <w:color w:val="auto"/>
              </w:rPr>
            </w:pPr>
          </w:p>
        </w:tc>
        <w:tc>
          <w:tcPr>
            <w:tcW w:w="11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63,898</w:t>
            </w:r>
          </w:p>
        </w:tc>
        <w:tc>
          <w:tcPr>
            <w:tcW w:w="42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57,966</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ind w:left="260"/>
              <w:spacing w:after="0"/>
              <w:rPr>
                <w:sz w:val="20"/>
                <w:szCs w:val="20"/>
                <w:color w:val="auto"/>
              </w:rPr>
            </w:pPr>
            <w:r>
              <w:rPr>
                <w:rFonts w:ascii="Times New Roman" w:cs="Times New Roman" w:eastAsia="Times New Roman" w:hAnsi="Times New Roman"/>
                <w:sz w:val="18"/>
                <w:szCs w:val="18"/>
                <w:color w:val="auto"/>
              </w:rPr>
              <w:t>General and administrative</w:t>
            </w:r>
          </w:p>
        </w:tc>
        <w:tc>
          <w:tcPr>
            <w:tcW w:w="44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9,029</w:t>
            </w: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9,330</w:t>
            </w:r>
          </w:p>
        </w:tc>
        <w:tc>
          <w:tcPr>
            <w:tcW w:w="4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24,107</w:t>
            </w:r>
          </w:p>
        </w:tc>
        <w:tc>
          <w:tcPr>
            <w:tcW w:w="420" w:type="dxa"/>
            <w:vAlign w:val="bottom"/>
            <w:shd w:val="clear" w:color="auto" w:fill="CCEEFF"/>
          </w:tcPr>
          <w:p>
            <w:pPr>
              <w:spacing w:after="0"/>
              <w:rPr>
                <w:sz w:val="18"/>
                <w:szCs w:val="18"/>
                <w:color w:val="auto"/>
              </w:rPr>
            </w:pPr>
          </w:p>
        </w:tc>
        <w:tc>
          <w:tcPr>
            <w:tcW w:w="960" w:type="dxa"/>
            <w:vAlign w:val="bottom"/>
            <w:tcBorders>
              <w:right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23,829</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40" w:type="dxa"/>
            <w:vAlign w:val="bottom"/>
            <w:tcBorders>
              <w:bottom w:val="single" w:sz="8" w:color="CCEEFF"/>
            </w:tcBorders>
          </w:tcPr>
          <w:p>
            <w:pPr>
              <w:ind w:left="520"/>
              <w:spacing w:after="0"/>
              <w:rPr>
                <w:sz w:val="20"/>
                <w:szCs w:val="20"/>
                <w:color w:val="auto"/>
              </w:rPr>
            </w:pPr>
            <w:r>
              <w:rPr>
                <w:rFonts w:ascii="Times New Roman" w:cs="Times New Roman" w:eastAsia="Times New Roman" w:hAnsi="Times New Roman"/>
                <w:sz w:val="18"/>
                <w:szCs w:val="18"/>
                <w:color w:val="auto"/>
              </w:rPr>
              <w:t>Total operating expenses</w:t>
            </w:r>
          </w:p>
        </w:tc>
        <w:tc>
          <w:tcPr>
            <w:tcW w:w="44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108,352</w:t>
            </w:r>
          </w:p>
        </w:tc>
        <w:tc>
          <w:tcPr>
            <w:tcW w:w="10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44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95,089</w:t>
            </w:r>
          </w:p>
        </w:tc>
        <w:tc>
          <w:tcPr>
            <w:tcW w:w="220" w:type="dxa"/>
            <w:vAlign w:val="bottom"/>
            <w:tcBorders>
              <w:bottom w:val="single" w:sz="8" w:color="CCEEFF"/>
            </w:tcBorders>
          </w:tcPr>
          <w:p>
            <w:pPr>
              <w:spacing w:after="0"/>
              <w:rPr>
                <w:sz w:val="18"/>
                <w:szCs w:val="18"/>
                <w:color w:val="auto"/>
              </w:rPr>
            </w:pPr>
          </w:p>
        </w:tc>
        <w:tc>
          <w:tcPr>
            <w:tcW w:w="44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310,756</w:t>
            </w:r>
          </w:p>
        </w:tc>
        <w:tc>
          <w:tcPr>
            <w:tcW w:w="220" w:type="dxa"/>
            <w:vAlign w:val="bottom"/>
            <w:tcBorders>
              <w:bottom w:val="single" w:sz="8" w:color="CCEEFF"/>
            </w:tcBorders>
          </w:tcPr>
          <w:p>
            <w:pPr>
              <w:spacing w:after="0"/>
              <w:rPr>
                <w:sz w:val="18"/>
                <w:szCs w:val="18"/>
                <w:color w:val="auto"/>
              </w:rPr>
            </w:pPr>
          </w:p>
        </w:tc>
        <w:tc>
          <w:tcPr>
            <w:tcW w:w="420" w:type="dxa"/>
            <w:vAlign w:val="bottom"/>
            <w:tcBorders>
              <w:top w:val="single" w:sz="8" w:color="auto"/>
              <w:bottom w:val="single" w:sz="8" w:color="auto"/>
            </w:tcBorders>
          </w:tcPr>
          <w:p>
            <w:pPr>
              <w:spacing w:after="0"/>
              <w:rPr>
                <w:sz w:val="18"/>
                <w:szCs w:val="18"/>
                <w:color w:val="auto"/>
              </w:rPr>
            </w:pPr>
          </w:p>
        </w:tc>
        <w:tc>
          <w:tcPr>
            <w:tcW w:w="9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275,481</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Operating income</w:t>
            </w:r>
          </w:p>
        </w:tc>
        <w:tc>
          <w:tcPr>
            <w:tcW w:w="44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120,597</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72,234</w:t>
            </w:r>
          </w:p>
        </w:tc>
        <w:tc>
          <w:tcPr>
            <w:tcW w:w="2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314,527</w:t>
            </w:r>
          </w:p>
        </w:tc>
        <w:tc>
          <w:tcPr>
            <w:tcW w:w="2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960" w:type="dxa"/>
            <w:vAlign w:val="bottom"/>
            <w:tcBorders>
              <w:right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189,832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Times New Roman" w:cs="Times New Roman" w:eastAsia="Times New Roman" w:hAnsi="Times New Roman"/>
                <w:sz w:val="18"/>
                <w:szCs w:val="18"/>
                <w:color w:val="auto"/>
              </w:rPr>
              <w:t>Interest and other income, net</w:t>
            </w:r>
          </w:p>
        </w:tc>
        <w:tc>
          <w:tcPr>
            <w:tcW w:w="44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5,244</w:t>
            </w: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1,770</w:t>
            </w:r>
          </w:p>
        </w:tc>
        <w:tc>
          <w:tcPr>
            <w:tcW w:w="440" w:type="dxa"/>
            <w:vAlign w:val="bottom"/>
          </w:tcPr>
          <w:p>
            <w:pPr>
              <w:spacing w:after="0"/>
              <w:rPr>
                <w:sz w:val="18"/>
                <w:szCs w:val="18"/>
                <w:color w:val="auto"/>
              </w:rPr>
            </w:pPr>
          </w:p>
        </w:tc>
        <w:tc>
          <w:tcPr>
            <w:tcW w:w="11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13,240</w:t>
            </w:r>
          </w:p>
        </w:tc>
        <w:tc>
          <w:tcPr>
            <w:tcW w:w="42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5,058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4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Income before income taxes</w:t>
            </w:r>
          </w:p>
        </w:tc>
        <w:tc>
          <w:tcPr>
            <w:tcW w:w="44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125,841</w:t>
            </w: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44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74,004</w:t>
            </w:r>
          </w:p>
        </w:tc>
        <w:tc>
          <w:tcPr>
            <w:tcW w:w="220" w:type="dxa"/>
            <w:vAlign w:val="bottom"/>
            <w:tcBorders>
              <w:top w:val="single" w:sz="8" w:color="CCEEFF"/>
            </w:tcBorders>
            <w:shd w:val="clear" w:color="auto" w:fill="CCEEFF"/>
          </w:tcPr>
          <w:p>
            <w:pPr>
              <w:spacing w:after="0"/>
              <w:rPr>
                <w:sz w:val="18"/>
                <w:szCs w:val="18"/>
                <w:color w:val="auto"/>
              </w:rPr>
            </w:pPr>
          </w:p>
        </w:tc>
        <w:tc>
          <w:tcPr>
            <w:tcW w:w="44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327,767</w:t>
            </w:r>
          </w:p>
        </w:tc>
        <w:tc>
          <w:tcPr>
            <w:tcW w:w="220" w:type="dxa"/>
            <w:vAlign w:val="bottom"/>
            <w:tcBorders>
              <w:top w:val="single" w:sz="8" w:color="CCEEFF"/>
            </w:tcBorders>
            <w:shd w:val="clear" w:color="auto" w:fill="CCEEFF"/>
          </w:tcPr>
          <w:p>
            <w:pPr>
              <w:spacing w:after="0"/>
              <w:rPr>
                <w:sz w:val="18"/>
                <w:szCs w:val="18"/>
                <w:color w:val="auto"/>
              </w:rPr>
            </w:pPr>
          </w:p>
        </w:tc>
        <w:tc>
          <w:tcPr>
            <w:tcW w:w="420" w:type="dxa"/>
            <w:vAlign w:val="bottom"/>
            <w:tcBorders>
              <w:top w:val="single" w:sz="8" w:color="auto"/>
            </w:tcBorders>
            <w:shd w:val="clear" w:color="auto" w:fill="CCEEFF"/>
          </w:tcPr>
          <w:p>
            <w:pPr>
              <w:spacing w:after="0"/>
              <w:rPr>
                <w:sz w:val="18"/>
                <w:szCs w:val="18"/>
                <w:color w:val="auto"/>
              </w:rPr>
            </w:pPr>
          </w:p>
        </w:tc>
        <w:tc>
          <w:tcPr>
            <w:tcW w:w="960" w:type="dxa"/>
            <w:vAlign w:val="bottom"/>
            <w:tcBorders>
              <w:top w:val="single" w:sz="8" w:color="auto"/>
              <w:right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194,890</w:t>
            </w: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Times New Roman" w:cs="Times New Roman" w:eastAsia="Times New Roman" w:hAnsi="Times New Roman"/>
                <w:sz w:val="18"/>
                <w:szCs w:val="18"/>
                <w:color w:val="auto"/>
              </w:rPr>
              <w:t>Provision for income taxes</w:t>
            </w:r>
          </w:p>
        </w:tc>
        <w:tc>
          <w:tcPr>
            <w:tcW w:w="44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12,584</w:t>
            </w: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7,400</w:t>
            </w:r>
          </w:p>
        </w:tc>
        <w:tc>
          <w:tcPr>
            <w:tcW w:w="440" w:type="dxa"/>
            <w:vAlign w:val="bottom"/>
          </w:tcPr>
          <w:p>
            <w:pPr>
              <w:spacing w:after="0"/>
              <w:rPr>
                <w:sz w:val="18"/>
                <w:szCs w:val="18"/>
                <w:color w:val="auto"/>
              </w:rPr>
            </w:pPr>
          </w:p>
        </w:tc>
        <w:tc>
          <w:tcPr>
            <w:tcW w:w="11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32,776</w:t>
            </w:r>
          </w:p>
        </w:tc>
        <w:tc>
          <w:tcPr>
            <w:tcW w:w="42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19,488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140" w:type="dxa"/>
            <w:vAlign w:val="bottom"/>
            <w:tcBorders>
              <w:top w:val="single" w:sz="8" w:color="CCEEFF"/>
              <w:bottom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Pro forma net income</w:t>
            </w:r>
          </w:p>
        </w:tc>
        <w:tc>
          <w:tcPr>
            <w:tcW w:w="440" w:type="dxa"/>
            <w:vAlign w:val="bottom"/>
            <w:tcBorders>
              <w:top w:val="single" w:sz="8" w:color="auto"/>
              <w:bottom w:val="single" w:sz="8" w:color="auto"/>
            </w:tcBorders>
            <w:shd w:val="clear" w:color="auto" w:fill="CCEEFF"/>
          </w:tcPr>
          <w:p>
            <w:pPr>
              <w:jc w:val="right"/>
              <w:ind w:right="275"/>
              <w:spacing w:after="0"/>
              <w:rPr>
                <w:sz w:val="20"/>
                <w:szCs w:val="20"/>
                <w:color w:val="auto"/>
              </w:rPr>
            </w:pPr>
            <w:r>
              <w:rPr>
                <w:rFonts w:ascii="Times New Roman" w:cs="Times New Roman" w:eastAsia="Times New Roman" w:hAnsi="Times New Roman"/>
                <w:sz w:val="17"/>
                <w:szCs w:val="17"/>
                <w:color w:val="auto"/>
                <w:w w:val="70"/>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113,257</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440" w:type="dxa"/>
            <w:vAlign w:val="bottom"/>
            <w:tcBorders>
              <w:top w:val="single" w:sz="8" w:color="auto"/>
              <w:bottom w:val="single" w:sz="8" w:color="auto"/>
            </w:tcBorders>
            <w:shd w:val="clear" w:color="auto" w:fill="CCEEFF"/>
          </w:tcPr>
          <w:p>
            <w:pPr>
              <w:jc w:val="right"/>
              <w:ind w:right="250"/>
              <w:spacing w:after="0"/>
              <w:rPr>
                <w:sz w:val="20"/>
                <w:szCs w:val="20"/>
                <w:color w:val="auto"/>
              </w:rPr>
            </w:pPr>
            <w:r>
              <w:rPr>
                <w:rFonts w:ascii="Times New Roman" w:cs="Times New Roman" w:eastAsia="Times New Roman" w:hAnsi="Times New Roman"/>
                <w:sz w:val="18"/>
                <w:szCs w:val="18"/>
                <w:color w:val="auto"/>
                <w:w w:val="88"/>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66,604</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440" w:type="dxa"/>
            <w:vAlign w:val="bottom"/>
            <w:tcBorders>
              <w:top w:val="single" w:sz="8" w:color="auto"/>
              <w:bottom w:val="single" w:sz="8" w:color="auto"/>
            </w:tcBorders>
            <w:shd w:val="clear" w:color="auto" w:fill="CCEEFF"/>
          </w:tcPr>
          <w:p>
            <w:pPr>
              <w:jc w:val="right"/>
              <w:ind w:right="250"/>
              <w:spacing w:after="0"/>
              <w:rPr>
                <w:sz w:val="20"/>
                <w:szCs w:val="20"/>
                <w:color w:val="auto"/>
              </w:rPr>
            </w:pPr>
            <w:r>
              <w:rPr>
                <w:rFonts w:ascii="Times New Roman" w:cs="Times New Roman" w:eastAsia="Times New Roman" w:hAnsi="Times New Roman"/>
                <w:sz w:val="18"/>
                <w:szCs w:val="18"/>
                <w:color w:val="auto"/>
                <w:w w:val="88"/>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294,991</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420" w:type="dxa"/>
            <w:vAlign w:val="bottom"/>
            <w:tcBorders>
              <w:top w:val="single" w:sz="8" w:color="auto"/>
              <w:bottom w:val="single" w:sz="8" w:color="auto"/>
            </w:tcBorders>
            <w:shd w:val="clear" w:color="auto" w:fill="CCEEFF"/>
          </w:tcPr>
          <w:p>
            <w:pPr>
              <w:jc w:val="right"/>
              <w:ind w:right="230"/>
              <w:spacing w:after="0"/>
              <w:rPr>
                <w:sz w:val="20"/>
                <w:szCs w:val="20"/>
                <w:color w:val="auto"/>
              </w:rPr>
            </w:pPr>
            <w:r>
              <w:rPr>
                <w:rFonts w:ascii="Times New Roman" w:cs="Times New Roman" w:eastAsia="Times New Roman" w:hAnsi="Times New Roman"/>
                <w:sz w:val="18"/>
                <w:szCs w:val="18"/>
                <w:color w:val="auto"/>
                <w:w w:val="88"/>
              </w:rPr>
              <w:t>$</w:t>
            </w:r>
          </w:p>
        </w:tc>
        <w:tc>
          <w:tcPr>
            <w:tcW w:w="960" w:type="dxa"/>
            <w:vAlign w:val="bottom"/>
            <w:tcBorders>
              <w:top w:val="single" w:sz="8" w:color="auto"/>
              <w:bottom w:val="single" w:sz="8" w:color="auto"/>
              <w:right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175,402</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51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Basic pro forma net income per share</w:t>
            </w:r>
          </w:p>
        </w:tc>
        <w:tc>
          <w:tcPr>
            <w:tcW w:w="440" w:type="dxa"/>
            <w:vAlign w:val="bottom"/>
            <w:shd w:val="clear" w:color="auto" w:fill="CCEEFF"/>
          </w:tcPr>
          <w:p>
            <w:pPr>
              <w:jc w:val="right"/>
              <w:ind w:right="275"/>
              <w:spacing w:after="0"/>
              <w:rPr>
                <w:sz w:val="20"/>
                <w:szCs w:val="20"/>
                <w:color w:val="auto"/>
              </w:rPr>
            </w:pPr>
            <w:r>
              <w:rPr>
                <w:rFonts w:ascii="Times New Roman" w:cs="Times New Roman" w:eastAsia="Times New Roman" w:hAnsi="Times New Roman"/>
                <w:sz w:val="17"/>
                <w:szCs w:val="17"/>
                <w:color w:val="auto"/>
                <w:w w:val="70"/>
              </w:rPr>
              <w:t>$</w:t>
            </w: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0.40</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jc w:val="right"/>
              <w:ind w:right="250"/>
              <w:spacing w:after="0"/>
              <w:rPr>
                <w:sz w:val="20"/>
                <w:szCs w:val="20"/>
                <w:color w:val="auto"/>
              </w:rPr>
            </w:pPr>
            <w:r>
              <w:rPr>
                <w:rFonts w:ascii="Times New Roman" w:cs="Times New Roman" w:eastAsia="Times New Roman" w:hAnsi="Times New Roman"/>
                <w:sz w:val="18"/>
                <w:szCs w:val="18"/>
                <w:color w:val="auto"/>
                <w:w w:val="88"/>
              </w:rPr>
              <w:t>$</w:t>
            </w: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0.25</w:t>
            </w:r>
          </w:p>
        </w:tc>
        <w:tc>
          <w:tcPr>
            <w:tcW w:w="220" w:type="dxa"/>
            <w:vAlign w:val="bottom"/>
            <w:shd w:val="clear" w:color="auto" w:fill="CCEEFF"/>
          </w:tcPr>
          <w:p>
            <w:pPr>
              <w:spacing w:after="0"/>
              <w:rPr>
                <w:sz w:val="18"/>
                <w:szCs w:val="18"/>
                <w:color w:val="auto"/>
              </w:rPr>
            </w:pPr>
          </w:p>
        </w:tc>
        <w:tc>
          <w:tcPr>
            <w:tcW w:w="440" w:type="dxa"/>
            <w:vAlign w:val="bottom"/>
            <w:shd w:val="clear" w:color="auto" w:fill="CCEEFF"/>
          </w:tcPr>
          <w:p>
            <w:pPr>
              <w:jc w:val="right"/>
              <w:ind w:right="250"/>
              <w:spacing w:after="0"/>
              <w:rPr>
                <w:sz w:val="20"/>
                <w:szCs w:val="20"/>
                <w:color w:val="auto"/>
              </w:rPr>
            </w:pPr>
            <w:r>
              <w:rPr>
                <w:rFonts w:ascii="Times New Roman" w:cs="Times New Roman" w:eastAsia="Times New Roman" w:hAnsi="Times New Roman"/>
                <w:sz w:val="18"/>
                <w:szCs w:val="18"/>
                <w:color w:val="auto"/>
                <w:w w:val="88"/>
              </w:rPr>
              <w:t>$</w:t>
            </w:r>
          </w:p>
        </w:tc>
        <w:tc>
          <w:tcPr>
            <w:tcW w:w="116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1.05</w:t>
            </w:r>
          </w:p>
        </w:tc>
        <w:tc>
          <w:tcPr>
            <w:tcW w:w="420" w:type="dxa"/>
            <w:vAlign w:val="bottom"/>
            <w:shd w:val="clear" w:color="auto" w:fill="CCEEFF"/>
          </w:tcPr>
          <w:p>
            <w:pPr>
              <w:jc w:val="right"/>
              <w:ind w:right="230"/>
              <w:spacing w:after="0"/>
              <w:rPr>
                <w:sz w:val="20"/>
                <w:szCs w:val="20"/>
                <w:color w:val="auto"/>
              </w:rPr>
            </w:pPr>
            <w:r>
              <w:rPr>
                <w:rFonts w:ascii="Times New Roman" w:cs="Times New Roman" w:eastAsia="Times New Roman" w:hAnsi="Times New Roman"/>
                <w:sz w:val="18"/>
                <w:szCs w:val="18"/>
                <w:color w:val="auto"/>
                <w:w w:val="88"/>
              </w:rPr>
              <w:t>$</w:t>
            </w:r>
          </w:p>
        </w:tc>
        <w:tc>
          <w:tcPr>
            <w:tcW w:w="960" w:type="dxa"/>
            <w:vAlign w:val="bottom"/>
            <w:tcBorders>
              <w:right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0.66</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140" w:type="dxa"/>
            <w:vAlign w:val="bottom"/>
            <w:shd w:val="clear" w:color="auto" w:fill="CCEEFF"/>
          </w:tcPr>
          <w:p>
            <w:pPr>
              <w:spacing w:after="0" w:line="20" w:lineRule="exact"/>
              <w:rPr>
                <w:sz w:val="1"/>
                <w:szCs w:val="1"/>
                <w:color w:val="auto"/>
              </w:rPr>
            </w:pPr>
          </w:p>
        </w:tc>
        <w:tc>
          <w:tcPr>
            <w:tcW w:w="440" w:type="dxa"/>
            <w:vAlign w:val="bottom"/>
            <w:tcBorders>
              <w:bottom w:val="single" w:sz="8" w:color="auto"/>
            </w:tcBorders>
            <w:shd w:val="clear" w:color="auto" w:fill="000000"/>
          </w:tcPr>
          <w:p>
            <w:pPr>
              <w:spacing w:after="0" w:line="20" w:lineRule="exact"/>
              <w:rPr>
                <w:sz w:val="1"/>
                <w:szCs w:val="1"/>
                <w:color w:val="auto"/>
              </w:rPr>
            </w:pPr>
          </w:p>
        </w:tc>
        <w:tc>
          <w:tcPr>
            <w:tcW w:w="940" w:type="dxa"/>
            <w:vAlign w:val="bottom"/>
            <w:tcBorders>
              <w:bottom w:val="single" w:sz="8" w:color="auto"/>
            </w:tcBorders>
            <w:shd w:val="clear" w:color="auto" w:fill="000000"/>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440" w:type="dxa"/>
            <w:vAlign w:val="bottom"/>
            <w:tcBorders>
              <w:bottom w:val="single" w:sz="8" w:color="auto"/>
            </w:tcBorders>
            <w:shd w:val="clear" w:color="auto" w:fill="000000"/>
          </w:tcPr>
          <w:p>
            <w:pPr>
              <w:spacing w:after="0" w:line="20" w:lineRule="exact"/>
              <w:rPr>
                <w:sz w:val="1"/>
                <w:szCs w:val="1"/>
                <w:color w:val="auto"/>
              </w:rPr>
            </w:pPr>
          </w:p>
        </w:tc>
        <w:tc>
          <w:tcPr>
            <w:tcW w:w="940" w:type="dxa"/>
            <w:vAlign w:val="bottom"/>
            <w:tcBorders>
              <w:bottom w:val="single" w:sz="8" w:color="auto"/>
            </w:tcBorders>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440" w:type="dxa"/>
            <w:vAlign w:val="bottom"/>
            <w:tcBorders>
              <w:bottom w:val="single" w:sz="8" w:color="auto"/>
            </w:tcBorders>
            <w:shd w:val="clear" w:color="auto" w:fill="000000"/>
          </w:tcPr>
          <w:p>
            <w:pPr>
              <w:spacing w:after="0" w:line="20" w:lineRule="exact"/>
              <w:rPr>
                <w:sz w:val="1"/>
                <w:szCs w:val="1"/>
                <w:color w:val="auto"/>
              </w:rPr>
            </w:pPr>
          </w:p>
        </w:tc>
        <w:tc>
          <w:tcPr>
            <w:tcW w:w="940" w:type="dxa"/>
            <w:vAlign w:val="bottom"/>
            <w:tcBorders>
              <w:bottom w:val="single" w:sz="8" w:color="auto"/>
            </w:tcBorders>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420" w:type="dxa"/>
            <w:vAlign w:val="bottom"/>
            <w:tcBorders>
              <w:bottom w:val="single" w:sz="8" w:color="auto"/>
            </w:tcBorders>
            <w:shd w:val="clear" w:color="auto" w:fill="000000"/>
          </w:tcPr>
          <w:p>
            <w:pPr>
              <w:spacing w:after="0" w:line="20" w:lineRule="exact"/>
              <w:rPr>
                <w:sz w:val="1"/>
                <w:szCs w:val="1"/>
                <w:color w:val="auto"/>
              </w:rPr>
            </w:pPr>
          </w:p>
        </w:tc>
        <w:tc>
          <w:tcPr>
            <w:tcW w:w="960" w:type="dxa"/>
            <w:vAlign w:val="bottom"/>
            <w:tcBorders>
              <w:bottom w:val="single" w:sz="8" w:color="auto"/>
              <w:right w:val="single" w:sz="8" w:color="CCEEFF"/>
            </w:tcBorders>
            <w:shd w:val="clear" w:color="auto" w:fill="000000"/>
          </w:tcPr>
          <w:p>
            <w:pPr>
              <w:spacing w:after="0" w:line="20" w:lineRule="exact"/>
              <w:rPr>
                <w:sz w:val="1"/>
                <w:szCs w:val="1"/>
                <w:color w:val="auto"/>
              </w:rPr>
            </w:pPr>
          </w:p>
        </w:tc>
        <w:tc>
          <w:tcPr>
            <w:tcW w:w="8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160" w:type="dxa"/>
            <w:vAlign w:val="bottom"/>
            <w:gridSpan w:val="2"/>
          </w:tcPr>
          <w:p>
            <w:pPr>
              <w:spacing w:after="0" w:line="203" w:lineRule="exact"/>
              <w:rPr>
                <w:sz w:val="20"/>
                <w:szCs w:val="20"/>
                <w:color w:val="auto"/>
              </w:rPr>
            </w:pPr>
            <w:r>
              <w:rPr>
                <w:rFonts w:ascii="Times New Roman" w:cs="Times New Roman" w:eastAsia="Times New Roman" w:hAnsi="Times New Roman"/>
                <w:sz w:val="18"/>
                <w:szCs w:val="18"/>
                <w:color w:val="auto"/>
              </w:rPr>
              <w:t>Diluted pro forma net income per share</w:t>
            </w:r>
          </w:p>
        </w:tc>
        <w:tc>
          <w:tcPr>
            <w:tcW w:w="440" w:type="dxa"/>
            <w:vAlign w:val="bottom"/>
          </w:tcPr>
          <w:p>
            <w:pPr>
              <w:jc w:val="right"/>
              <w:ind w:right="275"/>
              <w:spacing w:after="0"/>
              <w:rPr>
                <w:sz w:val="20"/>
                <w:szCs w:val="20"/>
                <w:color w:val="auto"/>
              </w:rPr>
            </w:pPr>
            <w:r>
              <w:rPr>
                <w:rFonts w:ascii="Times New Roman" w:cs="Times New Roman" w:eastAsia="Times New Roman" w:hAnsi="Times New Roman"/>
                <w:sz w:val="17"/>
                <w:szCs w:val="17"/>
                <w:color w:val="auto"/>
                <w:w w:val="70"/>
              </w:rPr>
              <w:t>$</w:t>
            </w:r>
          </w:p>
        </w:tc>
        <w:tc>
          <w:tcPr>
            <w:tcW w:w="940" w:type="dxa"/>
            <w:vAlign w:val="bottom"/>
          </w:tcPr>
          <w:p>
            <w:pPr>
              <w:jc w:val="right"/>
              <w:spacing w:after="0" w:line="203" w:lineRule="exact"/>
              <w:rPr>
                <w:sz w:val="20"/>
                <w:szCs w:val="20"/>
                <w:color w:val="auto"/>
              </w:rPr>
            </w:pPr>
            <w:r>
              <w:rPr>
                <w:rFonts w:ascii="Times New Roman" w:cs="Times New Roman" w:eastAsia="Times New Roman" w:hAnsi="Times New Roman"/>
                <w:sz w:val="18"/>
                <w:szCs w:val="18"/>
                <w:color w:val="auto"/>
              </w:rPr>
              <w:t>0.36</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jc w:val="right"/>
              <w:ind w:right="250"/>
              <w:spacing w:after="0" w:line="203" w:lineRule="exact"/>
              <w:rPr>
                <w:sz w:val="20"/>
                <w:szCs w:val="20"/>
                <w:color w:val="auto"/>
              </w:rPr>
            </w:pPr>
            <w:r>
              <w:rPr>
                <w:rFonts w:ascii="Times New Roman" w:cs="Times New Roman" w:eastAsia="Times New Roman" w:hAnsi="Times New Roman"/>
                <w:sz w:val="18"/>
                <w:szCs w:val="18"/>
                <w:color w:val="auto"/>
                <w:w w:val="88"/>
              </w:rPr>
              <w:t>$</w:t>
            </w:r>
          </w:p>
        </w:tc>
        <w:tc>
          <w:tcPr>
            <w:tcW w:w="940" w:type="dxa"/>
            <w:vAlign w:val="bottom"/>
          </w:tcPr>
          <w:p>
            <w:pPr>
              <w:jc w:val="right"/>
              <w:spacing w:after="0" w:line="203" w:lineRule="exact"/>
              <w:rPr>
                <w:sz w:val="20"/>
                <w:szCs w:val="20"/>
                <w:color w:val="auto"/>
              </w:rPr>
            </w:pPr>
            <w:r>
              <w:rPr>
                <w:rFonts w:ascii="Times New Roman" w:cs="Times New Roman" w:eastAsia="Times New Roman" w:hAnsi="Times New Roman"/>
                <w:sz w:val="18"/>
                <w:szCs w:val="18"/>
                <w:color w:val="auto"/>
              </w:rPr>
              <w:t>0.22</w:t>
            </w:r>
          </w:p>
        </w:tc>
        <w:tc>
          <w:tcPr>
            <w:tcW w:w="220" w:type="dxa"/>
            <w:vAlign w:val="bottom"/>
          </w:tcPr>
          <w:p>
            <w:pPr>
              <w:spacing w:after="0"/>
              <w:rPr>
                <w:sz w:val="18"/>
                <w:szCs w:val="18"/>
                <w:color w:val="auto"/>
              </w:rPr>
            </w:pPr>
          </w:p>
        </w:tc>
        <w:tc>
          <w:tcPr>
            <w:tcW w:w="440" w:type="dxa"/>
            <w:vAlign w:val="bottom"/>
          </w:tcPr>
          <w:p>
            <w:pPr>
              <w:jc w:val="right"/>
              <w:ind w:right="250"/>
              <w:spacing w:after="0" w:line="203" w:lineRule="exact"/>
              <w:rPr>
                <w:sz w:val="20"/>
                <w:szCs w:val="20"/>
                <w:color w:val="auto"/>
              </w:rPr>
            </w:pPr>
            <w:r>
              <w:rPr>
                <w:rFonts w:ascii="Times New Roman" w:cs="Times New Roman" w:eastAsia="Times New Roman" w:hAnsi="Times New Roman"/>
                <w:sz w:val="18"/>
                <w:szCs w:val="18"/>
                <w:color w:val="auto"/>
                <w:w w:val="88"/>
              </w:rPr>
              <w:t>$</w:t>
            </w:r>
          </w:p>
        </w:tc>
        <w:tc>
          <w:tcPr>
            <w:tcW w:w="940" w:type="dxa"/>
            <w:vAlign w:val="bottom"/>
          </w:tcPr>
          <w:p>
            <w:pPr>
              <w:jc w:val="right"/>
              <w:spacing w:after="0" w:line="203" w:lineRule="exact"/>
              <w:rPr>
                <w:sz w:val="20"/>
                <w:szCs w:val="20"/>
                <w:color w:val="auto"/>
              </w:rPr>
            </w:pPr>
            <w:r>
              <w:rPr>
                <w:rFonts w:ascii="Times New Roman" w:cs="Times New Roman" w:eastAsia="Times New Roman" w:hAnsi="Times New Roman"/>
                <w:sz w:val="18"/>
                <w:szCs w:val="18"/>
                <w:color w:val="auto"/>
              </w:rPr>
              <w:t>0.94</w:t>
            </w:r>
          </w:p>
        </w:tc>
        <w:tc>
          <w:tcPr>
            <w:tcW w:w="220" w:type="dxa"/>
            <w:vAlign w:val="bottom"/>
          </w:tcPr>
          <w:p>
            <w:pPr>
              <w:spacing w:after="0"/>
              <w:rPr>
                <w:sz w:val="18"/>
                <w:szCs w:val="18"/>
                <w:color w:val="auto"/>
              </w:rPr>
            </w:pPr>
          </w:p>
        </w:tc>
        <w:tc>
          <w:tcPr>
            <w:tcW w:w="420" w:type="dxa"/>
            <w:vAlign w:val="bottom"/>
          </w:tcPr>
          <w:p>
            <w:pPr>
              <w:jc w:val="right"/>
              <w:ind w:right="230"/>
              <w:spacing w:after="0" w:line="203" w:lineRule="exact"/>
              <w:rPr>
                <w:sz w:val="20"/>
                <w:szCs w:val="20"/>
                <w:color w:val="auto"/>
              </w:rPr>
            </w:pPr>
            <w:r>
              <w:rPr>
                <w:rFonts w:ascii="Times New Roman" w:cs="Times New Roman" w:eastAsia="Times New Roman" w:hAnsi="Times New Roman"/>
                <w:sz w:val="18"/>
                <w:szCs w:val="18"/>
                <w:color w:val="auto"/>
                <w:w w:val="88"/>
              </w:rPr>
              <w:t>$</w:t>
            </w:r>
          </w:p>
        </w:tc>
        <w:tc>
          <w:tcPr>
            <w:tcW w:w="960" w:type="dxa"/>
            <w:vAlign w:val="bottom"/>
          </w:tcPr>
          <w:p>
            <w:pPr>
              <w:jc w:val="right"/>
              <w:spacing w:after="0" w:line="203" w:lineRule="exact"/>
              <w:rPr>
                <w:sz w:val="20"/>
                <w:szCs w:val="20"/>
                <w:color w:val="auto"/>
              </w:rPr>
            </w:pPr>
            <w:r>
              <w:rPr>
                <w:rFonts w:ascii="Times New Roman" w:cs="Times New Roman" w:eastAsia="Times New Roman" w:hAnsi="Times New Roman"/>
                <w:sz w:val="18"/>
                <w:szCs w:val="18"/>
                <w:color w:val="auto"/>
              </w:rPr>
              <w:t>0.59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5140" w:type="dxa"/>
            <w:vAlign w:val="bottom"/>
            <w:tcBorders>
              <w:top w:val="single" w:sz="8" w:color="CCEEFF"/>
            </w:tcBorders>
            <w:shd w:val="clear" w:color="auto" w:fill="CCEEFF"/>
          </w:tcPr>
          <w:p>
            <w:pPr>
              <w:spacing w:after="0"/>
              <w:rPr>
                <w:sz w:val="18"/>
                <w:szCs w:val="18"/>
                <w:color w:val="auto"/>
              </w:rPr>
            </w:pPr>
          </w:p>
        </w:tc>
        <w:tc>
          <w:tcPr>
            <w:tcW w:w="44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44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44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420" w:type="dxa"/>
            <w:vAlign w:val="bottom"/>
            <w:tcBorders>
              <w:top w:val="single" w:sz="8" w:color="auto"/>
            </w:tcBorders>
            <w:shd w:val="clear" w:color="auto" w:fill="CCEEFF"/>
          </w:tcPr>
          <w:p>
            <w:pPr>
              <w:spacing w:after="0"/>
              <w:rPr>
                <w:sz w:val="18"/>
                <w:szCs w:val="18"/>
                <w:color w:val="auto"/>
              </w:rPr>
            </w:pPr>
          </w:p>
        </w:tc>
        <w:tc>
          <w:tcPr>
            <w:tcW w:w="960" w:type="dxa"/>
            <w:vAlign w:val="bottom"/>
            <w:tcBorders>
              <w:top w:val="single" w:sz="8" w:color="auto"/>
              <w:right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40" w:type="dxa"/>
            <w:vAlign w:val="bottom"/>
          </w:tcPr>
          <w:p>
            <w:pPr>
              <w:spacing w:after="0"/>
              <w:rPr>
                <w:sz w:val="20"/>
                <w:szCs w:val="20"/>
                <w:color w:val="auto"/>
              </w:rPr>
            </w:pPr>
            <w:r>
              <w:rPr>
                <w:rFonts w:ascii="Times New Roman" w:cs="Times New Roman" w:eastAsia="Times New Roman" w:hAnsi="Times New Roman"/>
                <w:sz w:val="18"/>
                <w:szCs w:val="18"/>
                <w:color w:val="auto"/>
              </w:rPr>
              <w:t>Weighted average shares — basic</w:t>
            </w:r>
          </w:p>
        </w:tc>
        <w:tc>
          <w:tcPr>
            <w:tcW w:w="44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283,655</w:t>
            </w: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271,069</w:t>
            </w:r>
          </w:p>
        </w:tc>
        <w:tc>
          <w:tcPr>
            <w:tcW w:w="440" w:type="dxa"/>
            <w:vAlign w:val="bottom"/>
          </w:tcPr>
          <w:p>
            <w:pPr>
              <w:spacing w:after="0"/>
              <w:rPr>
                <w:sz w:val="18"/>
                <w:szCs w:val="18"/>
                <w:color w:val="auto"/>
              </w:rPr>
            </w:pPr>
          </w:p>
        </w:tc>
        <w:tc>
          <w:tcPr>
            <w:tcW w:w="11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281,121</w:t>
            </w:r>
          </w:p>
        </w:tc>
        <w:tc>
          <w:tcPr>
            <w:tcW w:w="42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267,731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4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Weighted average shares — diluted</w:t>
            </w:r>
          </w:p>
        </w:tc>
        <w:tc>
          <w:tcPr>
            <w:tcW w:w="440" w:type="dxa"/>
            <w:vAlign w:val="bottom"/>
            <w:tcBorders>
              <w:top w:val="single" w:sz="8" w:color="auto"/>
              <w:bottom w:val="single" w:sz="8" w:color="auto"/>
            </w:tcBorders>
            <w:shd w:val="clear" w:color="auto" w:fill="CCEEFF"/>
          </w:tcPr>
          <w:p>
            <w:pPr>
              <w:spacing w:after="0"/>
              <w:rPr>
                <w:sz w:val="18"/>
                <w:szCs w:val="18"/>
                <w:color w:val="auto"/>
              </w:rPr>
            </w:pP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316,215</w:t>
            </w: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440" w:type="dxa"/>
            <w:vAlign w:val="bottom"/>
            <w:tcBorders>
              <w:top w:val="single" w:sz="8" w:color="auto"/>
              <w:bottom w:val="single" w:sz="8" w:color="auto"/>
            </w:tcBorders>
            <w:shd w:val="clear" w:color="auto" w:fill="CCEEFF"/>
          </w:tcPr>
          <w:p>
            <w:pPr>
              <w:spacing w:after="0"/>
              <w:rPr>
                <w:sz w:val="18"/>
                <w:szCs w:val="18"/>
                <w:color w:val="auto"/>
              </w:rPr>
            </w:pP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300,649</w:t>
            </w:r>
          </w:p>
        </w:tc>
        <w:tc>
          <w:tcPr>
            <w:tcW w:w="220" w:type="dxa"/>
            <w:vAlign w:val="bottom"/>
            <w:tcBorders>
              <w:top w:val="single" w:sz="8" w:color="CCEEFF"/>
            </w:tcBorders>
            <w:shd w:val="clear" w:color="auto" w:fill="CCEEFF"/>
          </w:tcPr>
          <w:p>
            <w:pPr>
              <w:spacing w:after="0"/>
              <w:rPr>
                <w:sz w:val="18"/>
                <w:szCs w:val="18"/>
                <w:color w:val="auto"/>
              </w:rPr>
            </w:pPr>
          </w:p>
        </w:tc>
        <w:tc>
          <w:tcPr>
            <w:tcW w:w="440" w:type="dxa"/>
            <w:vAlign w:val="bottom"/>
            <w:tcBorders>
              <w:top w:val="single" w:sz="8" w:color="auto"/>
              <w:bottom w:val="single" w:sz="8" w:color="auto"/>
            </w:tcBorders>
            <w:shd w:val="clear" w:color="auto" w:fill="CCEEFF"/>
          </w:tcPr>
          <w:p>
            <w:pPr>
              <w:spacing w:after="0"/>
              <w:rPr>
                <w:sz w:val="18"/>
                <w:szCs w:val="18"/>
                <w:color w:val="auto"/>
              </w:rPr>
            </w:pP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313,352</w:t>
            </w:r>
          </w:p>
        </w:tc>
        <w:tc>
          <w:tcPr>
            <w:tcW w:w="220" w:type="dxa"/>
            <w:vAlign w:val="bottom"/>
            <w:tcBorders>
              <w:top w:val="single" w:sz="8" w:color="CCEEFF"/>
            </w:tcBorders>
            <w:shd w:val="clear" w:color="auto" w:fill="CCEEFF"/>
          </w:tcPr>
          <w:p>
            <w:pPr>
              <w:spacing w:after="0"/>
              <w:rPr>
                <w:sz w:val="18"/>
                <w:szCs w:val="18"/>
                <w:color w:val="auto"/>
              </w:rPr>
            </w:pPr>
          </w:p>
        </w:tc>
        <w:tc>
          <w:tcPr>
            <w:tcW w:w="420" w:type="dxa"/>
            <w:vAlign w:val="bottom"/>
            <w:tcBorders>
              <w:top w:val="single" w:sz="8" w:color="auto"/>
              <w:bottom w:val="single" w:sz="8" w:color="auto"/>
            </w:tcBorders>
            <w:shd w:val="clear" w:color="auto" w:fill="CCEEFF"/>
          </w:tcPr>
          <w:p>
            <w:pPr>
              <w:spacing w:after="0"/>
              <w:rPr>
                <w:sz w:val="18"/>
                <w:szCs w:val="18"/>
                <w:color w:val="auto"/>
              </w:rPr>
            </w:pPr>
          </w:p>
        </w:tc>
        <w:tc>
          <w:tcPr>
            <w:tcW w:w="960" w:type="dxa"/>
            <w:vAlign w:val="bottom"/>
            <w:tcBorders>
              <w:top w:val="single" w:sz="8" w:color="auto"/>
              <w:bottom w:val="single" w:sz="8" w:color="auto"/>
              <w:right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296,616</w:t>
            </w: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51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Reconciliation of GAAP net income to pro forma net income:</w:t>
            </w:r>
          </w:p>
        </w:tc>
        <w:tc>
          <w:tcPr>
            <w:tcW w:w="44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96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Times New Roman" w:cs="Times New Roman" w:eastAsia="Times New Roman" w:hAnsi="Times New Roman"/>
                <w:sz w:val="18"/>
                <w:szCs w:val="18"/>
                <w:color w:val="auto"/>
              </w:rPr>
              <w:t>GAAP net income</w:t>
            </w:r>
          </w:p>
        </w:tc>
        <w:tc>
          <w:tcPr>
            <w:tcW w:w="440" w:type="dxa"/>
            <w:vAlign w:val="bottom"/>
          </w:tcPr>
          <w:p>
            <w:pPr>
              <w:jc w:val="right"/>
              <w:ind w:right="275"/>
              <w:spacing w:after="0"/>
              <w:rPr>
                <w:sz w:val="20"/>
                <w:szCs w:val="20"/>
                <w:color w:val="auto"/>
              </w:rPr>
            </w:pPr>
            <w:r>
              <w:rPr>
                <w:rFonts w:ascii="Times New Roman" w:cs="Times New Roman" w:eastAsia="Times New Roman" w:hAnsi="Times New Roman"/>
                <w:sz w:val="17"/>
                <w:szCs w:val="17"/>
                <w:color w:val="auto"/>
                <w:w w:val="70"/>
              </w:rPr>
              <w:t>$</w:t>
            </w:r>
          </w:p>
        </w:tc>
        <w:tc>
          <w:tcPr>
            <w:tcW w:w="104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93,046</w:t>
            </w:r>
          </w:p>
        </w:tc>
        <w:tc>
          <w:tcPr>
            <w:tcW w:w="560" w:type="dxa"/>
            <w:vAlign w:val="bottom"/>
            <w:gridSpan w:val="2"/>
          </w:tcPr>
          <w:p>
            <w:pPr>
              <w:jc w:val="right"/>
              <w:ind w:right="250"/>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43,595</w:t>
            </w:r>
          </w:p>
        </w:tc>
        <w:tc>
          <w:tcPr>
            <w:tcW w:w="440" w:type="dxa"/>
            <w:vAlign w:val="bottom"/>
          </w:tcPr>
          <w:p>
            <w:pPr>
              <w:jc w:val="right"/>
              <w:ind w:right="250"/>
              <w:spacing w:after="0"/>
              <w:rPr>
                <w:sz w:val="20"/>
                <w:szCs w:val="20"/>
                <w:color w:val="auto"/>
              </w:rPr>
            </w:pPr>
            <w:r>
              <w:rPr>
                <w:rFonts w:ascii="Times New Roman" w:cs="Times New Roman" w:eastAsia="Times New Roman" w:hAnsi="Times New Roman"/>
                <w:sz w:val="18"/>
                <w:szCs w:val="18"/>
                <w:color w:val="auto"/>
                <w:w w:val="88"/>
              </w:rPr>
              <w:t>$</w:t>
            </w:r>
          </w:p>
        </w:tc>
        <w:tc>
          <w:tcPr>
            <w:tcW w:w="11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233,880</w:t>
            </w:r>
          </w:p>
        </w:tc>
        <w:tc>
          <w:tcPr>
            <w:tcW w:w="420" w:type="dxa"/>
            <w:vAlign w:val="bottom"/>
          </w:tcPr>
          <w:p>
            <w:pPr>
              <w:jc w:val="right"/>
              <w:ind w:right="230"/>
              <w:spacing w:after="0"/>
              <w:rPr>
                <w:sz w:val="20"/>
                <w:szCs w:val="20"/>
                <w:color w:val="auto"/>
              </w:rPr>
            </w:pPr>
            <w:r>
              <w:rPr>
                <w:rFonts w:ascii="Times New Roman" w:cs="Times New Roman" w:eastAsia="Times New Roman" w:hAnsi="Times New Roman"/>
                <w:sz w:val="18"/>
                <w:szCs w:val="18"/>
                <w:color w:val="auto"/>
                <w:w w:val="88"/>
              </w:rPr>
              <w:t>$</w:t>
            </w: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86,716</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Amortization of stock-based compensation</w:t>
            </w:r>
          </w:p>
        </w:tc>
        <w:tc>
          <w:tcPr>
            <w:tcW w:w="44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465</w:t>
            </w: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837</w:t>
            </w:r>
          </w:p>
        </w:tc>
        <w:tc>
          <w:tcPr>
            <w:tcW w:w="4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1,853</w:t>
            </w:r>
          </w:p>
        </w:tc>
        <w:tc>
          <w:tcPr>
            <w:tcW w:w="420" w:type="dxa"/>
            <w:vAlign w:val="bottom"/>
            <w:shd w:val="clear" w:color="auto" w:fill="CCEEFF"/>
          </w:tcPr>
          <w:p>
            <w:pPr>
              <w:spacing w:after="0"/>
              <w:rPr>
                <w:sz w:val="18"/>
                <w:szCs w:val="18"/>
                <w:color w:val="auto"/>
              </w:rPr>
            </w:pPr>
          </w:p>
        </w:tc>
        <w:tc>
          <w:tcPr>
            <w:tcW w:w="960" w:type="dxa"/>
            <w:vAlign w:val="bottom"/>
            <w:tcBorders>
              <w:right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3,497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Times New Roman" w:cs="Times New Roman" w:eastAsia="Times New Roman" w:hAnsi="Times New Roman"/>
                <w:sz w:val="18"/>
                <w:szCs w:val="18"/>
                <w:color w:val="auto"/>
              </w:rPr>
              <w:t>Amortization/write-off of acquired intangible assets and other</w:t>
            </w:r>
          </w:p>
        </w:tc>
        <w:tc>
          <w:tcPr>
            <w:tcW w:w="44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19,746</w:t>
            </w: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19,758</w:t>
            </w:r>
          </w:p>
        </w:tc>
        <w:tc>
          <w:tcPr>
            <w:tcW w:w="440" w:type="dxa"/>
            <w:vAlign w:val="bottom"/>
          </w:tcPr>
          <w:p>
            <w:pPr>
              <w:spacing w:after="0"/>
              <w:rPr>
                <w:sz w:val="18"/>
                <w:szCs w:val="18"/>
                <w:color w:val="auto"/>
              </w:rPr>
            </w:pPr>
          </w:p>
        </w:tc>
        <w:tc>
          <w:tcPr>
            <w:tcW w:w="11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59,258</w:t>
            </w:r>
          </w:p>
        </w:tc>
        <w:tc>
          <w:tcPr>
            <w:tcW w:w="42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82,775</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Facilities consolidation charge</w:t>
            </w:r>
          </w:p>
        </w:tc>
        <w:tc>
          <w:tcPr>
            <w:tcW w:w="44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2,414</w:t>
            </w:r>
          </w:p>
        </w:tc>
        <w:tc>
          <w:tcPr>
            <w:tcW w:w="4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420" w:type="dxa"/>
            <w:vAlign w:val="bottom"/>
            <w:shd w:val="clear" w:color="auto" w:fill="CCEEFF"/>
          </w:tcPr>
          <w:p>
            <w:pPr>
              <w:spacing w:after="0"/>
              <w:rPr>
                <w:sz w:val="18"/>
                <w:szCs w:val="18"/>
                <w:color w:val="auto"/>
              </w:rPr>
            </w:pPr>
          </w:p>
        </w:tc>
        <w:tc>
          <w:tcPr>
            <w:tcW w:w="960" w:type="dxa"/>
            <w:vAlign w:val="bottom"/>
            <w:tcBorders>
              <w:right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2,414</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51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Pro forma net income</w:t>
            </w:r>
          </w:p>
        </w:tc>
        <w:tc>
          <w:tcPr>
            <w:tcW w:w="440" w:type="dxa"/>
            <w:vAlign w:val="bottom"/>
            <w:tcBorders>
              <w:top w:val="single" w:sz="8" w:color="auto"/>
              <w:bottom w:val="single" w:sz="8" w:color="auto"/>
            </w:tcBorders>
          </w:tcPr>
          <w:p>
            <w:pPr>
              <w:jc w:val="right"/>
              <w:ind w:right="275"/>
              <w:spacing w:after="0"/>
              <w:rPr>
                <w:sz w:val="20"/>
                <w:szCs w:val="20"/>
                <w:color w:val="auto"/>
              </w:rPr>
            </w:pPr>
            <w:r>
              <w:rPr>
                <w:rFonts w:ascii="Times New Roman" w:cs="Times New Roman" w:eastAsia="Times New Roman" w:hAnsi="Times New Roman"/>
                <w:sz w:val="17"/>
                <w:szCs w:val="17"/>
                <w:color w:val="auto"/>
                <w:w w:val="70"/>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113,257</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Borders>
              <w:top w:val="single" w:sz="8" w:color="auto"/>
              <w:bottom w:val="single" w:sz="8" w:color="auto"/>
            </w:tcBorders>
          </w:tcPr>
          <w:p>
            <w:pPr>
              <w:jc w:val="right"/>
              <w:ind w:right="250"/>
              <w:spacing w:after="0"/>
              <w:rPr>
                <w:sz w:val="20"/>
                <w:szCs w:val="20"/>
                <w:color w:val="auto"/>
              </w:rPr>
            </w:pPr>
            <w:r>
              <w:rPr>
                <w:rFonts w:ascii="Times New Roman" w:cs="Times New Roman" w:eastAsia="Times New Roman" w:hAnsi="Times New Roman"/>
                <w:sz w:val="18"/>
                <w:szCs w:val="18"/>
                <w:color w:val="auto"/>
                <w:w w:val="88"/>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66,604</w:t>
            </w:r>
          </w:p>
        </w:tc>
        <w:tc>
          <w:tcPr>
            <w:tcW w:w="220" w:type="dxa"/>
            <w:vAlign w:val="bottom"/>
          </w:tcPr>
          <w:p>
            <w:pPr>
              <w:spacing w:after="0"/>
              <w:rPr>
                <w:sz w:val="18"/>
                <w:szCs w:val="18"/>
                <w:color w:val="auto"/>
              </w:rPr>
            </w:pPr>
          </w:p>
        </w:tc>
        <w:tc>
          <w:tcPr>
            <w:tcW w:w="440" w:type="dxa"/>
            <w:vAlign w:val="bottom"/>
            <w:tcBorders>
              <w:top w:val="single" w:sz="8" w:color="auto"/>
              <w:bottom w:val="single" w:sz="8" w:color="auto"/>
            </w:tcBorders>
          </w:tcPr>
          <w:p>
            <w:pPr>
              <w:jc w:val="right"/>
              <w:ind w:right="250"/>
              <w:spacing w:after="0"/>
              <w:rPr>
                <w:sz w:val="20"/>
                <w:szCs w:val="20"/>
                <w:color w:val="auto"/>
              </w:rPr>
            </w:pPr>
            <w:r>
              <w:rPr>
                <w:rFonts w:ascii="Times New Roman" w:cs="Times New Roman" w:eastAsia="Times New Roman" w:hAnsi="Times New Roman"/>
                <w:sz w:val="18"/>
                <w:szCs w:val="18"/>
                <w:color w:val="auto"/>
                <w:w w:val="88"/>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294,991</w:t>
            </w:r>
          </w:p>
        </w:tc>
        <w:tc>
          <w:tcPr>
            <w:tcW w:w="220" w:type="dxa"/>
            <w:vAlign w:val="bottom"/>
          </w:tcPr>
          <w:p>
            <w:pPr>
              <w:spacing w:after="0"/>
              <w:rPr>
                <w:sz w:val="18"/>
                <w:szCs w:val="18"/>
                <w:color w:val="auto"/>
              </w:rPr>
            </w:pPr>
          </w:p>
        </w:tc>
        <w:tc>
          <w:tcPr>
            <w:tcW w:w="420" w:type="dxa"/>
            <w:vAlign w:val="bottom"/>
            <w:tcBorders>
              <w:top w:val="single" w:sz="8" w:color="auto"/>
              <w:bottom w:val="single" w:sz="8" w:color="auto"/>
            </w:tcBorders>
          </w:tcPr>
          <w:p>
            <w:pPr>
              <w:jc w:val="right"/>
              <w:ind w:right="230"/>
              <w:spacing w:after="0"/>
              <w:rPr>
                <w:sz w:val="20"/>
                <w:szCs w:val="20"/>
                <w:color w:val="auto"/>
              </w:rPr>
            </w:pPr>
            <w:r>
              <w:rPr>
                <w:rFonts w:ascii="Times New Roman" w:cs="Times New Roman" w:eastAsia="Times New Roman" w:hAnsi="Times New Roman"/>
                <w:sz w:val="18"/>
                <w:szCs w:val="18"/>
                <w:color w:val="auto"/>
                <w:w w:val="88"/>
              </w:rPr>
              <w:t>$</w:t>
            </w:r>
          </w:p>
        </w:tc>
        <w:tc>
          <w:tcPr>
            <w:tcW w:w="9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175,402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8" w:lineRule="exact"/>
        <w:rPr>
          <w:sz w:val="20"/>
          <w:szCs w:val="20"/>
          <w:color w:val="auto"/>
        </w:rPr>
      </w:pPr>
    </w:p>
    <w:p>
      <w:pPr>
        <w:ind w:right="260"/>
        <w:spacing w:after="0" w:line="258" w:lineRule="auto"/>
        <w:rPr>
          <w:sz w:val="20"/>
          <w:szCs w:val="20"/>
          <w:color w:val="auto"/>
        </w:rPr>
      </w:pPr>
      <w:r>
        <w:rPr>
          <w:rFonts w:ascii="Times New Roman" w:cs="Times New Roman" w:eastAsia="Times New Roman" w:hAnsi="Times New Roman"/>
          <w:sz w:val="18"/>
          <w:szCs w:val="18"/>
          <w:color w:val="auto"/>
        </w:rPr>
        <w:t>The above pro forma statements of operations are for informational purposes only and are provided for understanding our operating results. The pro forma statements of operations have not been prepared in accordance with GAAP, should not be considered a substitute for our historical financial information prepared in accordance with GAAP and may be different from pro forma measures used by other companies. The pro forma income has been derived by adjusting the net income under generally accepted accounting principles for the impact of non cash stock-based compensation charges, non-cash charges associated with purchase accounting and other write-off related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177800</wp:posOffset>
            </wp:positionV>
            <wp:extent cx="7267575"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Condensed Consolidated Balance Sheets</w:t>
      </w:r>
    </w:p>
    <w:p>
      <w:pPr>
        <w:spacing w:after="0" w:line="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(Unaudited)</w:t>
      </w:r>
    </w:p>
    <w:p>
      <w:pPr>
        <w:spacing w:after="0" w:line="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79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560" w:type="dxa"/>
            <w:vAlign w:val="bottom"/>
            <w:gridSpan w:val="2"/>
          </w:tcPr>
          <w:p>
            <w:pPr>
              <w:jc w:val="right"/>
              <w:ind w:right="680"/>
              <w:spacing w:after="0"/>
              <w:rPr>
                <w:sz w:val="20"/>
                <w:szCs w:val="20"/>
                <w:color w:val="auto"/>
              </w:rPr>
            </w:pPr>
            <w:r>
              <w:rPr>
                <w:rFonts w:ascii="Times New Roman" w:cs="Times New Roman" w:eastAsia="Times New Roman" w:hAnsi="Times New Roman"/>
                <w:sz w:val="14"/>
                <w:szCs w:val="14"/>
                <w:b w:val="1"/>
                <w:bCs w:val="1"/>
                <w:color w:val="auto"/>
              </w:rPr>
              <w:t>October 29,</w:t>
            </w:r>
          </w:p>
        </w:tc>
        <w:tc>
          <w:tcPr>
            <w:tcW w:w="240" w:type="dxa"/>
            <w:vAlign w:val="bottom"/>
          </w:tcPr>
          <w:p>
            <w:pPr>
              <w:spacing w:after="0"/>
              <w:rPr>
                <w:sz w:val="13"/>
                <w:szCs w:val="13"/>
                <w:color w:val="auto"/>
              </w:rPr>
            </w:pPr>
          </w:p>
        </w:tc>
        <w:tc>
          <w:tcPr>
            <w:tcW w:w="1400" w:type="dxa"/>
            <w:vAlign w:val="bottom"/>
            <w:gridSpan w:val="2"/>
          </w:tcPr>
          <w:p>
            <w:pPr>
              <w:jc w:val="right"/>
              <w:ind w:right="520"/>
              <w:spacing w:after="0"/>
              <w:rPr>
                <w:sz w:val="20"/>
                <w:szCs w:val="20"/>
                <w:color w:val="auto"/>
              </w:rPr>
            </w:pPr>
            <w:r>
              <w:rPr>
                <w:rFonts w:ascii="Times New Roman" w:cs="Times New Roman" w:eastAsia="Times New Roman" w:hAnsi="Times New Roman"/>
                <w:sz w:val="14"/>
                <w:szCs w:val="14"/>
                <w:b w:val="1"/>
                <w:bCs w:val="1"/>
                <w:color w:val="auto"/>
              </w:rPr>
              <w:t>January 29,</w:t>
            </w: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960" w:type="dxa"/>
            <w:vAlign w:val="bottom"/>
            <w:tcBorders>
              <w:bottom w:val="single" w:sz="8" w:color="CCEEFF"/>
            </w:tcBorders>
          </w:tcPr>
          <w:p>
            <w:pPr>
              <w:spacing w:after="0"/>
              <w:rPr>
                <w:sz w:val="15"/>
                <w:szCs w:val="15"/>
                <w:color w:val="auto"/>
              </w:rPr>
            </w:pPr>
          </w:p>
        </w:tc>
        <w:tc>
          <w:tcPr>
            <w:tcW w:w="240" w:type="dxa"/>
            <w:vAlign w:val="bottom"/>
            <w:tcBorders>
              <w:bottom w:val="single" w:sz="8" w:color="auto"/>
            </w:tcBorders>
          </w:tcPr>
          <w:p>
            <w:pPr>
              <w:spacing w:after="0"/>
              <w:rPr>
                <w:sz w:val="15"/>
                <w:szCs w:val="15"/>
                <w:color w:val="auto"/>
              </w:rPr>
            </w:pPr>
          </w:p>
        </w:tc>
        <w:tc>
          <w:tcPr>
            <w:tcW w:w="1300" w:type="dxa"/>
            <w:vAlign w:val="bottom"/>
            <w:tcBorders>
              <w:bottom w:val="single" w:sz="8" w:color="auto"/>
            </w:tcBorders>
          </w:tcPr>
          <w:p>
            <w:pPr>
              <w:jc w:val="right"/>
              <w:ind w:right="551"/>
              <w:spacing w:after="0"/>
              <w:rPr>
                <w:sz w:val="20"/>
                <w:szCs w:val="20"/>
                <w:color w:val="auto"/>
              </w:rPr>
            </w:pPr>
            <w:r>
              <w:rPr>
                <w:rFonts w:ascii="Times New Roman" w:cs="Times New Roman" w:eastAsia="Times New Roman" w:hAnsi="Times New Roman"/>
                <w:sz w:val="14"/>
                <w:szCs w:val="14"/>
                <w:b w:val="1"/>
                <w:bCs w:val="1"/>
                <w:color w:val="auto"/>
              </w:rPr>
              <w:t>2005</w:t>
            </w:r>
          </w:p>
        </w:tc>
        <w:tc>
          <w:tcPr>
            <w:tcW w:w="260" w:type="dxa"/>
            <w:vAlign w:val="bottom"/>
            <w:tcBorders>
              <w:bottom w:val="single" w:sz="8" w:color="CCEEFF"/>
            </w:tcBorders>
          </w:tcPr>
          <w:p>
            <w:pPr>
              <w:spacing w:after="0"/>
              <w:rPr>
                <w:sz w:val="15"/>
                <w:szCs w:val="15"/>
                <w:color w:val="auto"/>
              </w:rPr>
            </w:pPr>
          </w:p>
        </w:tc>
        <w:tc>
          <w:tcPr>
            <w:tcW w:w="240" w:type="dxa"/>
            <w:vAlign w:val="bottom"/>
            <w:tcBorders>
              <w:bottom w:val="single" w:sz="8" w:color="auto"/>
            </w:tcBorders>
          </w:tcPr>
          <w:p>
            <w:pPr>
              <w:spacing w:after="0"/>
              <w:rPr>
                <w:sz w:val="15"/>
                <w:szCs w:val="15"/>
                <w:color w:val="auto"/>
              </w:rPr>
            </w:pPr>
          </w:p>
        </w:tc>
        <w:tc>
          <w:tcPr>
            <w:tcW w:w="1280" w:type="dxa"/>
            <w:vAlign w:val="bottom"/>
            <w:tcBorders>
              <w:bottom w:val="single" w:sz="8" w:color="auto"/>
            </w:tcBorders>
          </w:tcPr>
          <w:p>
            <w:pPr>
              <w:jc w:val="right"/>
              <w:ind w:right="531"/>
              <w:spacing w:after="0"/>
              <w:rPr>
                <w:sz w:val="20"/>
                <w:szCs w:val="20"/>
                <w:color w:val="auto"/>
              </w:rPr>
            </w:pPr>
            <w:r>
              <w:rPr>
                <w:rFonts w:ascii="Times New Roman" w:cs="Times New Roman" w:eastAsia="Times New Roman" w:hAnsi="Times New Roman"/>
                <w:sz w:val="14"/>
                <w:szCs w:val="14"/>
                <w:b w:val="1"/>
                <w:bCs w:val="1"/>
                <w:color w:val="auto"/>
              </w:rPr>
              <w:t>2005</w:t>
            </w:r>
          </w:p>
        </w:tc>
        <w:tc>
          <w:tcPr>
            <w:tcW w:w="120" w:type="dxa"/>
            <w:vAlign w:val="bottom"/>
            <w:tcBorders>
              <w:bottom w:val="single" w:sz="8" w:color="CCEEFF"/>
            </w:tcBorders>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7960" w:type="dxa"/>
            <w:vAlign w:val="bottom"/>
            <w:shd w:val="clear" w:color="auto" w:fill="CCEEFF"/>
          </w:tcPr>
          <w:p>
            <w:pPr>
              <w:spacing w:after="0" w:line="196" w:lineRule="exact"/>
              <w:rPr>
                <w:sz w:val="20"/>
                <w:szCs w:val="20"/>
                <w:color w:val="auto"/>
              </w:rPr>
            </w:pPr>
            <w:r>
              <w:rPr>
                <w:rFonts w:ascii="Times New Roman" w:cs="Times New Roman" w:eastAsia="Times New Roman" w:hAnsi="Times New Roman"/>
                <w:sz w:val="18"/>
                <w:szCs w:val="18"/>
                <w:b w:val="1"/>
                <w:bCs w:val="1"/>
                <w:color w:val="auto"/>
              </w:rPr>
              <w:t>Assets</w:t>
            </w:r>
          </w:p>
        </w:tc>
        <w:tc>
          <w:tcPr>
            <w:tcW w:w="240" w:type="dxa"/>
            <w:vAlign w:val="bottom"/>
            <w:shd w:val="clear" w:color="auto" w:fill="CCEEFF"/>
          </w:tcPr>
          <w:p>
            <w:pPr>
              <w:spacing w:after="0"/>
              <w:rPr>
                <w:sz w:val="17"/>
                <w:szCs w:val="17"/>
                <w:color w:val="auto"/>
              </w:rPr>
            </w:pPr>
          </w:p>
        </w:tc>
        <w:tc>
          <w:tcPr>
            <w:tcW w:w="13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spacing w:after="0"/>
              <w:rPr>
                <w:sz w:val="20"/>
                <w:szCs w:val="20"/>
                <w:color w:val="auto"/>
              </w:rPr>
            </w:pPr>
            <w:r>
              <w:rPr>
                <w:rFonts w:ascii="Times New Roman" w:cs="Times New Roman" w:eastAsia="Times New Roman" w:hAnsi="Times New Roman"/>
                <w:sz w:val="18"/>
                <w:szCs w:val="18"/>
                <w:color w:val="auto"/>
              </w:rPr>
              <w:t>Current assets:</w:t>
            </w:r>
          </w:p>
        </w:tc>
        <w:tc>
          <w:tcPr>
            <w:tcW w:w="24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260"/>
              <w:spacing w:after="0"/>
              <w:rPr>
                <w:sz w:val="20"/>
                <w:szCs w:val="20"/>
                <w:color w:val="auto"/>
              </w:rPr>
            </w:pPr>
            <w:r>
              <w:rPr>
                <w:rFonts w:ascii="Times New Roman" w:cs="Times New Roman" w:eastAsia="Times New Roman" w:hAnsi="Times New Roman"/>
                <w:sz w:val="18"/>
                <w:szCs w:val="18"/>
                <w:color w:val="auto"/>
              </w:rPr>
              <w:t>Cash, cash equivalents and short-term investments</w:t>
            </w:r>
          </w:p>
        </w:tc>
        <w:tc>
          <w:tcPr>
            <w:tcW w:w="240" w:type="dxa"/>
            <w:vAlign w:val="bottom"/>
            <w:shd w:val="clear" w:color="auto" w:fill="CCEEFF"/>
          </w:tcPr>
          <w:p>
            <w:pPr>
              <w:jc w:val="right"/>
              <w:ind w:right="75"/>
              <w:spacing w:after="0"/>
              <w:rPr>
                <w:sz w:val="20"/>
                <w:szCs w:val="20"/>
                <w:color w:val="auto"/>
              </w:rPr>
            </w:pPr>
            <w:r>
              <w:rPr>
                <w:rFonts w:ascii="Times New Roman" w:cs="Times New Roman" w:eastAsia="Times New Roman" w:hAnsi="Times New Roman"/>
                <w:sz w:val="17"/>
                <w:szCs w:val="17"/>
                <w:color w:val="auto"/>
                <w:w w:val="70"/>
              </w:rPr>
              <w:t>$</w:t>
            </w:r>
          </w:p>
        </w:tc>
        <w:tc>
          <w:tcPr>
            <w:tcW w:w="156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914,866</w:t>
            </w:r>
          </w:p>
        </w:tc>
        <w:tc>
          <w:tcPr>
            <w:tcW w:w="240" w:type="dxa"/>
            <w:vAlign w:val="bottom"/>
            <w:shd w:val="clear" w:color="auto" w:fill="CCEEFF"/>
          </w:tcPr>
          <w:p>
            <w:pPr>
              <w:jc w:val="right"/>
              <w:ind w:right="75"/>
              <w:spacing w:after="0"/>
              <w:rPr>
                <w:sz w:val="20"/>
                <w:szCs w:val="20"/>
                <w:color w:val="auto"/>
              </w:rPr>
            </w:pPr>
            <w:r>
              <w:rPr>
                <w:rFonts w:ascii="Times New Roman" w:cs="Times New Roman" w:eastAsia="Times New Roman" w:hAnsi="Times New Roman"/>
                <w:sz w:val="17"/>
                <w:szCs w:val="17"/>
                <w:color w:val="auto"/>
                <w:w w:val="70"/>
              </w:rPr>
              <w:t>$</w:t>
            </w:r>
          </w:p>
        </w:tc>
        <w:tc>
          <w:tcPr>
            <w:tcW w:w="12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660,014</w:t>
            </w:r>
          </w:p>
        </w:tc>
        <w:tc>
          <w:tcPr>
            <w:tcW w:w="1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Accounts receivable, net</w:t>
            </w:r>
          </w:p>
        </w:tc>
        <w:tc>
          <w:tcPr>
            <w:tcW w:w="240" w:type="dxa"/>
            <w:vAlign w:val="bottom"/>
          </w:tcPr>
          <w:p>
            <w:pPr>
              <w:spacing w:after="0"/>
              <w:rPr>
                <w:sz w:val="18"/>
                <w:szCs w:val="18"/>
                <w:color w:val="auto"/>
              </w:rPr>
            </w:pPr>
          </w:p>
        </w:tc>
        <w:tc>
          <w:tcPr>
            <w:tcW w:w="156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253,337</w:t>
            </w:r>
          </w:p>
        </w:tc>
        <w:tc>
          <w:tcPr>
            <w:tcW w:w="240" w:type="dxa"/>
            <w:vAlign w:val="bottom"/>
          </w:tcPr>
          <w:p>
            <w:pPr>
              <w:spacing w:after="0"/>
              <w:rPr>
                <w:sz w:val="18"/>
                <w:szCs w:val="18"/>
                <w:color w:val="auto"/>
              </w:rPr>
            </w:pP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200,954</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260"/>
              <w:spacing w:after="0"/>
              <w:rPr>
                <w:sz w:val="20"/>
                <w:szCs w:val="20"/>
                <w:color w:val="auto"/>
              </w:rPr>
            </w:pPr>
            <w:r>
              <w:rPr>
                <w:rFonts w:ascii="Times New Roman" w:cs="Times New Roman" w:eastAsia="Times New Roman" w:hAnsi="Times New Roman"/>
                <w:sz w:val="18"/>
                <w:szCs w:val="18"/>
                <w:color w:val="auto"/>
              </w:rPr>
              <w:t>Inventory, net</w:t>
            </w:r>
          </w:p>
        </w:tc>
        <w:tc>
          <w:tcPr>
            <w:tcW w:w="24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149,929</w:t>
            </w: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128,889</w:t>
            </w:r>
          </w:p>
        </w:tc>
        <w:tc>
          <w:tcPr>
            <w:tcW w:w="1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Prepaid expenses and other current assets</w:t>
            </w:r>
          </w:p>
        </w:tc>
        <w:tc>
          <w:tcPr>
            <w:tcW w:w="240" w:type="dxa"/>
            <w:vAlign w:val="bottom"/>
          </w:tcPr>
          <w:p>
            <w:pPr>
              <w:spacing w:after="0"/>
              <w:rPr>
                <w:sz w:val="18"/>
                <w:szCs w:val="18"/>
                <w:color w:val="auto"/>
              </w:rPr>
            </w:pPr>
          </w:p>
        </w:tc>
        <w:tc>
          <w:tcPr>
            <w:tcW w:w="156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104,243</w:t>
            </w:r>
          </w:p>
        </w:tc>
        <w:tc>
          <w:tcPr>
            <w:tcW w:w="240" w:type="dxa"/>
            <w:vAlign w:val="bottom"/>
          </w:tcPr>
          <w:p>
            <w:pPr>
              <w:spacing w:after="0"/>
              <w:rPr>
                <w:sz w:val="18"/>
                <w:szCs w:val="18"/>
                <w:color w:val="auto"/>
              </w:rPr>
            </w:pPr>
          </w:p>
        </w:tc>
        <w:tc>
          <w:tcPr>
            <w:tcW w:w="140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27,937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960" w:type="dxa"/>
            <w:vAlign w:val="bottom"/>
            <w:tcBorders>
              <w:top w:val="single" w:sz="8" w:color="CCEEFF"/>
            </w:tcBorders>
            <w:shd w:val="clear" w:color="auto" w:fill="CCEEFF"/>
          </w:tcPr>
          <w:p>
            <w:pPr>
              <w:ind w:left="520"/>
              <w:spacing w:after="0"/>
              <w:rPr>
                <w:sz w:val="20"/>
                <w:szCs w:val="20"/>
                <w:color w:val="auto"/>
              </w:rPr>
            </w:pPr>
            <w:r>
              <w:rPr>
                <w:rFonts w:ascii="Times New Roman" w:cs="Times New Roman" w:eastAsia="Times New Roman" w:hAnsi="Times New Roman"/>
                <w:sz w:val="18"/>
                <w:szCs w:val="18"/>
                <w:color w:val="auto"/>
              </w:rPr>
              <w:t>Total current assets</w:t>
            </w:r>
          </w:p>
        </w:tc>
        <w:tc>
          <w:tcPr>
            <w:tcW w:w="240" w:type="dxa"/>
            <w:vAlign w:val="bottom"/>
            <w:tcBorders>
              <w:top w:val="single" w:sz="8" w:color="auto"/>
            </w:tcBorders>
            <w:shd w:val="clear" w:color="auto" w:fill="CCEEFF"/>
          </w:tcPr>
          <w:p>
            <w:pPr>
              <w:spacing w:after="0"/>
              <w:rPr>
                <w:sz w:val="18"/>
                <w:szCs w:val="18"/>
                <w:color w:val="auto"/>
              </w:rPr>
            </w:pPr>
          </w:p>
        </w:tc>
        <w:tc>
          <w:tcPr>
            <w:tcW w:w="13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1,422,375</w:t>
            </w:r>
          </w:p>
        </w:tc>
        <w:tc>
          <w:tcPr>
            <w:tcW w:w="2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12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1,017,794</w:t>
            </w:r>
          </w:p>
        </w:tc>
        <w:tc>
          <w:tcPr>
            <w:tcW w:w="12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spacing w:after="0"/>
              <w:rPr>
                <w:sz w:val="20"/>
                <w:szCs w:val="20"/>
                <w:color w:val="auto"/>
              </w:rPr>
            </w:pPr>
            <w:r>
              <w:rPr>
                <w:rFonts w:ascii="Times New Roman" w:cs="Times New Roman" w:eastAsia="Times New Roman" w:hAnsi="Times New Roman"/>
                <w:sz w:val="18"/>
                <w:szCs w:val="18"/>
                <w:color w:val="auto"/>
              </w:rPr>
              <w:t>Property and equipment, net</w:t>
            </w:r>
          </w:p>
        </w:tc>
        <w:tc>
          <w:tcPr>
            <w:tcW w:w="240" w:type="dxa"/>
            <w:vAlign w:val="bottom"/>
          </w:tcPr>
          <w:p>
            <w:pPr>
              <w:spacing w:after="0"/>
              <w:rPr>
                <w:sz w:val="18"/>
                <w:szCs w:val="18"/>
                <w:color w:val="auto"/>
              </w:rPr>
            </w:pPr>
          </w:p>
        </w:tc>
        <w:tc>
          <w:tcPr>
            <w:tcW w:w="156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222,315</w:t>
            </w:r>
          </w:p>
        </w:tc>
        <w:tc>
          <w:tcPr>
            <w:tcW w:w="240" w:type="dxa"/>
            <w:vAlign w:val="bottom"/>
          </w:tcPr>
          <w:p>
            <w:pPr>
              <w:spacing w:after="0"/>
              <w:rPr>
                <w:sz w:val="18"/>
                <w:szCs w:val="18"/>
                <w:color w:val="auto"/>
              </w:rPr>
            </w:pP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161,770</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Goodwill and acquired intangible assets</w:t>
            </w:r>
          </w:p>
        </w:tc>
        <w:tc>
          <w:tcPr>
            <w:tcW w:w="24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1,501,378</w:t>
            </w: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1,560,636</w:t>
            </w:r>
          </w:p>
        </w:tc>
        <w:tc>
          <w:tcPr>
            <w:tcW w:w="1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spacing w:after="0"/>
              <w:rPr>
                <w:sz w:val="20"/>
                <w:szCs w:val="20"/>
                <w:color w:val="auto"/>
              </w:rPr>
            </w:pPr>
            <w:r>
              <w:rPr>
                <w:rFonts w:ascii="Times New Roman" w:cs="Times New Roman" w:eastAsia="Times New Roman" w:hAnsi="Times New Roman"/>
                <w:sz w:val="18"/>
                <w:szCs w:val="18"/>
                <w:color w:val="auto"/>
              </w:rPr>
              <w:t>Other noncurrent assets</w:t>
            </w:r>
          </w:p>
        </w:tc>
        <w:tc>
          <w:tcPr>
            <w:tcW w:w="240" w:type="dxa"/>
            <w:vAlign w:val="bottom"/>
          </w:tcPr>
          <w:p>
            <w:pPr>
              <w:spacing w:after="0"/>
              <w:rPr>
                <w:sz w:val="18"/>
                <w:szCs w:val="18"/>
                <w:color w:val="auto"/>
              </w:rPr>
            </w:pPr>
          </w:p>
        </w:tc>
        <w:tc>
          <w:tcPr>
            <w:tcW w:w="156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71,753</w:t>
            </w:r>
          </w:p>
        </w:tc>
        <w:tc>
          <w:tcPr>
            <w:tcW w:w="240" w:type="dxa"/>
            <w:vAlign w:val="bottom"/>
          </w:tcPr>
          <w:p>
            <w:pPr>
              <w:spacing w:after="0"/>
              <w:rPr>
                <w:sz w:val="18"/>
                <w:szCs w:val="18"/>
                <w:color w:val="auto"/>
              </w:rPr>
            </w:pPr>
          </w:p>
        </w:tc>
        <w:tc>
          <w:tcPr>
            <w:tcW w:w="140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48,762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960" w:type="dxa"/>
            <w:vAlign w:val="bottom"/>
            <w:tcBorders>
              <w:top w:val="single" w:sz="8" w:color="CCEEFF"/>
              <w:bottom w:val="single" w:sz="8" w:color="CCEEFF"/>
            </w:tcBorders>
            <w:shd w:val="clear" w:color="auto" w:fill="CCEEFF"/>
          </w:tcPr>
          <w:p>
            <w:pPr>
              <w:ind w:left="520"/>
              <w:spacing w:after="0"/>
              <w:rPr>
                <w:sz w:val="20"/>
                <w:szCs w:val="20"/>
                <w:color w:val="auto"/>
              </w:rPr>
            </w:pPr>
            <w:r>
              <w:rPr>
                <w:rFonts w:ascii="Times New Roman" w:cs="Times New Roman" w:eastAsia="Times New Roman" w:hAnsi="Times New Roman"/>
                <w:sz w:val="18"/>
                <w:szCs w:val="18"/>
                <w:color w:val="auto"/>
              </w:rPr>
              <w:t>Total assets</w:t>
            </w:r>
          </w:p>
        </w:tc>
        <w:tc>
          <w:tcPr>
            <w:tcW w:w="240" w:type="dxa"/>
            <w:vAlign w:val="bottom"/>
            <w:tcBorders>
              <w:top w:val="single" w:sz="8" w:color="auto"/>
              <w:bottom w:val="single" w:sz="8" w:color="auto"/>
            </w:tcBorders>
            <w:shd w:val="clear" w:color="auto" w:fill="CCEEFF"/>
          </w:tcPr>
          <w:p>
            <w:pPr>
              <w:jc w:val="right"/>
              <w:ind w:right="75"/>
              <w:spacing w:after="0"/>
              <w:rPr>
                <w:sz w:val="20"/>
                <w:szCs w:val="20"/>
                <w:color w:val="auto"/>
              </w:rPr>
            </w:pPr>
            <w:r>
              <w:rPr>
                <w:rFonts w:ascii="Times New Roman" w:cs="Times New Roman" w:eastAsia="Times New Roman" w:hAnsi="Times New Roman"/>
                <w:sz w:val="17"/>
                <w:szCs w:val="17"/>
                <w:color w:val="auto"/>
                <w:w w:val="70"/>
              </w:rPr>
              <w:t>$</w:t>
            </w:r>
          </w:p>
        </w:tc>
        <w:tc>
          <w:tcPr>
            <w:tcW w:w="13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3,217,821</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jc w:val="right"/>
              <w:ind w:right="75"/>
              <w:spacing w:after="0"/>
              <w:rPr>
                <w:sz w:val="20"/>
                <w:szCs w:val="20"/>
                <w:color w:val="auto"/>
              </w:rPr>
            </w:pPr>
            <w:r>
              <w:rPr>
                <w:rFonts w:ascii="Times New Roman" w:cs="Times New Roman" w:eastAsia="Times New Roman" w:hAnsi="Times New Roman"/>
                <w:sz w:val="17"/>
                <w:szCs w:val="17"/>
                <w:color w:val="auto"/>
                <w:w w:val="70"/>
              </w:rPr>
              <w:t>$</w:t>
            </w:r>
          </w:p>
        </w:tc>
        <w:tc>
          <w:tcPr>
            <w:tcW w:w="12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2,788,962</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79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Liabilities and Shareholders’ Equity</w:t>
            </w:r>
          </w:p>
        </w:tc>
        <w:tc>
          <w:tcPr>
            <w:tcW w:w="240" w:type="dxa"/>
            <w:vAlign w:val="bottom"/>
            <w:shd w:val="clear" w:color="auto" w:fill="CCEEFF"/>
          </w:tcPr>
          <w:p>
            <w:pPr>
              <w:spacing w:after="0"/>
              <w:rPr>
                <w:sz w:val="18"/>
                <w:szCs w:val="18"/>
                <w:color w:val="auto"/>
              </w:rPr>
            </w:pPr>
          </w:p>
        </w:tc>
        <w:tc>
          <w:tcPr>
            <w:tcW w:w="1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spacing w:after="0"/>
              <w:rPr>
                <w:sz w:val="20"/>
                <w:szCs w:val="20"/>
                <w:color w:val="auto"/>
              </w:rPr>
            </w:pPr>
            <w:r>
              <w:rPr>
                <w:rFonts w:ascii="Times New Roman" w:cs="Times New Roman" w:eastAsia="Times New Roman" w:hAnsi="Times New Roman"/>
                <w:sz w:val="18"/>
                <w:szCs w:val="18"/>
                <w:color w:val="auto"/>
              </w:rPr>
              <w:t>Current liabilities:</w:t>
            </w:r>
          </w:p>
        </w:tc>
        <w:tc>
          <w:tcPr>
            <w:tcW w:w="24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260"/>
              <w:spacing w:after="0"/>
              <w:rPr>
                <w:sz w:val="20"/>
                <w:szCs w:val="20"/>
                <w:color w:val="auto"/>
              </w:rPr>
            </w:pPr>
            <w:r>
              <w:rPr>
                <w:rFonts w:ascii="Times New Roman" w:cs="Times New Roman" w:eastAsia="Times New Roman" w:hAnsi="Times New Roman"/>
                <w:sz w:val="18"/>
                <w:szCs w:val="18"/>
                <w:color w:val="auto"/>
              </w:rPr>
              <w:t>Accounts payable</w:t>
            </w:r>
          </w:p>
        </w:tc>
        <w:tc>
          <w:tcPr>
            <w:tcW w:w="240" w:type="dxa"/>
            <w:vAlign w:val="bottom"/>
            <w:shd w:val="clear" w:color="auto" w:fill="CCEEFF"/>
          </w:tcPr>
          <w:p>
            <w:pPr>
              <w:jc w:val="right"/>
              <w:ind w:right="75"/>
              <w:spacing w:after="0"/>
              <w:rPr>
                <w:sz w:val="20"/>
                <w:szCs w:val="20"/>
                <w:color w:val="auto"/>
              </w:rPr>
            </w:pPr>
            <w:r>
              <w:rPr>
                <w:rFonts w:ascii="Times New Roman" w:cs="Times New Roman" w:eastAsia="Times New Roman" w:hAnsi="Times New Roman"/>
                <w:sz w:val="17"/>
                <w:szCs w:val="17"/>
                <w:color w:val="auto"/>
                <w:w w:val="70"/>
              </w:rPr>
              <w:t>$</w:t>
            </w:r>
          </w:p>
        </w:tc>
        <w:tc>
          <w:tcPr>
            <w:tcW w:w="156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190,169</w:t>
            </w:r>
          </w:p>
        </w:tc>
        <w:tc>
          <w:tcPr>
            <w:tcW w:w="240" w:type="dxa"/>
            <w:vAlign w:val="bottom"/>
            <w:shd w:val="clear" w:color="auto" w:fill="CCEEFF"/>
          </w:tcPr>
          <w:p>
            <w:pPr>
              <w:jc w:val="right"/>
              <w:ind w:right="75"/>
              <w:spacing w:after="0"/>
              <w:rPr>
                <w:sz w:val="20"/>
                <w:szCs w:val="20"/>
                <w:color w:val="auto"/>
              </w:rPr>
            </w:pPr>
            <w:r>
              <w:rPr>
                <w:rFonts w:ascii="Times New Roman" w:cs="Times New Roman" w:eastAsia="Times New Roman" w:hAnsi="Times New Roman"/>
                <w:sz w:val="17"/>
                <w:szCs w:val="17"/>
                <w:color w:val="auto"/>
                <w:w w:val="70"/>
              </w:rPr>
              <w:t>$</w:t>
            </w:r>
          </w:p>
        </w:tc>
        <w:tc>
          <w:tcPr>
            <w:tcW w:w="12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129,728</w:t>
            </w:r>
          </w:p>
        </w:tc>
        <w:tc>
          <w:tcPr>
            <w:tcW w:w="1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Accrued liabilities</w:t>
            </w:r>
          </w:p>
        </w:tc>
        <w:tc>
          <w:tcPr>
            <w:tcW w:w="240" w:type="dxa"/>
            <w:vAlign w:val="bottom"/>
          </w:tcPr>
          <w:p>
            <w:pPr>
              <w:spacing w:after="0"/>
              <w:rPr>
                <w:sz w:val="18"/>
                <w:szCs w:val="18"/>
                <w:color w:val="auto"/>
              </w:rPr>
            </w:pPr>
          </w:p>
        </w:tc>
        <w:tc>
          <w:tcPr>
            <w:tcW w:w="156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58,321</w:t>
            </w:r>
          </w:p>
        </w:tc>
        <w:tc>
          <w:tcPr>
            <w:tcW w:w="240" w:type="dxa"/>
            <w:vAlign w:val="bottom"/>
          </w:tcPr>
          <w:p>
            <w:pPr>
              <w:spacing w:after="0"/>
              <w:rPr>
                <w:sz w:val="18"/>
                <w:szCs w:val="18"/>
                <w:color w:val="auto"/>
              </w:rPr>
            </w:pPr>
          </w:p>
        </w:tc>
        <w:tc>
          <w:tcPr>
            <w:tcW w:w="140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52,740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260"/>
              <w:spacing w:after="0"/>
              <w:rPr>
                <w:sz w:val="20"/>
                <w:szCs w:val="20"/>
                <w:color w:val="auto"/>
              </w:rPr>
            </w:pPr>
            <w:r>
              <w:rPr>
                <w:rFonts w:ascii="Times New Roman" w:cs="Times New Roman" w:eastAsia="Times New Roman" w:hAnsi="Times New Roman"/>
                <w:sz w:val="18"/>
                <w:szCs w:val="18"/>
                <w:color w:val="auto"/>
              </w:rPr>
              <w:t>Income taxes payable</w:t>
            </w:r>
          </w:p>
        </w:tc>
        <w:tc>
          <w:tcPr>
            <w:tcW w:w="24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3,198</w:t>
            </w: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3,195</w:t>
            </w:r>
          </w:p>
        </w:tc>
        <w:tc>
          <w:tcPr>
            <w:tcW w:w="1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Deferred income</w:t>
            </w:r>
          </w:p>
        </w:tc>
        <w:tc>
          <w:tcPr>
            <w:tcW w:w="240" w:type="dxa"/>
            <w:vAlign w:val="bottom"/>
          </w:tcPr>
          <w:p>
            <w:pPr>
              <w:spacing w:after="0"/>
              <w:rPr>
                <w:sz w:val="18"/>
                <w:szCs w:val="18"/>
                <w:color w:val="auto"/>
              </w:rPr>
            </w:pPr>
          </w:p>
        </w:tc>
        <w:tc>
          <w:tcPr>
            <w:tcW w:w="156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25,792</w:t>
            </w:r>
          </w:p>
        </w:tc>
        <w:tc>
          <w:tcPr>
            <w:tcW w:w="240" w:type="dxa"/>
            <w:vAlign w:val="bottom"/>
          </w:tcPr>
          <w:p>
            <w:pPr>
              <w:spacing w:after="0"/>
              <w:rPr>
                <w:sz w:val="18"/>
                <w:szCs w:val="18"/>
                <w:color w:val="auto"/>
              </w:rPr>
            </w:pPr>
          </w:p>
        </w:tc>
        <w:tc>
          <w:tcPr>
            <w:tcW w:w="140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15,938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260"/>
              <w:spacing w:after="0"/>
              <w:rPr>
                <w:sz w:val="20"/>
                <w:szCs w:val="20"/>
                <w:color w:val="auto"/>
              </w:rPr>
            </w:pPr>
            <w:r>
              <w:rPr>
                <w:rFonts w:ascii="Times New Roman" w:cs="Times New Roman" w:eastAsia="Times New Roman" w:hAnsi="Times New Roman"/>
                <w:sz w:val="18"/>
                <w:szCs w:val="18"/>
                <w:color w:val="auto"/>
              </w:rPr>
              <w:t>Current portion of capital lease obligations</w:t>
            </w:r>
          </w:p>
        </w:tc>
        <w:tc>
          <w:tcPr>
            <w:tcW w:w="24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13,946</w:t>
            </w:r>
          </w:p>
        </w:tc>
        <w:tc>
          <w:tcPr>
            <w:tcW w:w="24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13,204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960" w:type="dxa"/>
            <w:vAlign w:val="bottom"/>
          </w:tcPr>
          <w:p>
            <w:pPr>
              <w:ind w:left="520"/>
              <w:spacing w:after="0"/>
              <w:rPr>
                <w:sz w:val="20"/>
                <w:szCs w:val="20"/>
                <w:color w:val="auto"/>
              </w:rPr>
            </w:pPr>
            <w:r>
              <w:rPr>
                <w:rFonts w:ascii="Times New Roman" w:cs="Times New Roman" w:eastAsia="Times New Roman" w:hAnsi="Times New Roman"/>
                <w:sz w:val="18"/>
                <w:szCs w:val="18"/>
                <w:color w:val="auto"/>
              </w:rPr>
              <w:t>Total current liabilities</w:t>
            </w:r>
          </w:p>
        </w:tc>
        <w:tc>
          <w:tcPr>
            <w:tcW w:w="240" w:type="dxa"/>
            <w:vAlign w:val="bottom"/>
            <w:tcBorders>
              <w:top w:val="single" w:sz="8" w:color="auto"/>
            </w:tcBorders>
          </w:tcPr>
          <w:p>
            <w:pPr>
              <w:spacing w:after="0"/>
              <w:rPr>
                <w:sz w:val="18"/>
                <w:szCs w:val="18"/>
                <w:color w:val="auto"/>
              </w:rPr>
            </w:pPr>
          </w:p>
        </w:tc>
        <w:tc>
          <w:tcPr>
            <w:tcW w:w="13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291,426</w:t>
            </w:r>
          </w:p>
        </w:tc>
        <w:tc>
          <w:tcPr>
            <w:tcW w:w="260" w:type="dxa"/>
            <w:vAlign w:val="bottom"/>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12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214,805</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Capital lease obligations</w:t>
            </w:r>
          </w:p>
        </w:tc>
        <w:tc>
          <w:tcPr>
            <w:tcW w:w="24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18,314</w:t>
            </w: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11,590</w:t>
            </w:r>
          </w:p>
        </w:tc>
        <w:tc>
          <w:tcPr>
            <w:tcW w:w="1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spacing w:after="0"/>
              <w:rPr>
                <w:sz w:val="20"/>
                <w:szCs w:val="20"/>
                <w:color w:val="auto"/>
              </w:rPr>
            </w:pPr>
            <w:r>
              <w:rPr>
                <w:rFonts w:ascii="Times New Roman" w:cs="Times New Roman" w:eastAsia="Times New Roman" w:hAnsi="Times New Roman"/>
                <w:sz w:val="18"/>
                <w:szCs w:val="18"/>
                <w:color w:val="auto"/>
              </w:rPr>
              <w:t>Other long-term liabilities</w:t>
            </w:r>
          </w:p>
        </w:tc>
        <w:tc>
          <w:tcPr>
            <w:tcW w:w="240" w:type="dxa"/>
            <w:vAlign w:val="bottom"/>
          </w:tcPr>
          <w:p>
            <w:pPr>
              <w:spacing w:after="0"/>
              <w:rPr>
                <w:sz w:val="18"/>
                <w:szCs w:val="18"/>
                <w:color w:val="auto"/>
              </w:rPr>
            </w:pPr>
          </w:p>
        </w:tc>
        <w:tc>
          <w:tcPr>
            <w:tcW w:w="156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109,586</w:t>
            </w:r>
          </w:p>
        </w:tc>
        <w:tc>
          <w:tcPr>
            <w:tcW w:w="240" w:type="dxa"/>
            <w:vAlign w:val="bottom"/>
          </w:tcPr>
          <w:p>
            <w:pPr>
              <w:spacing w:after="0"/>
              <w:rPr>
                <w:sz w:val="18"/>
                <w:szCs w:val="18"/>
                <w:color w:val="auto"/>
              </w:rPr>
            </w:pPr>
          </w:p>
        </w:tc>
        <w:tc>
          <w:tcPr>
            <w:tcW w:w="140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65,137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960" w:type="dxa"/>
            <w:vAlign w:val="bottom"/>
            <w:tcBorders>
              <w:top w:val="single" w:sz="8" w:color="CCEEFF"/>
            </w:tcBorders>
            <w:shd w:val="clear" w:color="auto" w:fill="CCEEFF"/>
          </w:tcPr>
          <w:p>
            <w:pPr>
              <w:ind w:left="520"/>
              <w:spacing w:after="0"/>
              <w:rPr>
                <w:sz w:val="20"/>
                <w:szCs w:val="20"/>
                <w:color w:val="auto"/>
              </w:rPr>
            </w:pPr>
            <w:r>
              <w:rPr>
                <w:rFonts w:ascii="Times New Roman" w:cs="Times New Roman" w:eastAsia="Times New Roman" w:hAnsi="Times New Roman"/>
                <w:sz w:val="18"/>
                <w:szCs w:val="18"/>
                <w:color w:val="auto"/>
              </w:rPr>
              <w:t>Total liabilities</w:t>
            </w:r>
          </w:p>
        </w:tc>
        <w:tc>
          <w:tcPr>
            <w:tcW w:w="240" w:type="dxa"/>
            <w:vAlign w:val="bottom"/>
            <w:tcBorders>
              <w:top w:val="single" w:sz="8" w:color="auto"/>
              <w:bottom w:val="single" w:sz="8" w:color="auto"/>
            </w:tcBorders>
            <w:shd w:val="clear" w:color="auto" w:fill="CCEEFF"/>
          </w:tcPr>
          <w:p>
            <w:pPr>
              <w:spacing w:after="0"/>
              <w:rPr>
                <w:sz w:val="18"/>
                <w:szCs w:val="18"/>
                <w:color w:val="auto"/>
              </w:rPr>
            </w:pPr>
          </w:p>
        </w:tc>
        <w:tc>
          <w:tcPr>
            <w:tcW w:w="13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419,326</w:t>
            </w:r>
          </w:p>
        </w:tc>
        <w:tc>
          <w:tcPr>
            <w:tcW w:w="2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spacing w:after="0"/>
              <w:rPr>
                <w:sz w:val="18"/>
                <w:szCs w:val="18"/>
                <w:color w:val="auto"/>
              </w:rPr>
            </w:pPr>
          </w:p>
        </w:tc>
        <w:tc>
          <w:tcPr>
            <w:tcW w:w="12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291,532</w:t>
            </w:r>
          </w:p>
        </w:tc>
        <w:tc>
          <w:tcPr>
            <w:tcW w:w="12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79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Shareholders’ equity:</w:t>
            </w:r>
          </w:p>
        </w:tc>
        <w:tc>
          <w:tcPr>
            <w:tcW w:w="240" w:type="dxa"/>
            <w:vAlign w:val="bottom"/>
            <w:shd w:val="clear" w:color="auto" w:fill="CCEEFF"/>
          </w:tcPr>
          <w:p>
            <w:pPr>
              <w:spacing w:after="0"/>
              <w:rPr>
                <w:sz w:val="18"/>
                <w:szCs w:val="18"/>
                <w:color w:val="auto"/>
              </w:rPr>
            </w:pPr>
          </w:p>
        </w:tc>
        <w:tc>
          <w:tcPr>
            <w:tcW w:w="1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Common stock</w:t>
            </w:r>
          </w:p>
        </w:tc>
        <w:tc>
          <w:tcPr>
            <w:tcW w:w="240" w:type="dxa"/>
            <w:vAlign w:val="bottom"/>
          </w:tcPr>
          <w:p>
            <w:pPr>
              <w:spacing w:after="0"/>
              <w:rPr>
                <w:sz w:val="18"/>
                <w:szCs w:val="18"/>
                <w:color w:val="auto"/>
              </w:rPr>
            </w:pPr>
          </w:p>
        </w:tc>
        <w:tc>
          <w:tcPr>
            <w:tcW w:w="156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567</w:t>
            </w:r>
          </w:p>
        </w:tc>
        <w:tc>
          <w:tcPr>
            <w:tcW w:w="240" w:type="dxa"/>
            <w:vAlign w:val="bottom"/>
          </w:tcPr>
          <w:p>
            <w:pPr>
              <w:spacing w:after="0"/>
              <w:rPr>
                <w:sz w:val="18"/>
                <w:szCs w:val="18"/>
                <w:color w:val="auto"/>
              </w:rPr>
            </w:pPr>
          </w:p>
        </w:tc>
        <w:tc>
          <w:tcPr>
            <w:tcW w:w="140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555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260"/>
              <w:spacing w:after="0"/>
              <w:rPr>
                <w:sz w:val="20"/>
                <w:szCs w:val="20"/>
                <w:color w:val="auto"/>
              </w:rPr>
            </w:pPr>
            <w:r>
              <w:rPr>
                <w:rFonts w:ascii="Times New Roman" w:cs="Times New Roman" w:eastAsia="Times New Roman" w:hAnsi="Times New Roman"/>
                <w:sz w:val="18"/>
                <w:szCs w:val="18"/>
                <w:color w:val="auto"/>
              </w:rPr>
              <w:t>Additional paid-in capital</w:t>
            </w:r>
          </w:p>
        </w:tc>
        <w:tc>
          <w:tcPr>
            <w:tcW w:w="24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3,100,862</w:t>
            </w: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3,035,200</w:t>
            </w:r>
          </w:p>
        </w:tc>
        <w:tc>
          <w:tcPr>
            <w:tcW w:w="1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Deferred stock-based compensation</w:t>
            </w:r>
          </w:p>
        </w:tc>
        <w:tc>
          <w:tcPr>
            <w:tcW w:w="240" w:type="dxa"/>
            <w:vAlign w:val="bottom"/>
          </w:tcPr>
          <w:p>
            <w:pPr>
              <w:spacing w:after="0"/>
              <w:rPr>
                <w:sz w:val="18"/>
                <w:szCs w:val="18"/>
                <w:color w:val="auto"/>
              </w:rPr>
            </w:pPr>
          </w:p>
        </w:tc>
        <w:tc>
          <w:tcPr>
            <w:tcW w:w="156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(1,489)</w:t>
            </w:r>
          </w:p>
        </w:tc>
        <w:tc>
          <w:tcPr>
            <w:tcW w:w="240" w:type="dxa"/>
            <w:vAlign w:val="bottom"/>
          </w:tcPr>
          <w:p>
            <w:pPr>
              <w:spacing w:after="0"/>
              <w:rPr>
                <w:sz w:val="18"/>
                <w:szCs w:val="18"/>
                <w:color w:val="auto"/>
              </w:rPr>
            </w:pPr>
          </w:p>
        </w:tc>
        <w:tc>
          <w:tcPr>
            <w:tcW w:w="14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(3,400)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260"/>
              <w:spacing w:after="0"/>
              <w:rPr>
                <w:sz w:val="20"/>
                <w:szCs w:val="20"/>
                <w:color w:val="auto"/>
              </w:rPr>
            </w:pPr>
            <w:r>
              <w:rPr>
                <w:rFonts w:ascii="Times New Roman" w:cs="Times New Roman" w:eastAsia="Times New Roman" w:hAnsi="Times New Roman"/>
                <w:sz w:val="18"/>
                <w:szCs w:val="18"/>
                <w:color w:val="auto"/>
              </w:rPr>
              <w:t>Accumulated other comprehensive loss</w:t>
            </w:r>
          </w:p>
        </w:tc>
        <w:tc>
          <w:tcPr>
            <w:tcW w:w="24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(2,207)</w:t>
            </w:r>
          </w:p>
        </w:tc>
        <w:tc>
          <w:tcPr>
            <w:tcW w:w="24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(1,807)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Accumulated deficit</w:t>
            </w:r>
          </w:p>
        </w:tc>
        <w:tc>
          <w:tcPr>
            <w:tcW w:w="240" w:type="dxa"/>
            <w:vAlign w:val="bottom"/>
          </w:tcPr>
          <w:p>
            <w:pPr>
              <w:spacing w:after="0"/>
              <w:rPr>
                <w:sz w:val="18"/>
                <w:szCs w:val="18"/>
                <w:color w:val="auto"/>
              </w:rPr>
            </w:pPr>
          </w:p>
        </w:tc>
        <w:tc>
          <w:tcPr>
            <w:tcW w:w="156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(299,238)</w:t>
            </w:r>
          </w:p>
        </w:tc>
        <w:tc>
          <w:tcPr>
            <w:tcW w:w="240" w:type="dxa"/>
            <w:vAlign w:val="bottom"/>
          </w:tcPr>
          <w:p>
            <w:pPr>
              <w:spacing w:after="0"/>
              <w:rPr>
                <w:sz w:val="18"/>
                <w:szCs w:val="18"/>
                <w:color w:val="auto"/>
              </w:rPr>
            </w:pPr>
          </w:p>
        </w:tc>
        <w:tc>
          <w:tcPr>
            <w:tcW w:w="14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(533,118)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960" w:type="dxa"/>
            <w:vAlign w:val="bottom"/>
            <w:tcBorders>
              <w:top w:val="single" w:sz="8" w:color="CCEEFF"/>
            </w:tcBorders>
            <w:shd w:val="clear" w:color="auto" w:fill="CCEEFF"/>
          </w:tcPr>
          <w:p>
            <w:pPr>
              <w:ind w:left="520"/>
              <w:spacing w:after="0"/>
              <w:rPr>
                <w:sz w:val="20"/>
                <w:szCs w:val="20"/>
                <w:color w:val="auto"/>
              </w:rPr>
            </w:pPr>
            <w:r>
              <w:rPr>
                <w:rFonts w:ascii="Times New Roman" w:cs="Times New Roman" w:eastAsia="Times New Roman" w:hAnsi="Times New Roman"/>
                <w:sz w:val="18"/>
                <w:szCs w:val="18"/>
                <w:color w:val="auto"/>
              </w:rPr>
              <w:t>Total shareholders’ equity</w:t>
            </w:r>
          </w:p>
        </w:tc>
        <w:tc>
          <w:tcPr>
            <w:tcW w:w="240" w:type="dxa"/>
            <w:vAlign w:val="bottom"/>
            <w:tcBorders>
              <w:top w:val="single" w:sz="8" w:color="auto"/>
              <w:bottom w:val="single" w:sz="8" w:color="auto"/>
            </w:tcBorders>
            <w:shd w:val="clear" w:color="auto" w:fill="CCEEFF"/>
          </w:tcPr>
          <w:p>
            <w:pPr>
              <w:spacing w:after="0"/>
              <w:rPr>
                <w:sz w:val="18"/>
                <w:szCs w:val="18"/>
                <w:color w:val="auto"/>
              </w:rPr>
            </w:pPr>
          </w:p>
        </w:tc>
        <w:tc>
          <w:tcPr>
            <w:tcW w:w="13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2,798,495</w:t>
            </w:r>
          </w:p>
        </w:tc>
        <w:tc>
          <w:tcPr>
            <w:tcW w:w="2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spacing w:after="0"/>
              <w:rPr>
                <w:sz w:val="18"/>
                <w:szCs w:val="18"/>
                <w:color w:val="auto"/>
              </w:rPr>
            </w:pPr>
          </w:p>
        </w:tc>
        <w:tc>
          <w:tcPr>
            <w:tcW w:w="12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2,497,430</w:t>
            </w:r>
          </w:p>
        </w:tc>
        <w:tc>
          <w:tcPr>
            <w:tcW w:w="12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960" w:type="dxa"/>
            <w:vAlign w:val="bottom"/>
          </w:tcPr>
          <w:p>
            <w:pPr>
              <w:ind w:left="520"/>
              <w:spacing w:after="0"/>
              <w:rPr>
                <w:sz w:val="20"/>
                <w:szCs w:val="20"/>
                <w:color w:val="auto"/>
              </w:rPr>
            </w:pPr>
            <w:r>
              <w:rPr>
                <w:rFonts w:ascii="Times New Roman" w:cs="Times New Roman" w:eastAsia="Times New Roman" w:hAnsi="Times New Roman"/>
                <w:sz w:val="18"/>
                <w:szCs w:val="18"/>
                <w:color w:val="auto"/>
              </w:rPr>
              <w:t>Total liabilities and shareholders’ equity</w:t>
            </w:r>
          </w:p>
        </w:tc>
        <w:tc>
          <w:tcPr>
            <w:tcW w:w="240" w:type="dxa"/>
            <w:vAlign w:val="bottom"/>
            <w:tcBorders>
              <w:bottom w:val="single" w:sz="8" w:color="auto"/>
            </w:tcBorders>
          </w:tcPr>
          <w:p>
            <w:pPr>
              <w:jc w:val="right"/>
              <w:ind w:right="75"/>
              <w:spacing w:after="0"/>
              <w:rPr>
                <w:sz w:val="20"/>
                <w:szCs w:val="20"/>
                <w:color w:val="auto"/>
              </w:rPr>
            </w:pPr>
            <w:r>
              <w:rPr>
                <w:rFonts w:ascii="Times New Roman" w:cs="Times New Roman" w:eastAsia="Times New Roman" w:hAnsi="Times New Roman"/>
                <w:sz w:val="17"/>
                <w:szCs w:val="17"/>
                <w:color w:val="auto"/>
                <w:w w:val="70"/>
              </w:rPr>
              <w:t>$</w:t>
            </w:r>
          </w:p>
        </w:tc>
        <w:tc>
          <w:tcPr>
            <w:tcW w:w="13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3,217,821</w:t>
            </w:r>
          </w:p>
        </w:tc>
        <w:tc>
          <w:tcPr>
            <w:tcW w:w="260" w:type="dxa"/>
            <w:vAlign w:val="bottom"/>
          </w:tcPr>
          <w:p>
            <w:pPr>
              <w:spacing w:after="0"/>
              <w:rPr>
                <w:sz w:val="18"/>
                <w:szCs w:val="18"/>
                <w:color w:val="auto"/>
              </w:rPr>
            </w:pPr>
          </w:p>
        </w:tc>
        <w:tc>
          <w:tcPr>
            <w:tcW w:w="240" w:type="dxa"/>
            <w:vAlign w:val="bottom"/>
            <w:tcBorders>
              <w:bottom w:val="single" w:sz="8" w:color="auto"/>
            </w:tcBorders>
          </w:tcPr>
          <w:p>
            <w:pPr>
              <w:jc w:val="right"/>
              <w:ind w:right="75"/>
              <w:spacing w:after="0"/>
              <w:rPr>
                <w:sz w:val="20"/>
                <w:szCs w:val="20"/>
                <w:color w:val="auto"/>
              </w:rPr>
            </w:pPr>
            <w:r>
              <w:rPr>
                <w:rFonts w:ascii="Times New Roman" w:cs="Times New Roman" w:eastAsia="Times New Roman" w:hAnsi="Times New Roman"/>
                <w:sz w:val="17"/>
                <w:szCs w:val="17"/>
                <w:color w:val="auto"/>
                <w:w w:val="70"/>
              </w:rPr>
              <w:t>$</w:t>
            </w:r>
          </w:p>
        </w:tc>
        <w:tc>
          <w:tcPr>
            <w:tcW w:w="12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2,788,962</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1"/>
        </w:trPr>
        <w:tc>
          <w:tcPr>
            <w:tcW w:w="20" w:type="dxa"/>
            <w:vAlign w:val="bottom"/>
          </w:tcPr>
          <w:p>
            <w:pPr>
              <w:spacing w:after="0"/>
              <w:rPr>
                <w:sz w:val="24"/>
                <w:szCs w:val="24"/>
                <w:color w:val="auto"/>
              </w:rPr>
            </w:pPr>
          </w:p>
        </w:tc>
        <w:tc>
          <w:tcPr>
            <w:tcW w:w="7960" w:type="dxa"/>
            <w:vAlign w:val="bottom"/>
            <w:tcBorders>
              <w:bottom w:val="single" w:sz="8" w:color="808080"/>
            </w:tcBorders>
          </w:tcPr>
          <w:p>
            <w:pPr>
              <w:spacing w:after="0"/>
              <w:rPr>
                <w:sz w:val="24"/>
                <w:szCs w:val="24"/>
                <w:color w:val="auto"/>
              </w:rPr>
            </w:pPr>
          </w:p>
        </w:tc>
        <w:tc>
          <w:tcPr>
            <w:tcW w:w="240" w:type="dxa"/>
            <w:vAlign w:val="bottom"/>
            <w:tcBorders>
              <w:bottom w:val="single" w:sz="8" w:color="808080"/>
            </w:tcBorders>
          </w:tcPr>
          <w:p>
            <w:pPr>
              <w:spacing w:after="0"/>
              <w:rPr>
                <w:sz w:val="24"/>
                <w:szCs w:val="24"/>
                <w:color w:val="auto"/>
              </w:rPr>
            </w:pPr>
          </w:p>
        </w:tc>
        <w:tc>
          <w:tcPr>
            <w:tcW w:w="1300" w:type="dxa"/>
            <w:vAlign w:val="bottom"/>
            <w:tcBorders>
              <w:bottom w:val="single" w:sz="8" w:color="808080"/>
            </w:tcBorders>
          </w:tcPr>
          <w:p>
            <w:pPr>
              <w:spacing w:after="0"/>
              <w:rPr>
                <w:sz w:val="24"/>
                <w:szCs w:val="24"/>
                <w:color w:val="auto"/>
              </w:rPr>
            </w:pPr>
          </w:p>
        </w:tc>
        <w:tc>
          <w:tcPr>
            <w:tcW w:w="260" w:type="dxa"/>
            <w:vAlign w:val="bottom"/>
            <w:tcBorders>
              <w:bottom w:val="single" w:sz="8" w:color="808080"/>
            </w:tcBorders>
          </w:tcPr>
          <w:p>
            <w:pPr>
              <w:spacing w:after="0"/>
              <w:rPr>
                <w:sz w:val="24"/>
                <w:szCs w:val="24"/>
                <w:color w:val="auto"/>
              </w:rPr>
            </w:pPr>
          </w:p>
        </w:tc>
        <w:tc>
          <w:tcPr>
            <w:tcW w:w="24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2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sectPr>
      <w:pgSz w:w="11900" w:h="16838" w:orient="portrait"/>
      <w:cols w:equalWidth="0" w:num="1">
        <w:col w:w="11440"/>
      </w:cols>
      <w:pgMar w:left="240" w:top="140" w:right="219" w:bottom="221"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643C9869"/>
    <w:multiLevelType w:val="hybridMultilevel"/>
    <w:lvl w:ilvl="0">
      <w:lvlJc w:val="left"/>
      <w:lvlText w:val="o"/>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2019-12-14T20:11:46Z</dcterms:created>
  <dcterms:modified xsi:type="dcterms:W3CDTF">2019-12-14T20:11:46Z</dcterms:modified>
</cp:coreProperties>
</file>