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2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As filed with the Securities and Exchange Commission on December 16, 2005</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Registration No. 333-129834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74295</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142875</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64770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65"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Amendment No. 2</w:t>
      </w:r>
    </w:p>
    <w:p>
      <w:pPr>
        <w:spacing w:after="0" w:line="5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to</w:t>
      </w:r>
    </w:p>
    <w:p>
      <w:pPr>
        <w:spacing w:after="0" w:line="25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S-3</w:t>
      </w:r>
    </w:p>
    <w:p>
      <w:pPr>
        <w:spacing w:after="0" w:line="118"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REGISTRATION STATEMENT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under</w:t>
      </w:r>
    </w:p>
    <w:p>
      <w:pPr>
        <w:jc w:val="center"/>
        <w:spacing w:after="0"/>
        <w:rPr>
          <w:sz w:val="20"/>
          <w:szCs w:val="20"/>
          <w:color w:val="auto"/>
        </w:rPr>
      </w:pPr>
      <w:r>
        <w:rPr>
          <w:rFonts w:ascii="Arial" w:cs="Arial" w:eastAsia="Arial" w:hAnsi="Arial"/>
          <w:sz w:val="22"/>
          <w:szCs w:val="22"/>
          <w:b w:val="1"/>
          <w:b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55880</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48"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7" w:lineRule="exact"/>
        <w:rPr>
          <w:sz w:val="24"/>
          <w:szCs w:val="24"/>
          <w:color w:val="auto"/>
        </w:rPr>
      </w:pPr>
    </w:p>
    <w:p>
      <w:pPr>
        <w:ind w:left="2660"/>
        <w:spacing w:after="0"/>
        <w:tabs>
          <w:tab w:leader="none" w:pos="8380" w:val="left"/>
        </w:tabs>
        <w:rPr>
          <w:sz w:val="20"/>
          <w:szCs w:val="20"/>
          <w:color w:val="auto"/>
        </w:rPr>
      </w:pPr>
      <w:r>
        <w:rPr>
          <w:rFonts w:ascii="Arial" w:cs="Arial" w:eastAsia="Arial" w:hAnsi="Arial"/>
          <w:sz w:val="18"/>
          <w:szCs w:val="18"/>
          <w:b w:val="1"/>
          <w:bCs w:val="1"/>
          <w:color w:val="auto"/>
        </w:rPr>
        <w:t>Bermuda</w:t>
      </w:r>
      <w:r>
        <w:rPr>
          <w:sz w:val="20"/>
          <w:szCs w:val="20"/>
          <w:color w:val="auto"/>
        </w:rPr>
        <w:tab/>
      </w:r>
      <w:r>
        <w:rPr>
          <w:rFonts w:ascii="Arial" w:cs="Arial" w:eastAsia="Arial" w:hAnsi="Arial"/>
          <w:sz w:val="18"/>
          <w:szCs w:val="18"/>
          <w:b w:val="1"/>
          <w:bCs w:val="1"/>
          <w:color w:val="auto"/>
        </w:rPr>
        <w:t>77-0481679</w:t>
      </w:r>
    </w:p>
    <w:p>
      <w:pPr>
        <w:spacing w:after="0" w:line="9" w:lineRule="exact"/>
        <w:rPr>
          <w:sz w:val="24"/>
          <w:szCs w:val="24"/>
          <w:color w:val="auto"/>
        </w:rPr>
      </w:pPr>
    </w:p>
    <w:p>
      <w:pPr>
        <w:ind w:left="860"/>
        <w:spacing w:after="0"/>
        <w:tabs>
          <w:tab w:leader="none" w:pos="7500" w:val="left"/>
        </w:tabs>
        <w:rPr>
          <w:sz w:val="20"/>
          <w:szCs w:val="20"/>
          <w:color w:val="auto"/>
        </w:rPr>
      </w:pPr>
      <w:r>
        <w:rPr>
          <w:rFonts w:ascii="Arial" w:cs="Arial" w:eastAsia="Arial" w:hAnsi="Arial"/>
          <w:sz w:val="18"/>
          <w:szCs w:val="18"/>
          <w:color w:val="auto"/>
        </w:rPr>
        <w:t>(State or other jurisdiction of incorporation or organization)</w:t>
      </w:r>
      <w:r>
        <w:rPr>
          <w:sz w:val="20"/>
          <w:szCs w:val="20"/>
          <w:color w:val="auto"/>
        </w:rPr>
        <w:tab/>
      </w:r>
      <w:r>
        <w:rPr>
          <w:rFonts w:ascii="Arial" w:cs="Arial" w:eastAsia="Arial" w:hAnsi="Arial"/>
          <w:sz w:val="17"/>
          <w:szCs w:val="17"/>
          <w:color w:val="auto"/>
        </w:rPr>
        <w:t>(I.R.S. Employer Identification No.)</w:t>
      </w:r>
    </w:p>
    <w:p>
      <w:pPr>
        <w:spacing w:after="0" w:line="15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and telephone number, including area code, of registrant’s principal executive offices)</w:t>
      </w:r>
    </w:p>
    <w:p>
      <w:pPr>
        <w:spacing w:after="0" w:line="9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Vice President of Business Affairs and General Counsel</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address, including zip code, and telephone number, including area code, of agent for service)</w:t>
      </w:r>
    </w:p>
    <w:p>
      <w:pPr>
        <w:spacing w:after="0" w:line="103" w:lineRule="exact"/>
        <w:rPr>
          <w:sz w:val="24"/>
          <w:szCs w:val="24"/>
          <w:color w:val="auto"/>
        </w:rPr>
      </w:pPr>
    </w:p>
    <w:p>
      <w:pPr>
        <w:jc w:val="center"/>
        <w:spacing w:after="0"/>
        <w:rPr>
          <w:sz w:val="20"/>
          <w:szCs w:val="20"/>
          <w:color w:val="auto"/>
        </w:rPr>
      </w:pPr>
      <w:r>
        <w:rPr>
          <w:rFonts w:ascii="Arial" w:cs="Arial" w:eastAsia="Arial" w:hAnsi="Arial"/>
          <w:sz w:val="18"/>
          <w:szCs w:val="18"/>
          <w:i w:val="1"/>
          <w:iCs w:val="1"/>
          <w:color w:val="auto"/>
        </w:rPr>
        <w:t>Copies to:</w:t>
      </w:r>
    </w:p>
    <w:p>
      <w:pPr>
        <w:spacing w:after="0" w:line="5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Stanton D. Wong</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Pillsbury Winthrop Shaw Pittman LLP</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P.O. Box 7880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 Francisco, California 94120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66040</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6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Approximate date of commencement of proposed sale to the public:</w:t>
      </w:r>
    </w:p>
    <w:p>
      <w:pPr>
        <w:spacing w:after="0" w:line="27" w:lineRule="exact"/>
        <w:rPr>
          <w:sz w:val="24"/>
          <w:szCs w:val="24"/>
          <w:color w:val="auto"/>
        </w:rPr>
      </w:pPr>
    </w:p>
    <w:p>
      <w:pPr>
        <w:ind w:left="3180"/>
        <w:spacing w:after="0"/>
        <w:rPr>
          <w:sz w:val="20"/>
          <w:szCs w:val="20"/>
          <w:color w:val="auto"/>
        </w:rPr>
      </w:pPr>
      <w:r>
        <w:rPr>
          <w:rFonts w:ascii="Arial" w:cs="Arial" w:eastAsia="Arial" w:hAnsi="Arial"/>
          <w:sz w:val="18"/>
          <w:szCs w:val="18"/>
          <w:color w:val="auto"/>
        </w:rPr>
        <w:t>From time to time after this Registration Statement becomes effective.</w:t>
      </w:r>
    </w:p>
    <w:p>
      <w:pPr>
        <w:spacing w:after="0" w:line="157" w:lineRule="exact"/>
        <w:rPr>
          <w:sz w:val="24"/>
          <w:szCs w:val="24"/>
          <w:color w:val="auto"/>
        </w:rPr>
      </w:pPr>
    </w:p>
    <w:p>
      <w:pPr>
        <w:ind w:left="660"/>
        <w:spacing w:after="0"/>
        <w:rPr>
          <w:sz w:val="20"/>
          <w:szCs w:val="20"/>
          <w:color w:val="auto"/>
        </w:rPr>
      </w:pPr>
      <w:r>
        <w:rPr>
          <w:rFonts w:ascii="Arial" w:cs="Arial" w:eastAsia="Arial" w:hAnsi="Arial"/>
          <w:sz w:val="16"/>
          <w:szCs w:val="16"/>
          <w:color w:val="auto"/>
        </w:rPr>
        <w:t>If the only securities being registered on this Form are being offered pursuant to dividend or interest reinvestment plans, please check the following</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box. o</w:t>
      </w:r>
    </w:p>
    <w:p>
      <w:pPr>
        <w:spacing w:after="0" w:line="62" w:lineRule="exact"/>
        <w:rPr>
          <w:sz w:val="24"/>
          <w:szCs w:val="24"/>
          <w:color w:val="auto"/>
        </w:rPr>
      </w:pPr>
    </w:p>
    <w:p>
      <w:pPr>
        <w:ind w:right="40" w:firstLine="648"/>
        <w:spacing w:after="0" w:line="233" w:lineRule="exact"/>
        <w:rPr>
          <w:sz w:val="20"/>
          <w:szCs w:val="20"/>
          <w:color w:val="auto"/>
        </w:rPr>
      </w:pPr>
      <w:r>
        <w:rPr>
          <w:rFonts w:ascii="Arial" w:cs="Arial" w:eastAsia="Arial" w:hAnsi="Arial"/>
          <w:sz w:val="18"/>
          <w:szCs w:val="18"/>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34" w:lineRule="exact"/>
        <w:rPr>
          <w:sz w:val="24"/>
          <w:szCs w:val="24"/>
          <w:color w:val="auto"/>
        </w:rPr>
      </w:pPr>
    </w:p>
    <w:p>
      <w:pPr>
        <w:ind w:right="140" w:firstLine="648"/>
        <w:spacing w:after="0" w:line="272" w:lineRule="auto"/>
        <w:rPr>
          <w:sz w:val="20"/>
          <w:szCs w:val="20"/>
          <w:color w:val="auto"/>
        </w:rPr>
      </w:pPr>
      <w:r>
        <w:rPr>
          <w:rFonts w:ascii="Arial" w:cs="Arial" w:eastAsia="Arial" w:hAnsi="Arial"/>
          <w:sz w:val="18"/>
          <w:szCs w:val="18"/>
          <w:color w:val="auto"/>
        </w:rPr>
        <w:t>If this Form is filed to register additional securities for an offering pursuant to Rule 462(b) under the Securities Act, please check the following box and list the Securities Act registration statement number of the earlier effective registration statement for the same offering. o</w:t>
      </w:r>
    </w:p>
    <w:p>
      <w:pPr>
        <w:spacing w:after="0" w:line="233" w:lineRule="exact"/>
        <w:rPr>
          <w:sz w:val="24"/>
          <w:szCs w:val="24"/>
          <w:color w:val="auto"/>
        </w:rPr>
      </w:pPr>
    </w:p>
    <w:p>
      <w:pPr>
        <w:ind w:right="80" w:firstLine="648"/>
        <w:spacing w:after="0" w:line="277" w:lineRule="auto"/>
        <w:rPr>
          <w:sz w:val="20"/>
          <w:szCs w:val="20"/>
          <w:color w:val="auto"/>
        </w:rPr>
      </w:pPr>
      <w:r>
        <w:rPr>
          <w:rFonts w:ascii="Arial" w:cs="Arial" w:eastAsia="Arial" w:hAnsi="Arial"/>
          <w:sz w:val="18"/>
          <w:szCs w:val="18"/>
          <w:color w:val="auto"/>
        </w:rPr>
        <w:t>If this Form is a post-effective amendment filed pursuant to Rule 462(c) under the Securities Act, check the following box and list the Securities Act registration statement number of the earlier effective registration statement for the same offering. o</w:t>
      </w:r>
    </w:p>
    <w:p>
      <w:pPr>
        <w:spacing w:after="0" w:line="238"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color w:val="auto"/>
        </w:rPr>
        <w:t>If this Form is a registration statement pursuant to General Instruction I.D. or a post-effective amendment thereto that shall become effective upon filing with the Commission pursuant to Rule 462(e) under the Securities Act, check the following box. o</w:t>
      </w:r>
    </w:p>
    <w:p>
      <w:pPr>
        <w:spacing w:after="0" w:line="238" w:lineRule="exact"/>
        <w:rPr>
          <w:sz w:val="24"/>
          <w:szCs w:val="24"/>
          <w:color w:val="auto"/>
        </w:rPr>
      </w:pPr>
    </w:p>
    <w:p>
      <w:pPr>
        <w:ind w:right="160" w:firstLine="648"/>
        <w:spacing w:after="0" w:line="277" w:lineRule="auto"/>
        <w:rPr>
          <w:sz w:val="20"/>
          <w:szCs w:val="20"/>
          <w:color w:val="auto"/>
        </w:rPr>
      </w:pPr>
      <w:r>
        <w:rPr>
          <w:rFonts w:ascii="Arial" w:cs="Arial" w:eastAsia="Arial" w:hAnsi="Arial"/>
          <w:sz w:val="18"/>
          <w:szCs w:val="18"/>
          <w:color w:val="auto"/>
        </w:rPr>
        <w:t>If this Form is a post-effective amendment to a registration statement filed pursuant to General Instruction I.D. filed to register additional securities or additional classes of securities pursuant to Rule 413(b) under the Securities Act, check the following box. o</w:t>
      </w:r>
    </w:p>
    <w:p>
      <w:pPr>
        <w:spacing w:after="0" w:line="220" w:lineRule="exact"/>
        <w:rPr>
          <w:sz w:val="24"/>
          <w:szCs w:val="24"/>
          <w:color w:val="auto"/>
        </w:rPr>
      </w:pPr>
    </w:p>
    <w:p>
      <w:pPr>
        <w:ind w:right="80" w:firstLine="648"/>
        <w:spacing w:after="0" w:line="261" w:lineRule="auto"/>
        <w:rPr>
          <w:sz w:val="20"/>
          <w:szCs w:val="20"/>
          <w:color w:val="auto"/>
        </w:rPr>
      </w:pPr>
      <w:r>
        <w:rPr>
          <w:rFonts w:ascii="Arial" w:cs="Arial" w:eastAsia="Arial" w:hAnsi="Arial"/>
          <w:sz w:val="18"/>
          <w:szCs w:val="18"/>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Securities and Exchange Commission,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125730</wp:posOffset>
            </wp:positionV>
            <wp:extent cx="7246620" cy="342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194310</wp:posOffset>
            </wp:positionV>
            <wp:extent cx="7246620" cy="342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295275</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962" w:orient="portrait"/>
          <w:cols w:equalWidth="0" w:num="1">
            <w:col w:w="11420"/>
          </w:cols>
          <w:pgMar w:left="240" w:top="233" w:right="239"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8" w:lineRule="exact"/>
        <w:rPr>
          <w:sz w:val="24"/>
          <w:szCs w:val="24"/>
          <w:color w:val="auto"/>
        </w:rPr>
      </w:pPr>
    </w:p>
    <w:p>
      <w:pPr>
        <w:ind w:right="60"/>
        <w:spacing w:after="0" w:line="342" w:lineRule="auto"/>
        <w:rPr>
          <w:sz w:val="20"/>
          <w:szCs w:val="20"/>
          <w:color w:val="auto"/>
        </w:rPr>
      </w:pPr>
      <w:r>
        <w:rPr>
          <w:rFonts w:ascii="Arial" w:cs="Arial" w:eastAsia="Arial" w:hAnsi="Arial"/>
          <w:sz w:val="16"/>
          <w:szCs w:val="16"/>
          <w:color w:val="auto"/>
        </w:rPr>
        <w:t>The information in this prospectus is not complete and may be changed. We may not sell these securities until the registration statement filed with the Securities and Exchange Commission is effective. This prospectus is not an offer to sell these securities and it is not soliciting an offer to buy these securities</w:t>
      </w:r>
    </w:p>
    <w:p>
      <w:pPr>
        <w:sectPr>
          <w:pgSz w:w="11900" w:h="16962" w:orient="portrait"/>
          <w:cols w:equalWidth="0" w:num="1">
            <w:col w:w="11420"/>
          </w:cols>
          <w:pgMar w:left="240" w:top="233"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t>in any state where the offer or sale is not permitted.</w:t>
      </w:r>
    </w:p>
    <w:p>
      <w:pPr>
        <w:spacing w:after="0" w:line="2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Subject to Completion, Dated December 16, 2005</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PROSPECTUS</w:t>
      </w:r>
    </w:p>
    <w:p>
      <w:pPr>
        <w:spacing w:after="0" w:line="217" w:lineRule="exact"/>
        <w:rPr>
          <w:sz w:val="20"/>
          <w:szCs w:val="20"/>
          <w:color w:val="auto"/>
        </w:rPr>
      </w:pPr>
    </w:p>
    <w:p>
      <w:pPr>
        <w:jc w:val="center"/>
        <w:ind w:right="20"/>
        <w:spacing w:after="0"/>
        <w:rPr>
          <w:sz w:val="20"/>
          <w:szCs w:val="20"/>
          <w:color w:val="auto"/>
        </w:rPr>
      </w:pPr>
      <w:r>
        <w:rPr>
          <w:rFonts w:ascii="Arial" w:cs="Arial" w:eastAsia="Arial" w:hAnsi="Arial"/>
          <w:sz w:val="25"/>
          <w:szCs w:val="25"/>
          <w:b w:val="1"/>
          <w:bCs w:val="1"/>
          <w:color w:val="auto"/>
        </w:rPr>
        <w:t>980,499 Shares</w:t>
      </w:r>
    </w:p>
    <w:p>
      <w:pPr>
        <w:spacing w:after="0" w:line="200" w:lineRule="exact"/>
        <w:rPr>
          <w:sz w:val="20"/>
          <w:szCs w:val="20"/>
          <w:color w:val="auto"/>
        </w:rPr>
      </w:pPr>
    </w:p>
    <w:p>
      <w:pPr>
        <w:spacing w:after="0" w:line="224" w:lineRule="exact"/>
        <w:rPr>
          <w:sz w:val="20"/>
          <w:szCs w:val="20"/>
          <w:color w:val="auto"/>
        </w:rPr>
      </w:pPr>
    </w:p>
    <w:p>
      <w:pPr>
        <w:jc w:val="center"/>
        <w:ind w:right="20"/>
        <w:spacing w:after="0"/>
        <w:rPr>
          <w:sz w:val="20"/>
          <w:szCs w:val="20"/>
          <w:color w:val="auto"/>
        </w:rPr>
      </w:pPr>
      <w:r>
        <w:rPr>
          <w:rFonts w:ascii="Arial" w:cs="Arial" w:eastAsia="Arial" w:hAnsi="Arial"/>
          <w:sz w:val="32"/>
          <w:szCs w:val="32"/>
          <w:b w:val="1"/>
          <w:bCs w:val="1"/>
          <w:color w:val="auto"/>
        </w:rPr>
        <w:t>MARVELL TECHNOLOGY GROUP LTD.</w:t>
      </w:r>
    </w:p>
    <w:p>
      <w:pPr>
        <w:spacing w:after="0" w:line="339" w:lineRule="exact"/>
        <w:rPr>
          <w:sz w:val="20"/>
          <w:szCs w:val="20"/>
          <w:color w:val="auto"/>
        </w:rPr>
      </w:pPr>
    </w:p>
    <w:p>
      <w:pPr>
        <w:jc w:val="center"/>
        <w:ind w:right="20"/>
        <w:spacing w:after="0"/>
        <w:rPr>
          <w:sz w:val="20"/>
          <w:szCs w:val="20"/>
          <w:color w:val="auto"/>
        </w:rPr>
      </w:pPr>
      <w:r>
        <w:rPr>
          <w:rFonts w:ascii="Arial" w:cs="Arial" w:eastAsia="Arial" w:hAnsi="Arial"/>
          <w:sz w:val="25"/>
          <w:szCs w:val="25"/>
          <w:b w:val="1"/>
          <w:bCs w:val="1"/>
          <w:color w:val="auto"/>
        </w:rPr>
        <w:t>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89535</wp:posOffset>
            </wp:positionV>
            <wp:extent cx="182689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selling shareholder identified in this prospectus may sell up to 980,499 shares of our common stock.</w:t>
      </w:r>
    </w:p>
    <w:p>
      <w:pPr>
        <w:spacing w:after="0" w:line="225" w:lineRule="exact"/>
        <w:rPr>
          <w:sz w:val="20"/>
          <w:szCs w:val="20"/>
          <w:color w:val="auto"/>
        </w:rPr>
      </w:pPr>
    </w:p>
    <w:p>
      <w:pPr>
        <w:ind w:right="280" w:firstLine="648"/>
        <w:spacing w:after="0" w:line="277" w:lineRule="auto"/>
        <w:rPr>
          <w:sz w:val="20"/>
          <w:szCs w:val="20"/>
          <w:color w:val="auto"/>
        </w:rPr>
      </w:pPr>
      <w:r>
        <w:rPr>
          <w:rFonts w:ascii="Arial" w:cs="Arial" w:eastAsia="Arial" w:hAnsi="Arial"/>
          <w:sz w:val="18"/>
          <w:szCs w:val="18"/>
          <w:color w:val="auto"/>
        </w:rPr>
        <w:t>Our common stock is traded on the Nasdaq National Market under the symbol “MRVL.” The last reported sale price of our common stock on the Nasdaq National Market on December 15, 2005 was $58.82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117475</wp:posOffset>
            </wp:positionV>
            <wp:extent cx="182689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right="580" w:firstLine="648"/>
        <w:spacing w:after="0" w:line="256" w:lineRule="auto"/>
        <w:rPr>
          <w:sz w:val="20"/>
          <w:szCs w:val="20"/>
          <w:color w:val="auto"/>
        </w:rPr>
      </w:pPr>
      <w:r>
        <w:rPr>
          <w:rFonts w:ascii="Arial" w:cs="Arial" w:eastAsia="Arial" w:hAnsi="Arial"/>
          <w:sz w:val="22"/>
          <w:szCs w:val="22"/>
          <w:b w:val="1"/>
          <w:bCs w:val="1"/>
          <w:color w:val="auto"/>
        </w:rPr>
        <w:t>Investing in our common stock involves a high degree of risk. You should carefully read and consider the “Risk Factors” beginning on 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120650</wp:posOffset>
            </wp:positionV>
            <wp:extent cx="182689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right="360" w:firstLine="648"/>
        <w:spacing w:after="0" w:line="313" w:lineRule="auto"/>
        <w:rPr>
          <w:sz w:val="20"/>
          <w:szCs w:val="20"/>
          <w:color w:val="auto"/>
        </w:rPr>
      </w:pPr>
      <w:r>
        <w:rPr>
          <w:rFonts w:ascii="Arial" w:cs="Arial" w:eastAsia="Arial" w:hAnsi="Arial"/>
          <w:sz w:val="17"/>
          <w:szCs w:val="17"/>
          <w:b w:val="1"/>
          <w:bCs w:val="1"/>
          <w:color w:val="auto"/>
        </w:rPr>
        <w:t>Neither the Securities and Exchange Commission nor any state securities commission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99695</wp:posOffset>
            </wp:positionV>
            <wp:extent cx="182689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540" w:type="dxa"/>
            <w:vAlign w:val="bottom"/>
          </w:tcPr>
          <w:p>
            <w:pPr>
              <w:ind w:left="4000"/>
              <w:spacing w:after="0"/>
              <w:rPr>
                <w:sz w:val="20"/>
                <w:szCs w:val="20"/>
                <w:color w:val="auto"/>
              </w:rPr>
            </w:pPr>
            <w:r>
              <w:rPr>
                <w:rFonts w:ascii="Arial" w:cs="Arial" w:eastAsia="Arial" w:hAnsi="Arial"/>
                <w:sz w:val="18"/>
                <w:szCs w:val="18"/>
                <w:color w:val="auto"/>
              </w:rPr>
              <w:t>The date of this prospectus is</w:t>
            </w:r>
          </w:p>
        </w:tc>
        <w:tc>
          <w:tcPr>
            <w:tcW w:w="4900" w:type="dxa"/>
            <w:vAlign w:val="bottom"/>
          </w:tcPr>
          <w:p>
            <w:pPr>
              <w:jc w:val="right"/>
              <w:ind w:right="3930"/>
              <w:spacing w:after="0"/>
              <w:rPr>
                <w:sz w:val="20"/>
                <w:szCs w:val="20"/>
                <w:color w:val="auto"/>
              </w:rPr>
            </w:pPr>
            <w:r>
              <w:rPr>
                <w:rFonts w:ascii="Arial" w:cs="Arial" w:eastAsia="Arial" w:hAnsi="Arial"/>
                <w:sz w:val="18"/>
                <w:szCs w:val="18"/>
                <w:color w:val="auto"/>
              </w:rPr>
              <w:t>, 2005</w:t>
            </w:r>
          </w:p>
        </w:tc>
      </w:tr>
      <w:tr>
        <w:trPr>
          <w:trHeight w:val="321"/>
        </w:trPr>
        <w:tc>
          <w:tcPr>
            <w:tcW w:w="6540" w:type="dxa"/>
            <w:vAlign w:val="bottom"/>
            <w:tcBorders>
              <w:bottom w:val="single" w:sz="8" w:color="808080"/>
            </w:tcBorders>
          </w:tcPr>
          <w:p>
            <w:pPr>
              <w:spacing w:after="0"/>
              <w:rPr>
                <w:sz w:val="24"/>
                <w:szCs w:val="24"/>
                <w:color w:val="auto"/>
              </w:rPr>
            </w:pPr>
          </w:p>
        </w:tc>
        <w:tc>
          <w:tcPr>
            <w:tcW w:w="49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03" w:lineRule="exact"/>
        <w:rPr>
          <w:sz w:val="20"/>
          <w:szCs w:val="20"/>
          <w:color w:val="auto"/>
        </w:rPr>
      </w:pPr>
    </w:p>
    <w:p>
      <w:pPr>
        <w:ind w:left="660"/>
        <w:spacing w:after="0"/>
        <w:rPr>
          <w:sz w:val="20"/>
          <w:szCs w:val="20"/>
          <w:color w:val="auto"/>
        </w:rPr>
      </w:pPr>
      <w:r>
        <w:rPr>
          <w:rFonts w:ascii="Arial" w:cs="Arial" w:eastAsia="Arial" w:hAnsi="Arial"/>
          <w:sz w:val="16"/>
          <w:szCs w:val="16"/>
          <w:i w:val="1"/>
          <w:iCs w:val="1"/>
          <w:color w:val="auto"/>
        </w:rPr>
        <w:t>You should read carefully the entire prospectus, as well as the documents incorporated by reference in the prospectus, before making an investment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decision.</w:t>
      </w:r>
    </w:p>
    <w:p>
      <w:pPr>
        <w:spacing w:after="0" w:line="20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right="60" w:firstLine="720"/>
        <w:spacing w:after="0" w:line="269" w:lineRule="auto"/>
        <w:rPr>
          <w:sz w:val="20"/>
          <w:szCs w:val="20"/>
          <w:color w:val="auto"/>
        </w:rPr>
      </w:pPr>
      <w:r>
        <w:rPr>
          <w:rFonts w:ascii="Arial" w:cs="Arial" w:eastAsia="Arial" w:hAnsi="Arial"/>
          <w:sz w:val="17"/>
          <w:szCs w:val="17"/>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storage and power management solutions that serve diverse applications used in business enterprise, consumer electronics and emerging markets. Our core technologies were initially focused on the storage market, where we provide high-performance products to storage companies such as Fujitsu, Hitachi, Maxtor, Samsung, Seagate, Toshiba and Western Digital. We subsequently applied our technology to the high-speed, or broadband, communications market, where we provide industry-leading physical layer transceivers, switched Ethernet and wireless solutions, which provide the interface between communications systems and data transmission media, to manufacturers of high-speed networking and wireless equipment including Asustek, Cisco, 3Com, Dell, Foundry Networks, Intel and NETGEAR. Our wireless technology has a variety of uses in emerging consumer electronic devices, including enabling applications such as wireless connectivity, ad-hoc gaming, streaming audio or video and voice over Internet applications for products offered by companies such as Motorola, PalmOne and Sony Corporation. We also applied our technology by introducing integrated circuits and modules that provide power management broadly to electronic devices.</w:t>
      </w:r>
    </w:p>
    <w:p>
      <w:pPr>
        <w:spacing w:after="0" w:line="183" w:lineRule="exact"/>
        <w:rPr>
          <w:sz w:val="20"/>
          <w:szCs w:val="20"/>
          <w:color w:val="auto"/>
        </w:rPr>
      </w:pPr>
    </w:p>
    <w:p>
      <w:pPr>
        <w:ind w:right="180" w:firstLine="720"/>
        <w:spacing w:after="0" w:line="288" w:lineRule="auto"/>
        <w:rPr>
          <w:sz w:val="20"/>
          <w:szCs w:val="20"/>
          <w:color w:val="auto"/>
        </w:rPr>
      </w:pPr>
      <w:r>
        <w:rPr>
          <w:rFonts w:ascii="Arial" w:cs="Arial" w:eastAsia="Arial" w:hAnsi="Arial"/>
          <w:sz w:val="16"/>
          <w:szCs w:val="16"/>
          <w:color w:val="auto"/>
        </w:rPr>
        <w:t>Marvell Technology Group Ltd. was incorporated in Bermuda in January 1995. Our registered address is Canon’s Court, 22 Victoria Street, Hamilton HM 12, Bermuda, and our telephone number there is (441) 296-6395. The address of our United States subsidiary is Marvell Semiconductor, Inc., 5488 Marvell Lane, Santa Clara, California 95054, and our telephone number there is (408) 222-2500. Our fiscal year ends on the Saturday nearest January</w:t>
      </w:r>
    </w:p>
    <w:p>
      <w:pPr>
        <w:ind w:left="5660" w:right="4920" w:hanging="5652"/>
        <w:spacing w:after="0" w:line="555" w:lineRule="auto"/>
        <w:tabs>
          <w:tab w:leader="none" w:pos="269" w:val="left"/>
        </w:tabs>
        <w:numPr>
          <w:ilvl w:val="0"/>
          <w:numId w:val="1"/>
        </w:numPr>
        <w:rPr>
          <w:rFonts w:ascii="Arial" w:cs="Arial" w:eastAsia="Arial" w:hAnsi="Arial"/>
          <w:sz w:val="17"/>
          <w:szCs w:val="17"/>
          <w:color w:val="auto"/>
        </w:rPr>
      </w:pPr>
      <w:r>
        <w:rPr>
          <w:rFonts w:ascii="Arial" w:cs="Arial" w:eastAsia="Arial" w:hAnsi="Arial"/>
          <w:sz w:val="17"/>
          <w:szCs w:val="17"/>
          <w:color w:val="auto"/>
        </w:rPr>
        <w:t>For presentation purposes, we refer to January 31 as our fiscal year-end for all periods.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-95250</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RISK FACTORS</w:t>
      </w:r>
    </w:p>
    <w:p>
      <w:pPr>
        <w:sectPr>
          <w:pgSz w:w="11900" w:h="16838" w:orient="portrait"/>
          <w:cols w:equalWidth="0" w:num="1">
            <w:col w:w="11440"/>
          </w:cols>
          <w:pgMar w:left="240" w:top="125" w:right="219" w:bottom="0" w:gutter="0" w:footer="0" w:header="0"/>
        </w:sectPr>
      </w:pPr>
    </w:p>
    <w:p>
      <w:pPr>
        <w:spacing w:after="0" w:line="229" w:lineRule="exact"/>
        <w:rPr>
          <w:sz w:val="20"/>
          <w:szCs w:val="20"/>
          <w:color w:val="auto"/>
        </w:rPr>
      </w:pPr>
    </w:p>
    <w:p>
      <w:pPr>
        <w:ind w:right="200" w:firstLine="765"/>
        <w:spacing w:after="0" w:line="342" w:lineRule="auto"/>
        <w:rPr>
          <w:sz w:val="20"/>
          <w:szCs w:val="20"/>
          <w:color w:val="auto"/>
        </w:rPr>
      </w:pPr>
      <w:r>
        <w:rPr>
          <w:rFonts w:ascii="Arial" w:cs="Arial" w:eastAsia="Arial" w:hAnsi="Arial"/>
          <w:sz w:val="16"/>
          <w:szCs w:val="16"/>
          <w:i w:val="1"/>
          <w:iCs w:val="1"/>
          <w:color w:val="auto"/>
        </w:rPr>
        <w:t>Investing in Marvell common stock involves a high degree of risk. You should carefully read and consider the risks described below and the other information in this prospectus, including the information incorporated by reference, before deciding to invest in our common stock. If any of the risks</w:t>
      </w:r>
    </w:p>
    <w:p>
      <w:pPr>
        <w:sectPr>
          <w:pgSz w:w="11900" w:h="16838" w:orient="portrait"/>
          <w:cols w:equalWidth="0" w:num="1">
            <w:col w:w="11440"/>
          </w:cols>
          <w:pgMar w:left="240" w:top="125" w:right="219" w:bottom="0" w:gutter="0" w:footer="0" w:header="0"/>
          <w:type w:val="continuous"/>
        </w:sectPr>
      </w:pPr>
    </w:p>
    <w:bookmarkStart w:id="2" w:name="page3"/>
    <w:bookmarkEnd w:id="2"/>
    <w:p>
      <w:pPr>
        <w:ind w:right="420"/>
        <w:spacing w:after="0" w:line="277" w:lineRule="auto"/>
        <w:rPr>
          <w:sz w:val="20"/>
          <w:szCs w:val="20"/>
          <w:color w:val="auto"/>
        </w:rPr>
      </w:pPr>
      <w:r>
        <w:rPr>
          <w:rFonts w:ascii="Arial" w:cs="Arial" w:eastAsia="Arial" w:hAnsi="Arial"/>
          <w:sz w:val="18"/>
          <w:szCs w:val="18"/>
          <w:i w:val="1"/>
          <w:iCs w:val="1"/>
          <w:color w:val="auto"/>
        </w:rPr>
        <w:t>described below materializes, our operating results and financial condition could be adversely affected and the trading price of our common stock could decline. References to “Marvell,” “we,” “us” or “our” refer to Marvell Technology Group Ltd. and our subsidiaries.</w:t>
      </w:r>
    </w:p>
    <w:p>
      <w:pPr>
        <w:spacing w:after="0" w:line="170"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60" w:lineRule="exact"/>
        <w:rPr>
          <w:sz w:val="20"/>
          <w:szCs w:val="20"/>
          <w:color w:val="auto"/>
        </w:rPr>
      </w:pPr>
    </w:p>
    <w:p>
      <w:pPr>
        <w:ind w:right="40" w:firstLine="709"/>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40" w:firstLine="709"/>
        <w:spacing w:after="0" w:line="270" w:lineRule="auto"/>
        <w:rPr>
          <w:sz w:val="20"/>
          <w:szCs w:val="20"/>
          <w:color w:val="auto"/>
        </w:rPr>
      </w:pPr>
      <w:r>
        <w:rPr>
          <w:rFonts w:ascii="Arial" w:cs="Arial" w:eastAsia="Arial" w:hAnsi="Arial"/>
          <w:sz w:val="17"/>
          <w:szCs w:val="17"/>
          <w:color w:val="auto"/>
        </w:rPr>
        <w:t>In the first nine months of fiscal 2006, approximately 45% of our net revenue was derived from sales to three customers, each of whom individually accounted for 10% or more of our net revenue during this period. Of these customers, Western Digital accounted for approximately 18%, Samsung accounted for approximately 14% and Toshiba accounted for approximately 13%. Additionally, Wintech, a distributor, accounted for approximately 11% of our net revenue during the first nine months of fiscal 2006.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in the future. The loss of any of our largest customers, a significant reduction in sales we make to them, or any problems we encounter collecting amounts due from them would likely seriously harm our financial condition, results of operations and liquidity.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980" w:right="500" w:hanging="324"/>
        <w:spacing w:after="0" w:line="232" w:lineRule="auto"/>
        <w:tabs>
          <w:tab w:leader="none" w:pos="975" w:val="left"/>
        </w:tabs>
        <w:numPr>
          <w:ilvl w:val="0"/>
          <w:numId w:val="2"/>
        </w:numPr>
        <w:rPr>
          <w:rFonts w:ascii="Arial" w:cs="Arial" w:eastAsia="Arial" w:hAnsi="Arial"/>
          <w:sz w:val="22"/>
          <w:szCs w:val="22"/>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develop their own solutions;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purchase integrated circuits from our competitors;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02"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70" w:lineRule="exact"/>
        <w:rPr>
          <w:sz w:val="20"/>
          <w:szCs w:val="20"/>
          <w:color w:val="auto"/>
        </w:rPr>
      </w:pPr>
    </w:p>
    <w:p>
      <w:pPr>
        <w:ind w:right="20" w:firstLine="709"/>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40" w:firstLine="709"/>
        <w:spacing w:after="0" w:line="257" w:lineRule="auto"/>
        <w:rPr>
          <w:sz w:val="20"/>
          <w:szCs w:val="20"/>
          <w:color w:val="auto"/>
        </w:rPr>
      </w:pPr>
      <w:r>
        <w:rPr>
          <w:rFonts w:ascii="Arial" w:cs="Arial" w:eastAsia="Arial" w:hAnsi="Arial"/>
          <w:sz w:val="18"/>
          <w:szCs w:val="18"/>
          <w:color w:val="auto"/>
        </w:rPr>
        <w:t>For the past four years, we have been able to report significant sequential quarterly growth in revenues; however, our revenues have grown at a slower sequential rate in the past six sequential quarters ending with the third quarter of fiscal 2006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88"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70" w:lineRule="exact"/>
        <w:rPr>
          <w:sz w:val="20"/>
          <w:szCs w:val="20"/>
          <w:color w:val="auto"/>
        </w:rPr>
      </w:pPr>
    </w:p>
    <w:p>
      <w:pPr>
        <w:ind w:right="20" w:firstLine="720"/>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93" w:lineRule="exact"/>
        <w:rPr>
          <w:sz w:val="20"/>
          <w:szCs w:val="20"/>
          <w:color w:val="auto"/>
        </w:rPr>
      </w:pPr>
    </w:p>
    <w:p>
      <w:pPr>
        <w:ind w:firstLine="709"/>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harm our business, financial condition or results of operations.</w:t>
      </w:r>
    </w:p>
    <w:p>
      <w:pPr>
        <w:sectPr>
          <w:pgSz w:w="11900" w:h="16838" w:orient="portrait"/>
          <w:cols w:equalWidth="0" w:num="1">
            <w:col w:w="11420"/>
          </w:cols>
          <w:pgMar w:left="240" w:top="125" w:right="239" w:bottom="0" w:gutter="0" w:footer="0" w:header="0"/>
        </w:sectPr>
      </w:pPr>
    </w:p>
    <w:bookmarkStart w:id="3" w:name="page4"/>
    <w:bookmarkEnd w:id="3"/>
    <w:p>
      <w:pPr>
        <w:ind w:right="320" w:firstLine="709"/>
        <w:spacing w:after="0" w:line="277"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must rely on third-party vendors to manufacture, assemble and test the products we design.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91" w:lineRule="auto"/>
        <w:rPr>
          <w:sz w:val="20"/>
          <w:szCs w:val="20"/>
          <w:color w:val="auto"/>
        </w:rPr>
      </w:pPr>
      <w:r>
        <w:rPr>
          <w:rFonts w:ascii="Arial" w:cs="Arial" w:eastAsia="Arial" w:hAnsi="Arial"/>
          <w:sz w:val="16"/>
          <w:szCs w:val="16"/>
          <w:color w:val="auto"/>
        </w:rPr>
        <w:t>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or SARS, the outbreak of avian flu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67" w:lineRule="exact"/>
        <w:rPr>
          <w:sz w:val="20"/>
          <w:szCs w:val="20"/>
          <w:color w:val="auto"/>
        </w:rPr>
      </w:pPr>
    </w:p>
    <w:p>
      <w:pPr>
        <w:ind w:right="20" w:firstLine="709"/>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81" w:lineRule="exact"/>
        <w:rPr>
          <w:sz w:val="20"/>
          <w:szCs w:val="20"/>
          <w:color w:val="auto"/>
        </w:rPr>
      </w:pPr>
    </w:p>
    <w:p>
      <w:pPr>
        <w:ind w:firstLine="720"/>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may cause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79"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709"/>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70" w:lineRule="exact"/>
        <w:rPr>
          <w:sz w:val="20"/>
          <w:szCs w:val="20"/>
          <w:color w:val="auto"/>
        </w:rPr>
      </w:pPr>
    </w:p>
    <w:p>
      <w:pPr>
        <w:ind w:right="60" w:firstLine="709"/>
        <w:spacing w:after="0" w:line="257" w:lineRule="auto"/>
        <w:rPr>
          <w:sz w:val="20"/>
          <w:szCs w:val="20"/>
          <w:color w:val="auto"/>
        </w:rPr>
      </w:pPr>
      <w:r>
        <w:rPr>
          <w:rFonts w:ascii="Arial" w:cs="Arial" w:eastAsia="Arial" w:hAnsi="Arial"/>
          <w:sz w:val="18"/>
          <w:szCs w:val="18"/>
          <w:color w:val="auto"/>
        </w:rPr>
        <w:t>In recent years, worldwide economic conditions have been volatile with concerns about inflation, increased reliance on consumer confidence, rising oil prices and the situation in Iraq. The events of September 11, 2001, the continuing international conflicts and terrorist acts, continued increases in the price of oil, the possibility of an extended United States presence in Iraq, and the potential pandemic of avian or other flu-like illnesses can be expected to place further pressure on economic conditions in the United States and worldwide. These conditions make it extremely difficult for our customers, our vendors and for us to accurately forecast and plan future business activities.</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right="80" w:firstLine="709"/>
        <w:spacing w:after="0" w:line="291"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do, which would allow them to respond more quickly than we can to new or emerging technologies or changes in customer requirements. In addition, new competitors or alliances among existing competitors could emerge. We expect to face competition in the future from our current competitors, other manufacturers and designers of integrated</w:t>
      </w:r>
    </w:p>
    <w:p>
      <w:pPr>
        <w:sectPr>
          <w:pgSz w:w="11900" w:h="16838" w:orient="portrait"/>
          <w:cols w:equalWidth="0" w:num="1">
            <w:col w:w="11420"/>
          </w:cols>
          <w:pgMar w:left="240" w:top="125" w:right="239" w:bottom="0" w:gutter="0" w:footer="0" w:header="0"/>
        </w:sectPr>
      </w:pPr>
    </w:p>
    <w:bookmarkStart w:id="4" w:name="page5"/>
    <w:bookmarkEnd w:id="4"/>
    <w:p>
      <w:pPr>
        <w:spacing w:after="0" w:line="56"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24"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70" w:lineRule="exact"/>
        <w:rPr>
          <w:sz w:val="20"/>
          <w:szCs w:val="20"/>
          <w:color w:val="auto"/>
        </w:rPr>
      </w:pPr>
    </w:p>
    <w:p>
      <w:pPr>
        <w:ind w:right="40" w:firstLine="709"/>
        <w:spacing w:after="0" w:line="290"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66" w:lineRule="exact"/>
        <w:rPr>
          <w:sz w:val="20"/>
          <w:szCs w:val="20"/>
          <w:color w:val="auto"/>
        </w:rPr>
      </w:pPr>
    </w:p>
    <w:p>
      <w:pPr>
        <w:ind w:right="16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40" w:firstLine="709"/>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These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firstLine="709"/>
        <w:spacing w:after="0" w:line="272" w:lineRule="auto"/>
        <w:rPr>
          <w:sz w:val="20"/>
          <w:szCs w:val="20"/>
          <w:color w:val="auto"/>
        </w:rPr>
      </w:pPr>
      <w:r>
        <w:rPr>
          <w:rFonts w:ascii="Arial" w:cs="Arial" w:eastAsia="Arial" w:hAnsi="Arial"/>
          <w:sz w:val="17"/>
          <w:szCs w:val="17"/>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w:t>
      </w:r>
    </w:p>
    <w:p>
      <w:pPr>
        <w:spacing w:after="0" w:line="17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in our existing or new products could result in significant warranty, support and repair costs, and divert the attention of our engineering personnel from our product development efforts.</w:t>
      </w: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20" w:firstLine="709"/>
        <w:spacing w:after="0" w:line="286" w:lineRule="auto"/>
        <w:rPr>
          <w:sz w:val="20"/>
          <w:szCs w:val="20"/>
          <w:color w:val="auto"/>
        </w:rPr>
      </w:pPr>
      <w:r>
        <w:rPr>
          <w:rFonts w:ascii="Arial" w:cs="Arial" w:eastAsia="Arial" w:hAnsi="Arial"/>
          <w:sz w:val="16"/>
          <w:szCs w:val="16"/>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72" w:lineRule="exact"/>
        <w:rPr>
          <w:sz w:val="20"/>
          <w:szCs w:val="20"/>
          <w:color w:val="auto"/>
        </w:rPr>
      </w:pPr>
    </w:p>
    <w:p>
      <w:pPr>
        <w:ind w:right="180" w:firstLine="709"/>
        <w:spacing w:after="0" w:line="312"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47" w:lineRule="exact"/>
        <w:rPr>
          <w:sz w:val="20"/>
          <w:szCs w:val="20"/>
          <w:color w:val="auto"/>
        </w:rPr>
      </w:pPr>
    </w:p>
    <w:p>
      <w:pPr>
        <w:jc w:val="both"/>
        <w:ind w:firstLine="709"/>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240" w:firstLine="709"/>
        <w:spacing w:after="0" w:line="342" w:lineRule="auto"/>
        <w:rPr>
          <w:sz w:val="20"/>
          <w:szCs w:val="20"/>
          <w:color w:val="auto"/>
        </w:rPr>
      </w:pPr>
      <w:r>
        <w:rPr>
          <w:rFonts w:ascii="Arial" w:cs="Arial" w:eastAsia="Arial" w:hAnsi="Arial"/>
          <w:sz w:val="16"/>
          <w:szCs w:val="16"/>
          <w:color w:val="auto"/>
        </w:rPr>
        <w:t>Highly complex products such as the products that we offer may contain defects and bugs when they are first introduced or as new versions are released. We may in the future experience these defects and bugs. Historically, we have been able to design workarounds to fix these defects and bugs with</w:t>
      </w:r>
    </w:p>
    <w:p>
      <w:pPr>
        <w:sectPr>
          <w:pgSz w:w="11900" w:h="16894" w:orient="portrait"/>
          <w:cols w:equalWidth="0" w:num="1">
            <w:col w:w="11400"/>
          </w:cols>
          <w:pgMar w:left="240" w:top="125" w:right="259" w:bottom="0" w:gutter="0" w:footer="0" w:header="0"/>
        </w:sectPr>
      </w:pPr>
    </w:p>
    <w:bookmarkStart w:id="5" w:name="page6"/>
    <w:bookmarkEnd w:id="5"/>
    <w:p>
      <w:pPr>
        <w:spacing w:after="0" w:line="253" w:lineRule="auto"/>
        <w:rPr>
          <w:sz w:val="20"/>
          <w:szCs w:val="20"/>
          <w:color w:val="auto"/>
        </w:rPr>
      </w:pPr>
      <w:r>
        <w:rPr>
          <w:rFonts w:ascii="Arial" w:cs="Arial" w:eastAsia="Arial" w:hAnsi="Arial"/>
          <w:sz w:val="18"/>
          <w:szCs w:val="18"/>
          <w:color w:val="auto"/>
        </w:rPr>
        <w:t>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or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may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acceptance of the affected product or products, and we could lose credibility with our current and prospective customers. As a result, our financial results could be materially harmed.</w:t>
      </w:r>
    </w:p>
    <w:p>
      <w:pPr>
        <w:spacing w:after="0" w:line="170"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140" w:firstLine="709"/>
        <w:spacing w:after="0" w:line="269"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In the past, we have experienced some difficulties in shifting to smaller geometry process technologies or new manufacturing processes, which resulted in, among other things,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results of operations and liquidity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83"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If our internal control over financial reporting does not comply with the requirements of the Sarbanes-Oxley Act, our business, reputation and stock price could be adversely affected.</w:t>
      </w:r>
    </w:p>
    <w:p>
      <w:pPr>
        <w:spacing w:after="0" w:line="170" w:lineRule="exact"/>
        <w:rPr>
          <w:sz w:val="20"/>
          <w:szCs w:val="20"/>
          <w:color w:val="auto"/>
        </w:rPr>
      </w:pPr>
    </w:p>
    <w:p>
      <w:pPr>
        <w:ind w:right="40" w:firstLine="709"/>
        <w:spacing w:after="0" w:line="259" w:lineRule="auto"/>
        <w:rPr>
          <w:sz w:val="20"/>
          <w:szCs w:val="20"/>
          <w:color w:val="auto"/>
        </w:rPr>
      </w:pPr>
      <w:r>
        <w:rPr>
          <w:rFonts w:ascii="Arial" w:cs="Arial" w:eastAsia="Arial" w:hAnsi="Arial"/>
          <w:sz w:val="18"/>
          <w:szCs w:val="18"/>
          <w:color w:val="auto"/>
        </w:rPr>
        <w:t>Section 404 of the Sarbanes-Oxley Act of 2002 requires us to evaluate the effectiveness of our internal control over financial reporting as of the end of each year and to include a management report assessing the effectiveness of our internal control over financial reporting in all annual reports. Section 404 also requires our independent registered public accounting firm to attest to, and report on, management’s assessment of our internal control over financial reporting.</w:t>
      </w:r>
    </w:p>
    <w:p>
      <w:pPr>
        <w:spacing w:after="0" w:line="187" w:lineRule="exact"/>
        <w:rPr>
          <w:sz w:val="20"/>
          <w:szCs w:val="20"/>
          <w:color w:val="auto"/>
        </w:rPr>
      </w:pPr>
    </w:p>
    <w:p>
      <w:pPr>
        <w:ind w:right="140" w:firstLine="709"/>
        <w:spacing w:after="0" w:line="279" w:lineRule="auto"/>
        <w:rPr>
          <w:sz w:val="20"/>
          <w:szCs w:val="20"/>
          <w:color w:val="auto"/>
        </w:rPr>
      </w:pPr>
      <w:r>
        <w:rPr>
          <w:rFonts w:ascii="Arial" w:cs="Arial" w:eastAsia="Arial" w:hAnsi="Arial"/>
          <w:sz w:val="17"/>
          <w:szCs w:val="17"/>
          <w:color w:val="auto"/>
        </w:rPr>
        <w:t>We cannot assure you that we or our independent registered public accounting firm will not identify a material weakness in our internal controls in the future. A material weakness in our internal control over financial reporting would require management and our independent registered public accounting firm to evaluate our internal control over financial reporting as ineffective. If our internal control over financial reporting is considered ineffective, we may experience a loss of public confidence, which could have an adverse effect on our business and our stock price.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100" w:firstLine="720"/>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400" w:firstLine="720"/>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5" w:lineRule="exact"/>
        <w:rPr>
          <w:sz w:val="20"/>
          <w:szCs w:val="20"/>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the difficulty of assimilating the operations and personnel of acquired businesses;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the potential disruption of our ongoing business;</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distraction of management from our business;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potential difficulty maintaining uniform standards, controls, procedures and policies;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8" w:lineRule="exact"/>
        <w:rPr>
          <w:rFonts w:ascii="Arial" w:cs="Arial" w:eastAsia="Arial" w:hAnsi="Arial"/>
          <w:sz w:val="22"/>
          <w:szCs w:val="22"/>
          <w:color w:val="auto"/>
        </w:rPr>
      </w:pPr>
    </w:p>
    <w:p>
      <w:pPr>
        <w:ind w:left="980" w:right="360" w:hanging="324"/>
        <w:spacing w:after="0" w:line="232" w:lineRule="auto"/>
        <w:tabs>
          <w:tab w:leader="none" w:pos="975"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ectPr>
          <w:pgSz w:w="11900" w:h="16838" w:orient="portrait"/>
          <w:cols w:equalWidth="0" w:num="1">
            <w:col w:w="11420"/>
          </w:cols>
          <w:pgMar w:left="240" w:top="125" w:right="239" w:bottom="65" w:gutter="0" w:footer="0" w:header="0"/>
        </w:sectPr>
      </w:pPr>
    </w:p>
    <w:bookmarkStart w:id="6" w:name="page7"/>
    <w:bookmarkEnd w:id="6"/>
    <w:p>
      <w:pPr>
        <w:spacing w:after="0" w:line="110" w:lineRule="exact"/>
        <w:rPr>
          <w:sz w:val="20"/>
          <w:szCs w:val="20"/>
          <w:color w:val="auto"/>
        </w:rPr>
      </w:pPr>
    </w:p>
    <w:p>
      <w:pPr>
        <w:ind w:left="980" w:right="180" w:hanging="324"/>
        <w:spacing w:after="0" w:line="232" w:lineRule="auto"/>
        <w:tabs>
          <w:tab w:leader="none" w:pos="975" w:val="left"/>
        </w:tabs>
        <w:numPr>
          <w:ilvl w:val="0"/>
          <w:numId w:val="5"/>
        </w:numPr>
        <w:rPr>
          <w:rFonts w:ascii="Arial" w:cs="Arial" w:eastAsia="Arial" w:hAnsi="Arial"/>
          <w:sz w:val="22"/>
          <w:szCs w:val="22"/>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the potential loss of key employees of an acquired company.</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560" w:firstLine="709"/>
        <w:spacing w:after="0" w:line="277" w:lineRule="auto"/>
        <w:rPr>
          <w:sz w:val="20"/>
          <w:szCs w:val="20"/>
          <w:color w:val="auto"/>
        </w:rPr>
      </w:pPr>
      <w:r>
        <w:rPr>
          <w:rFonts w:ascii="Arial" w:cs="Arial" w:eastAsia="Arial" w:hAnsi="Arial"/>
          <w:sz w:val="18"/>
          <w:szCs w:val="18"/>
          <w:color w:val="auto"/>
        </w:rPr>
        <w:t>We recently acquired the hard disk and tape drive controller semiconductor business of QLogic Corporation for consideration consisting of a combination of $180.0 million in cash and 980,499 shares of our common stock.</w:t>
      </w:r>
    </w:p>
    <w:p>
      <w:pPr>
        <w:spacing w:after="0" w:line="170" w:lineRule="exact"/>
        <w:rPr>
          <w:sz w:val="20"/>
          <w:szCs w:val="20"/>
          <w:color w:val="auto"/>
        </w:rPr>
      </w:pPr>
    </w:p>
    <w:p>
      <w:pPr>
        <w:ind w:firstLine="709"/>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3" w:lineRule="exact"/>
        <w:rPr>
          <w:sz w:val="20"/>
          <w:szCs w:val="20"/>
          <w:color w:val="auto"/>
        </w:rPr>
      </w:pPr>
    </w:p>
    <w:p>
      <w:pPr>
        <w:ind w:right="40" w:firstLine="709"/>
        <w:spacing w:after="0" w:line="269"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$1.5 billion as of October 31, 2005.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225" w:lineRule="exact"/>
        <w:rPr>
          <w:sz w:val="20"/>
          <w:szCs w:val="20"/>
          <w:color w:val="auto"/>
        </w:rPr>
      </w:pPr>
    </w:p>
    <w:p>
      <w:pPr>
        <w:ind w:right="460" w:firstLine="720"/>
        <w:spacing w:after="0" w:line="277" w:lineRule="auto"/>
        <w:rPr>
          <w:sz w:val="20"/>
          <w:szCs w:val="20"/>
          <w:color w:val="auto"/>
        </w:rPr>
      </w:pPr>
      <w:r>
        <w:rPr>
          <w:rFonts w:ascii="Arial" w:cs="Arial" w:eastAsia="Arial" w:hAnsi="Arial"/>
          <w:sz w:val="18"/>
          <w:szCs w:val="18"/>
          <w:color w:val="auto"/>
        </w:rPr>
        <w:t>In December 2004, the FASB issued SFAS No. 123R, “Share-Based Payment.” SFAS No. 123R requires employee stock options and rights to purchase shares under stock participation plans to be accounted for under the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 xml:space="preserve">fair value method, and eliminates the ability to account for these instruments under the intrinsic value method prescribed by APB Opinion No. 25, and allowed under the original provisions of SFAS No. 123. SFAS No. 123R requires the use of an option pricing model for estimating fair value, which is amortized to expense over the service periods. The requirements of SFAS No. 123R are effective for fiscal years beginning after June 15, 2005. This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6"/>
          <w:szCs w:val="16"/>
          <w:i w:val="1"/>
          <w:iCs w:val="1"/>
          <w:color w:val="auto"/>
        </w:rPr>
        <w:t>Accounting for Stock Issued to Employees</w:t>
      </w:r>
      <w:r>
        <w:rPr>
          <w:rFonts w:ascii="Arial" w:cs="Arial" w:eastAsia="Arial" w:hAnsi="Arial"/>
          <w:sz w:val="16"/>
          <w:szCs w:val="16"/>
          <w:color w:val="auto"/>
        </w:rPr>
        <w:t>, and have adopted the disclosure-only alternative to SFAS 123. When we are required to expense employee stock options in the quarter ending April 30, 2006, this change in accounting treatment will materially and adversely affect our reported results of operations because the stock-based compensation expense would be charged directly against our reported earnings.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Our U.S. headquarters located in Santa Clara, California, subjects us to the risks of owning real property, including:</w:t>
      </w:r>
    </w:p>
    <w:p>
      <w:pPr>
        <w:spacing w:after="0" w:line="230" w:lineRule="exact"/>
        <w:rPr>
          <w:sz w:val="20"/>
          <w:szCs w:val="20"/>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8" w:lineRule="exact"/>
        <w:rPr>
          <w:rFonts w:ascii="Arial" w:cs="Arial" w:eastAsia="Arial" w:hAnsi="Arial"/>
          <w:sz w:val="22"/>
          <w:szCs w:val="22"/>
          <w:color w:val="auto"/>
        </w:rPr>
      </w:pPr>
    </w:p>
    <w:p>
      <w:pPr>
        <w:ind w:left="980" w:right="24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need for structural improvements in order to comply with zoning, seismic and other legal or regulatory requirements;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8" w:lineRule="exact"/>
        <w:rPr>
          <w:rFonts w:ascii="Arial" w:cs="Arial" w:eastAsia="Arial" w:hAnsi="Arial"/>
          <w:sz w:val="22"/>
          <w:szCs w:val="22"/>
          <w:color w:val="auto"/>
        </w:rPr>
      </w:pPr>
    </w:p>
    <w:p>
      <w:pPr>
        <w:ind w:left="980" w:right="16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204" w:lineRule="exact"/>
        <w:rPr>
          <w:sz w:val="20"/>
          <w:szCs w:val="20"/>
          <w:color w:val="auto"/>
        </w:rPr>
      </w:pPr>
    </w:p>
    <w:p>
      <w:pPr>
        <w:ind w:right="48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00" w:firstLine="709"/>
        <w:spacing w:after="0" w:line="342"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w:t>
      </w:r>
    </w:p>
    <w:p>
      <w:pPr>
        <w:sectPr>
          <w:pgSz w:w="11900" w:h="16948" w:orient="portrait"/>
          <w:cols w:equalWidth="0" w:num="1">
            <w:col w:w="11420"/>
          </w:cols>
          <w:pgMar w:left="240" w:top="152" w:right="239" w:bottom="0" w:gutter="0" w:footer="0" w:header="0"/>
        </w:sectPr>
      </w:pPr>
    </w:p>
    <w:bookmarkStart w:id="7" w:name="page8"/>
    <w:bookmarkEnd w:id="7"/>
    <w:p>
      <w:pPr>
        <w:ind w:right="180"/>
        <w:spacing w:after="0" w:line="277" w:lineRule="auto"/>
        <w:rPr>
          <w:sz w:val="20"/>
          <w:szCs w:val="20"/>
          <w:color w:val="auto"/>
        </w:rPr>
      </w:pPr>
      <w:r>
        <w:rPr>
          <w:rFonts w:ascii="Arial" w:cs="Arial" w:eastAsia="Arial" w:hAnsi="Arial"/>
          <w:sz w:val="18"/>
          <w:szCs w:val="18"/>
          <w:color w:val="auto"/>
        </w:rPr>
        <w:t>personnel, could delay the development and introduction of and harm our ability to sell our products. We do not have employment contracts with any of our key personnel, and their knowledge of our business and industry would be extremely difficult to replace.</w:t>
      </w:r>
    </w:p>
    <w:p>
      <w:pPr>
        <w:spacing w:after="0" w:line="170" w:lineRule="exact"/>
        <w:rPr>
          <w:sz w:val="20"/>
          <w:szCs w:val="20"/>
          <w:color w:val="auto"/>
        </w:rPr>
      </w:pPr>
    </w:p>
    <w:p>
      <w:pPr>
        <w:jc w:val="both"/>
        <w:ind w:right="40" w:firstLine="720"/>
        <w:spacing w:after="0" w:line="312" w:lineRule="auto"/>
        <w:rPr>
          <w:sz w:val="20"/>
          <w:szCs w:val="20"/>
          <w:color w:val="auto"/>
        </w:rPr>
      </w:pPr>
      <w:r>
        <w:rPr>
          <w:rFonts w:ascii="Arial" w:cs="Arial" w:eastAsia="Arial" w:hAnsi="Arial"/>
          <w:sz w:val="16"/>
          <w:szCs w:val="16"/>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source of our technological and product innovations. We may not be successful in attracting and retaining sufficient numbers of technical personnel to support our anticipated growth.</w:t>
      </w:r>
    </w:p>
    <w:p>
      <w:pPr>
        <w:spacing w:after="0" w:line="170" w:lineRule="exact"/>
        <w:rPr>
          <w:sz w:val="20"/>
          <w:szCs w:val="20"/>
          <w:color w:val="auto"/>
        </w:rPr>
      </w:pPr>
    </w:p>
    <w:p>
      <w:pPr>
        <w:ind w:right="100" w:firstLine="709"/>
        <w:spacing w:after="0" w:line="276" w:lineRule="auto"/>
        <w:rPr>
          <w:sz w:val="20"/>
          <w:szCs w:val="20"/>
          <w:color w:val="auto"/>
        </w:rPr>
      </w:pPr>
      <w:r>
        <w:rPr>
          <w:rFonts w:ascii="Arial" w:cs="Arial" w:eastAsia="Arial" w:hAnsi="Arial"/>
          <w:sz w:val="17"/>
          <w:szCs w:val="17"/>
          <w:color w:val="auto"/>
        </w:rPr>
        <w:t>Stock options generally comprise a significant portion of our compensation packages for all employees. The FASB requirement to expense the fair value of stock options awarded to employees beginning in the quarter ending April 30, 2006 will increase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each could have an adverse effect on our business, financial condition and results of operations.</w:t>
      </w:r>
    </w:p>
    <w:p>
      <w:pPr>
        <w:spacing w:after="0" w:line="173"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approval or disapproval of corporate actions.</w:t>
      </w:r>
    </w:p>
    <w:p>
      <w:pPr>
        <w:spacing w:after="0" w:line="181" w:lineRule="exact"/>
        <w:rPr>
          <w:sz w:val="20"/>
          <w:szCs w:val="20"/>
          <w:color w:val="auto"/>
        </w:rPr>
      </w:pPr>
    </w:p>
    <w:p>
      <w:pPr>
        <w:ind w:right="80" w:firstLine="709"/>
        <w:spacing w:after="0" w:line="272" w:lineRule="auto"/>
        <w:rPr>
          <w:sz w:val="20"/>
          <w:szCs w:val="20"/>
          <w:color w:val="auto"/>
        </w:rPr>
      </w:pPr>
      <w:r>
        <w:rPr>
          <w:rFonts w:ascii="Arial" w:cs="Arial" w:eastAsia="Arial" w:hAnsi="Arial"/>
          <w:sz w:val="17"/>
          <w:szCs w:val="17"/>
          <w:color w:val="auto"/>
        </w:rPr>
        <w:t>As of November 30, 2005, our executive officers and directors beneficially owned or controlled, directly or indirectly, approximately 21% of the outstanding shares our common stock. Additionally, Sehat Sutardja, Ph.D., and Weili Dai are husband and wife and Sehat Sutardja, Ph.D., and Pantas Sutardja, Ph.D., are brothers. All three are directors and together they held approximately 20% of our outstanding common stock as of November 30, 2005. As a result, if the directors and officers as a group or any of Sehat Sutardja, Ph.D., Weili Dai and Pantas Sutardja, Ph.D., act together, they could significantly influence the approval or disapproval of our corporate actions.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78" w:lineRule="exact"/>
        <w:rPr>
          <w:sz w:val="20"/>
          <w:szCs w:val="20"/>
          <w:color w:val="auto"/>
        </w:rPr>
      </w:pPr>
    </w:p>
    <w:p>
      <w:pPr>
        <w:ind w:right="80" w:firstLine="709"/>
        <w:spacing w:after="0" w:line="289"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20" w:firstLine="709"/>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significant strain on our management personnel, systems and resources. We anticipate that we will need to implement a variety of new and upgraded operational and financial systems, procedures and controls, including the continuous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88" w:lineRule="exact"/>
        <w:rPr>
          <w:sz w:val="20"/>
          <w:szCs w:val="20"/>
          <w:color w:val="auto"/>
        </w:rPr>
      </w:pPr>
    </w:p>
    <w:p>
      <w:pPr>
        <w:ind w:firstLine="709"/>
        <w:spacing w:after="0" w:line="279" w:lineRule="auto"/>
        <w:rPr>
          <w:sz w:val="20"/>
          <w:szCs w:val="20"/>
          <w:color w:val="auto"/>
        </w:rPr>
      </w:pPr>
      <w:r>
        <w:rPr>
          <w:rFonts w:ascii="Arial" w:cs="Arial" w:eastAsia="Arial" w:hAnsi="Arial"/>
          <w:sz w:val="17"/>
          <w:szCs w:val="17"/>
          <w:color w:val="auto"/>
        </w:rPr>
        <w:t>We are currently implementing, and also plan to implement, new modules of our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709"/>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the first nine months of fiscal 2006, and represented 93% and 90% of our net revenue in fiscal 2005 and 2004, respectively.</w:t>
      </w:r>
    </w:p>
    <w:p>
      <w:pPr>
        <w:spacing w:after="0" w:line="158" w:lineRule="exact"/>
        <w:rPr>
          <w:sz w:val="20"/>
          <w:szCs w:val="20"/>
          <w:color w:val="auto"/>
        </w:rPr>
      </w:pPr>
    </w:p>
    <w:p>
      <w:pPr>
        <w:ind w:right="400" w:firstLine="259"/>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51" w:lineRule="exact"/>
        <w:rPr>
          <w:sz w:val="20"/>
          <w:szCs w:val="20"/>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compliance with foreign laws;</w:t>
      </w:r>
    </w:p>
    <w:p>
      <w:pPr>
        <w:sectPr>
          <w:pgSz w:w="11900" w:h="16838" w:orient="portrait"/>
          <w:cols w:equalWidth="0" w:num="1">
            <w:col w:w="11420"/>
          </w:cols>
          <w:pgMar w:left="240" w:top="125" w:right="239" w:bottom="0" w:gutter="0" w:footer="0" w:header="0"/>
        </w:sectPr>
      </w:pPr>
    </w:p>
    <w:bookmarkStart w:id="8" w:name="page9"/>
    <w:bookmarkEnd w:id="8"/>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difficulties in staffing and managing foreign operations;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trade restrictions or higher tariffs;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transportation delays;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1"/>
          <w:szCs w:val="21"/>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28" w:lineRule="exact"/>
        <w:rPr>
          <w:rFonts w:ascii="Arial" w:cs="Arial" w:eastAsia="Arial" w:hAnsi="Arial"/>
          <w:sz w:val="21"/>
          <w:szCs w:val="21"/>
          <w:color w:val="auto"/>
        </w:rPr>
      </w:pPr>
    </w:p>
    <w:p>
      <w:pPr>
        <w:ind w:left="980" w:right="580" w:hanging="324"/>
        <w:spacing w:after="0" w:line="232" w:lineRule="auto"/>
        <w:tabs>
          <w:tab w:leader="none" w:pos="975" w:val="left"/>
        </w:tabs>
        <w:numPr>
          <w:ilvl w:val="0"/>
          <w:numId w:val="8"/>
        </w:numPr>
        <w:rPr>
          <w:rFonts w:ascii="Arial" w:cs="Arial" w:eastAsia="Arial" w:hAnsi="Arial"/>
          <w:sz w:val="22"/>
          <w:szCs w:val="22"/>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inadequate local infrastructure.</w:t>
      </w:r>
    </w:p>
    <w:p>
      <w:pPr>
        <w:spacing w:after="0" w:line="202" w:lineRule="exact"/>
        <w:rPr>
          <w:sz w:val="20"/>
          <w:szCs w:val="20"/>
          <w:color w:val="auto"/>
        </w:rPr>
      </w:pPr>
    </w:p>
    <w:p>
      <w:pPr>
        <w:ind w:right="80" w:firstLine="709"/>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right="20" w:firstLine="709"/>
        <w:spacing w:after="0" w:line="293" w:lineRule="auto"/>
        <w:rPr>
          <w:sz w:val="20"/>
          <w:szCs w:val="20"/>
          <w:color w:val="auto"/>
        </w:rPr>
      </w:pPr>
      <w:r>
        <w:rPr>
          <w:rFonts w:ascii="Arial" w:cs="Arial" w:eastAsia="Arial" w:hAnsi="Arial"/>
          <w:sz w:val="16"/>
          <w:szCs w:val="16"/>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87" w:lineRule="exact"/>
        <w:rPr>
          <w:sz w:val="20"/>
          <w:szCs w:val="20"/>
          <w:color w:val="auto"/>
        </w:rPr>
      </w:pPr>
    </w:p>
    <w:p>
      <w:pPr>
        <w:ind w:right="20" w:firstLine="709"/>
        <w:spacing w:after="0" w:line="293" w:lineRule="auto"/>
        <w:rPr>
          <w:sz w:val="20"/>
          <w:szCs w:val="20"/>
          <w:color w:val="auto"/>
        </w:rPr>
      </w:pPr>
      <w:r>
        <w:rPr>
          <w:rFonts w:ascii="Arial" w:cs="Arial" w:eastAsia="Arial" w:hAnsi="Arial"/>
          <w:sz w:val="16"/>
          <w:szCs w:val="16"/>
          <w:color w:val="auto"/>
        </w:rPr>
        <w:t>In May 2005, a fire occurred at one of our third-party subcontractor’s production facilities that produce packaging substrates that we use in our products. In the recent past, others in our industry experienced a shortage in the supply of packaging substrates that we use for our products. We do not purchase substrates from the factory where the fire occurred; however, the fire affected the overall supply of substrates and has indirectly impacted us through increased lead times and less supply of substrates that we use in our products.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revenue, business, results of operations, financial condition and cash flows.</w:t>
      </w:r>
    </w:p>
    <w:p>
      <w:pPr>
        <w:spacing w:after="0" w:line="165"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may do so in the future, which could harm our revenues and gross profits.</w:t>
      </w:r>
    </w:p>
    <w:p>
      <w:pPr>
        <w:spacing w:after="0" w:line="170" w:lineRule="exact"/>
        <w:rPr>
          <w:sz w:val="20"/>
          <w:szCs w:val="20"/>
          <w:color w:val="auto"/>
        </w:rPr>
      </w:pPr>
    </w:p>
    <w:p>
      <w:pPr>
        <w:ind w:right="20" w:firstLine="709"/>
        <w:spacing w:after="0" w:line="286"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(1) pricing pressures from our customers,</w:t>
      </w:r>
    </w:p>
    <w:p>
      <w:pPr>
        <w:spacing w:after="0" w:line="2" w:lineRule="exact"/>
        <w:rPr>
          <w:sz w:val="20"/>
          <w:szCs w:val="20"/>
          <w:color w:val="auto"/>
        </w:rPr>
      </w:pPr>
    </w:p>
    <w:p>
      <w:pPr>
        <w:ind w:right="140" w:firstLine="8"/>
        <w:spacing w:after="0" w:line="261" w:lineRule="auto"/>
        <w:tabs>
          <w:tab w:leader="none" w:pos="255" w:val="left"/>
        </w:tabs>
        <w:numPr>
          <w:ilvl w:val="0"/>
          <w:numId w:val="9"/>
        </w:numPr>
        <w:rPr>
          <w:rFonts w:ascii="Arial" w:cs="Arial" w:eastAsia="Arial" w:hAnsi="Arial"/>
          <w:sz w:val="18"/>
          <w:szCs w:val="18"/>
          <w:color w:val="auto"/>
        </w:rPr>
      </w:pPr>
      <w:r>
        <w:rPr>
          <w:rFonts w:ascii="Arial" w:cs="Arial" w:eastAsia="Arial" w:hAnsi="Arial"/>
          <w:sz w:val="18"/>
          <w:szCs w:val="18"/>
          <w:color w:val="auto"/>
        </w:rPr>
        <w:t>an increase in sales of storage systems on chips, which typically have lower margins than standalone read channel devices, and (3) an increase in sales of wireless and other products into consumer application markets, which are highly competitive and cost sensitive.</w:t>
      </w:r>
    </w:p>
    <w:p>
      <w:pPr>
        <w:spacing w:after="0" w:line="184" w:lineRule="exact"/>
        <w:rPr>
          <w:sz w:val="20"/>
          <w:szCs w:val="20"/>
          <w:color w:val="auto"/>
        </w:rPr>
      </w:pPr>
    </w:p>
    <w:p>
      <w:pPr>
        <w:ind w:right="40" w:firstLine="709"/>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right="60" w:firstLine="709"/>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firstLine="709"/>
        <w:spacing w:after="0" w:line="290"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w:t>
      </w:r>
    </w:p>
    <w:p>
      <w:pPr>
        <w:sectPr>
          <w:pgSz w:w="11900" w:h="16838" w:orient="portrait"/>
          <w:cols w:equalWidth="0" w:num="1">
            <w:col w:w="11420"/>
          </w:cols>
          <w:pgMar w:left="240" w:top="130" w:right="239" w:bottom="0" w:gutter="0" w:footer="0" w:header="0"/>
        </w:sectPr>
      </w:pPr>
    </w:p>
    <w:bookmarkStart w:id="9" w:name="page10"/>
    <w:bookmarkEnd w:id="9"/>
    <w:p>
      <w:pPr>
        <w:ind w:right="140"/>
        <w:spacing w:after="0" w:line="277" w:lineRule="auto"/>
        <w:rPr>
          <w:sz w:val="20"/>
          <w:szCs w:val="20"/>
          <w:color w:val="auto"/>
        </w:rPr>
      </w:pPr>
      <w:r>
        <w:rPr>
          <w:rFonts w:ascii="Arial" w:cs="Arial" w:eastAsia="Arial" w:hAnsi="Arial"/>
          <w:sz w:val="18"/>
          <w:szCs w:val="18"/>
          <w:color w:val="auto"/>
        </w:rPr>
        <w:t>after we have achieved a sale. In addition, we will have to begin the qualification process again when a customer develops a new generation of a product for which we were the successful supplier.</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360" w:firstLine="709"/>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are subject to the cyclical nature of the integrated circuit industry. Any future downturns will likely reduce our revenue and result in excess inventory.</w:t>
      </w:r>
    </w:p>
    <w:p>
      <w:pPr>
        <w:spacing w:after="0" w:line="260" w:lineRule="exact"/>
        <w:rPr>
          <w:sz w:val="20"/>
          <w:szCs w:val="20"/>
          <w:color w:val="auto"/>
        </w:rPr>
      </w:pPr>
    </w:p>
    <w:p>
      <w:pPr>
        <w:ind w:firstLine="709"/>
        <w:spacing w:after="0" w:line="272"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in the past experienced significant downturns.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may reduce our revenue or our percentage of revenue growth on a quarter-to-quarter basis and result in us having excess inventory. Furthermore, any upturn in the integrated circuit industry could result in increased competition for access to third-party foundry, assembly and test capacity.</w:t>
      </w:r>
    </w:p>
    <w:p>
      <w:pPr>
        <w:spacing w:after="0" w:line="17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709"/>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709"/>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240" w:firstLine="709"/>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93" w:lineRule="exact"/>
        <w:rPr>
          <w:sz w:val="20"/>
          <w:szCs w:val="20"/>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stop selling products or using technology that contain the allegedly infringing intellectual property;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1"/>
          <w:szCs w:val="21"/>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06" w:lineRule="exact"/>
        <w:rPr>
          <w:rFonts w:ascii="Arial" w:cs="Arial" w:eastAsia="Arial" w:hAnsi="Arial"/>
          <w:sz w:val="21"/>
          <w:szCs w:val="21"/>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attempt to redesign those products that contain the allegedly infringing intellectual property.</w:t>
      </w:r>
    </w:p>
    <w:p>
      <w:pPr>
        <w:spacing w:after="0" w:line="202" w:lineRule="exact"/>
        <w:rPr>
          <w:sz w:val="20"/>
          <w:szCs w:val="20"/>
          <w:color w:val="auto"/>
        </w:rPr>
      </w:pPr>
    </w:p>
    <w:p>
      <w:pPr>
        <w:ind w:firstLine="720"/>
        <w:spacing w:after="0" w:line="312" w:lineRule="auto"/>
        <w:rPr>
          <w:sz w:val="20"/>
          <w:szCs w:val="20"/>
          <w:color w:val="auto"/>
        </w:rPr>
      </w:pPr>
      <w:r>
        <w:rPr>
          <w:rFonts w:ascii="Arial" w:cs="Arial" w:eastAsia="Arial" w:hAnsi="Arial"/>
          <w:sz w:val="16"/>
          <w:szCs w:val="16"/>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w:t>
      </w:r>
    </w:p>
    <w:p>
      <w:pPr>
        <w:sectPr>
          <w:pgSz w:w="11900" w:h="16838" w:orient="portrait"/>
          <w:cols w:equalWidth="0" w:num="1">
            <w:col w:w="11400"/>
          </w:cols>
          <w:pgMar w:left="240" w:top="125" w:right="259" w:bottom="0" w:gutter="0" w:footer="0" w:header="0"/>
        </w:sectPr>
      </w:pPr>
    </w:p>
    <w:bookmarkStart w:id="10" w:name="page11"/>
    <w:bookmarkEnd w:id="10"/>
    <w:p>
      <w:pPr>
        <w:ind w:right="100"/>
        <w:spacing w:after="0" w:line="277" w:lineRule="auto"/>
        <w:rPr>
          <w:sz w:val="20"/>
          <w:szCs w:val="20"/>
          <w:color w:val="auto"/>
        </w:rPr>
      </w:pPr>
      <w:r>
        <w:rPr>
          <w:rFonts w:ascii="Arial" w:cs="Arial" w:eastAsia="Arial" w:hAnsi="Arial"/>
          <w:sz w:val="18"/>
          <w:szCs w:val="18"/>
          <w:color w:val="auto"/>
        </w:rPr>
        <w:t>margins. Any litigation, regardless of the outcome, is time-consuming and expensive to resolve, may require us to pay significant monetary damages and can divert management time and attention.</w:t>
      </w:r>
    </w:p>
    <w:p>
      <w:pPr>
        <w:spacing w:after="0" w:line="170"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709"/>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right="160" w:firstLine="709"/>
        <w:spacing w:after="0" w:line="255"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20" w:firstLine="709"/>
        <w:spacing w:after="0" w:line="259" w:lineRule="auto"/>
        <w:rPr>
          <w:sz w:val="20"/>
          <w:szCs w:val="20"/>
          <w:color w:val="auto"/>
        </w:rPr>
      </w:pPr>
      <w:r>
        <w:rPr>
          <w:rFonts w:ascii="Arial" w:cs="Arial" w:eastAsia="Arial" w:hAnsi="Arial"/>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7" w:lineRule="exact"/>
        <w:rPr>
          <w:sz w:val="20"/>
          <w:szCs w:val="20"/>
          <w:color w:val="auto"/>
        </w:rPr>
      </w:pPr>
    </w:p>
    <w:p>
      <w:pPr>
        <w:ind w:right="20" w:firstLine="709"/>
        <w:spacing w:after="0" w:line="271" w:lineRule="auto"/>
        <w:rPr>
          <w:sz w:val="20"/>
          <w:szCs w:val="20"/>
          <w:color w:val="auto"/>
        </w:rPr>
      </w:pPr>
      <w:r>
        <w:rPr>
          <w:rFonts w:ascii="Arial" w:cs="Arial" w:eastAsia="Arial" w:hAnsi="Arial"/>
          <w:sz w:val="17"/>
          <w:szCs w:val="17"/>
          <w:color w:val="auto"/>
        </w:rPr>
        <w:t>The Economic Development Board of Singapore granted Pioneer Status to our wholly-owned subsidiary in Singapore in July 2000.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In addition, on October 1, 2004, the Economic Development Board of Singapore agreed to grant our Singapore subsidiary a Development and Expansion Incentive for a term of 5 years, commencing July 1, 2004, under which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79" w:lineRule="exact"/>
        <w:rPr>
          <w:sz w:val="20"/>
          <w:szCs w:val="20"/>
          <w:color w:val="auto"/>
        </w:rPr>
      </w:pPr>
    </w:p>
    <w:p>
      <w:pPr>
        <w:ind w:right="40" w:firstLine="709"/>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firstLine="709"/>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w:t>
      </w:r>
    </w:p>
    <w:p>
      <w:pPr>
        <w:sectPr>
          <w:pgSz w:w="11900" w:h="16838" w:orient="portrait"/>
          <w:cols w:equalWidth="0" w:num="1">
            <w:col w:w="11420"/>
          </w:cols>
          <w:pgMar w:left="240" w:top="125" w:right="239" w:bottom="0" w:gutter="0" w:footer="0" w:header="0"/>
        </w:sectPr>
      </w:pP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67575"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11" w:name="page12"/>
    <w:bookmarkEnd w:id="11"/>
    <w:p>
      <w:pPr>
        <w:ind w:right="200"/>
        <w:spacing w:after="0" w:line="277" w:lineRule="auto"/>
        <w:rPr>
          <w:sz w:val="20"/>
          <w:szCs w:val="20"/>
          <w:color w:val="auto"/>
        </w:rPr>
      </w:pPr>
      <w:r>
        <w:rPr>
          <w:rFonts w:ascii="Arial" w:cs="Arial" w:eastAsia="Arial" w:hAnsi="Arial"/>
          <w:sz w:val="18"/>
          <w:szCs w:val="18"/>
          <w:color w:val="auto"/>
        </w:rPr>
        <w:t>2006 due to difficulties in mailing the required notice to class members. These claims and any resulting litigation could result in substantial costs and could divert the attention and resources of our management.</w:t>
      </w:r>
    </w:p>
    <w:p>
      <w:pPr>
        <w:spacing w:after="0" w:line="170" w:lineRule="exact"/>
        <w:rPr>
          <w:sz w:val="20"/>
          <w:szCs w:val="20"/>
          <w:color w:val="auto"/>
        </w:rPr>
      </w:pPr>
    </w:p>
    <w:p>
      <w:pPr>
        <w:ind w:right="60" w:firstLine="709"/>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The price of our common stock historically has been volatile. This volatility may make it difficult for you to sell common stock, and the sale of substantial amounts of our common stock could adversely affect the price of our common stock.</w:t>
      </w:r>
    </w:p>
    <w:p>
      <w:pPr>
        <w:spacing w:after="0" w:line="170" w:lineRule="exact"/>
        <w:rPr>
          <w:sz w:val="20"/>
          <w:szCs w:val="20"/>
          <w:color w:val="auto"/>
        </w:rPr>
      </w:pPr>
    </w:p>
    <w:p>
      <w:pPr>
        <w:ind w:firstLine="720"/>
        <w:spacing w:after="0" w:line="269" w:lineRule="auto"/>
        <w:rPr>
          <w:sz w:val="20"/>
          <w:szCs w:val="20"/>
          <w:color w:val="auto"/>
        </w:rPr>
      </w:pPr>
      <w:r>
        <w:rPr>
          <w:rFonts w:ascii="Arial" w:cs="Arial" w:eastAsia="Arial" w:hAnsi="Arial"/>
          <w:sz w:val="17"/>
          <w:szCs w:val="17"/>
          <w:color w:val="auto"/>
        </w:rPr>
        <w:t>The market price for our common stock has varied between a high of $58.82 and a low of $31.07 per share in the twelve months ended November 30, 2005. This volatility may make it difficult for you to sell the common stock, and the sale of substantial amounts of our common stock could adversely affect the price of our common stock. Our stock price is likely to continue to be volatile and subject to significant price and volume fluctuations in response to market and other factors, including the other factors discussed in “Risk Factors”; variations in our quarterly operating results from our expectations or those of securities analysts or investors; downward revisions in securities analysts’ estimates; and announcement by us or our competitors of significant acquisitions, strategic partnerships, joint ventures or capital commitments. In addition, the broader stock market has experienced significant price and volume fluctuations in recent years. This volatility has affected the market prices of securities issued by many companies for reasons unrelated to their operating performance and may adversely affect the price of our common stock. In addition, our announcements of our quarterly operating results, changes in general conditions in the economy or the financial markets and other developments affecting us, our affiliates or our competitors could cause the market price of our common stock to fluctuate substantially. In addition, the sale or the availability for sale of a large number of shares of our common stock in the public market could cause the price of our common stock to decline.</w:t>
      </w:r>
    </w:p>
    <w:p>
      <w:pPr>
        <w:spacing w:after="0" w:line="183"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30" w:lineRule="exact"/>
        <w:rPr>
          <w:sz w:val="20"/>
          <w:szCs w:val="20"/>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authorizing the issuance of preferred stock without shareholder approval;</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providing for a classified board of directors with staggered, three-year terms;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requiring a vote of two-thirds of the outstanding shares to approve any change of corporate control.</w:t>
      </w:r>
    </w:p>
    <w:p>
      <w:pPr>
        <w:spacing w:after="0" w:line="202" w:lineRule="exact"/>
        <w:rPr>
          <w:sz w:val="20"/>
          <w:szCs w:val="20"/>
          <w:color w:val="auto"/>
        </w:rPr>
      </w:pPr>
    </w:p>
    <w:p>
      <w:pPr>
        <w:ind w:firstLine="720"/>
        <w:spacing w:after="0" w:line="264" w:lineRule="auto"/>
        <w:rPr>
          <w:sz w:val="20"/>
          <w:szCs w:val="20"/>
          <w:color w:val="auto"/>
        </w:rPr>
      </w:pPr>
      <w:r>
        <w:rPr>
          <w:rFonts w:ascii="Arial" w:cs="Arial" w:eastAsia="Arial" w:hAnsi="Arial"/>
          <w:sz w:val="18"/>
          <w:szCs w:val="18"/>
          <w:color w:val="auto"/>
        </w:rPr>
        <w:t>These changes in corporate control provisions could impede a merger, takeover or other business combination involving us or make it more difficult for a third party to acquire us, even if doing so would be a benefit to our shareholders which, under certain circumstances, could reduce the market price of our common stock.</w:t>
      </w:r>
    </w:p>
    <w:p>
      <w:pPr>
        <w:spacing w:after="0" w:line="181"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We have never paid dividends and do not anticipate paying any dividends on our common stock in the future, so any short-term return on your investment will depend on the market price of our common stock.</w:t>
      </w:r>
    </w:p>
    <w:p>
      <w:pPr>
        <w:spacing w:after="0" w:line="170" w:lineRule="exact"/>
        <w:rPr>
          <w:sz w:val="20"/>
          <w:szCs w:val="20"/>
          <w:color w:val="auto"/>
        </w:rPr>
      </w:pPr>
    </w:p>
    <w:p>
      <w:pPr>
        <w:ind w:firstLine="720"/>
        <w:spacing w:after="0" w:line="277" w:lineRule="auto"/>
        <w:rPr>
          <w:sz w:val="20"/>
          <w:szCs w:val="20"/>
          <w:color w:val="auto"/>
        </w:rPr>
      </w:pPr>
      <w:r>
        <w:rPr>
          <w:rFonts w:ascii="Arial" w:cs="Arial" w:eastAsia="Arial" w:hAnsi="Arial"/>
          <w:sz w:val="18"/>
          <w:szCs w:val="18"/>
          <w:color w:val="auto"/>
        </w:rPr>
        <w:t>We currently intend to retain any earnings to finance our operations and growth. We do not anticipate paying any dividends on our common stock in the future.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40" w:firstLine="648"/>
        <w:spacing w:after="0" w:line="288" w:lineRule="auto"/>
        <w:rPr>
          <w:sz w:val="20"/>
          <w:szCs w:val="20"/>
          <w:color w:val="auto"/>
        </w:rPr>
      </w:pPr>
      <w:r>
        <w:rPr>
          <w:rFonts w:ascii="Arial" w:cs="Arial" w:eastAsia="Arial" w:hAnsi="Arial"/>
          <w:sz w:val="16"/>
          <w:szCs w:val="16"/>
          <w:color w:val="auto"/>
        </w:rPr>
        <w:t>This prospectus and the documents incorporated by reference herein contain forward-looking statements that involve risks and uncertainties. These statements relate to future periods, future events or our future operating or financial plans or performance. These statements can often be identified by the use of forward-looking terminology such as “expects,” “believes,” “intends,” “anticipates,” “estimates,” “plans,” “may,” or “will,” or the negative of these terms, and other similar expressions. These forward-looking statements include statements in this prospectus under the caption “Risk Factors” as to: the purchasing patterns and needs of our customers; our ability to attract new customers; our ability to attract additional distributors and manufacturers’ representatives to market and support our products effectively; our devotion of a substantial amount of our limited resources to our strategic relationships; our ability to continue to transition our semiconductor products to increasingly smaller line width geometries; our expectation to continue to make acquisitions of, and investments in, business with complementary products, services and technologies; our intention to relocate the location of our U.S. subsidiary to recently acquired facilities; the ability to attract and retain highly skilled personnel; our ability to implement a variety of new and upgraded operational and financial systems, procedures and controls; our implementation of new modules of our ERP system; and the tax exempt status of income earned in Singapore.</w:t>
      </w:r>
    </w:p>
    <w:p>
      <w:pPr>
        <w:spacing w:after="0" w:line="169" w:lineRule="exact"/>
        <w:rPr>
          <w:sz w:val="20"/>
          <w:szCs w:val="20"/>
          <w:color w:val="auto"/>
        </w:rPr>
      </w:pPr>
    </w:p>
    <w:p>
      <w:pPr>
        <w:ind w:right="40" w:firstLine="648"/>
        <w:spacing w:after="0" w:line="293" w:lineRule="auto"/>
        <w:rPr>
          <w:sz w:val="20"/>
          <w:szCs w:val="20"/>
          <w:color w:val="auto"/>
        </w:rPr>
      </w:pPr>
      <w:r>
        <w:rPr>
          <w:rFonts w:ascii="Arial" w:cs="Arial" w:eastAsia="Arial" w:hAnsi="Arial"/>
          <w:sz w:val="16"/>
          <w:szCs w:val="16"/>
          <w:color w:val="auto"/>
        </w:rPr>
        <w:t>These forward-looking statements reflect our current views with respect to future events, are based on assumptions and are subject to risks and uncertainties. These risks and uncertainties could cause actual results to differ materially from those projected and include, but are not limited to, our dependence on sales to a relatively small number of customers, our ability to develop new products and enhancements to our products, our dependence upon third parties for the manufacture of our products, our ability to protect our intellectual property, and the risks set forth under “Risk Factors.” Given these risks and uncertainties, you should not place undue reliance on these forward-looking statements. Except as required by federal securities laws, we undertake no obligation to update any forward-looking statements for any reason, even if new information becomes available or other events occur in the future.</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PROCEEDS FROM THE OFFERING</w:t>
      </w:r>
    </w:p>
    <w:p>
      <w:pPr>
        <w:spacing w:after="0" w:line="229" w:lineRule="exact"/>
        <w:rPr>
          <w:sz w:val="20"/>
          <w:szCs w:val="20"/>
          <w:color w:val="auto"/>
        </w:rPr>
      </w:pPr>
    </w:p>
    <w:p>
      <w:pPr>
        <w:ind w:right="540" w:firstLine="648"/>
        <w:spacing w:after="0" w:line="277" w:lineRule="auto"/>
        <w:rPr>
          <w:sz w:val="20"/>
          <w:szCs w:val="20"/>
          <w:color w:val="auto"/>
        </w:rPr>
      </w:pPr>
      <w:r>
        <w:rPr>
          <w:rFonts w:ascii="Arial" w:cs="Arial" w:eastAsia="Arial" w:hAnsi="Arial"/>
          <w:sz w:val="18"/>
          <w:szCs w:val="18"/>
          <w:color w:val="auto"/>
        </w:rPr>
        <w:t>We will not receive any proceeds from the sale of the shares by the selling shareholder. All proceeds from the sale of the shares will be for the accounts of the selling shareholder, as described below. See “Selling Shareholder” and “Plan of Distribution.”</w:t>
      </w:r>
    </w:p>
    <w:p>
      <w:pPr>
        <w:sectPr>
          <w:pgSz w:w="11900" w:h="16838" w:orient="portrait"/>
          <w:cols w:equalWidth="0" w:num="1">
            <w:col w:w="11400"/>
          </w:cols>
          <w:pgMar w:left="240" w:top="584" w:right="259" w:bottom="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SELLING SHAREHOLDER</w:t>
      </w:r>
    </w:p>
    <w:p>
      <w:pPr>
        <w:spacing w:after="0" w:line="229" w:lineRule="exact"/>
        <w:rPr>
          <w:sz w:val="20"/>
          <w:szCs w:val="20"/>
          <w:color w:val="auto"/>
        </w:rPr>
      </w:pPr>
    </w:p>
    <w:p>
      <w:pPr>
        <w:ind w:right="400" w:firstLine="648"/>
        <w:spacing w:after="0" w:line="259" w:lineRule="auto"/>
        <w:rPr>
          <w:sz w:val="20"/>
          <w:szCs w:val="20"/>
          <w:color w:val="auto"/>
        </w:rPr>
      </w:pPr>
      <w:r>
        <w:rPr>
          <w:rFonts w:ascii="Arial" w:cs="Arial" w:eastAsia="Arial" w:hAnsi="Arial"/>
          <w:sz w:val="18"/>
          <w:szCs w:val="18"/>
          <w:color w:val="auto"/>
        </w:rPr>
        <w:t>The following table sets forth certain information as of December 8, 2005 regarding the beneficial ownership of common stock by the selling shareholder, QLogic Corporation, and the shares being offered by the selling shareholder. Information with respect to beneficial ownership is based upon information obtained from the selling shareholder. Information with respect to shares owned beneficially after the offering assumes the sale of all of the shares offered and no other purchases or sales of common stock.</w:t>
      </w:r>
    </w:p>
    <w:p>
      <w:pPr>
        <w:spacing w:after="0" w:line="187" w:lineRule="exact"/>
        <w:rPr>
          <w:sz w:val="20"/>
          <w:szCs w:val="20"/>
          <w:color w:val="auto"/>
        </w:rPr>
      </w:pPr>
    </w:p>
    <w:p>
      <w:pPr>
        <w:ind w:right="120" w:firstLine="648"/>
        <w:spacing w:after="0" w:line="293" w:lineRule="auto"/>
        <w:rPr>
          <w:sz w:val="20"/>
          <w:szCs w:val="20"/>
          <w:color w:val="auto"/>
        </w:rPr>
      </w:pPr>
      <w:r>
        <w:rPr>
          <w:rFonts w:ascii="Arial" w:cs="Arial" w:eastAsia="Arial" w:hAnsi="Arial"/>
          <w:sz w:val="16"/>
          <w:szCs w:val="16"/>
          <w:color w:val="auto"/>
        </w:rPr>
        <w:t>The selling shareholder received its shares of our common stock in connection with our acquisition of the hard disk and tape drive controller semiconductor business of the selling shareholder. The registration statement to which this prospectus relates is being filed pursuant to a registration rights agreement between us and the selling shareholder. Subject to the terms and conditions of the registration rights agreement, we agreed to file the registration statement to cover the shares of our common stock received by the selling shareholder and to keep the registration statement effective until the earlier of the date as of which the selling shareholder (1) has sold all of its shares of our common stock registered under this registration statement or (2) may sell all of its shares of our common stock registered under this registration statement without restriction pursuant to Rule 144 under the Securities Act of 1933.</w:t>
      </w:r>
    </w:p>
    <w:p>
      <w:pPr>
        <w:spacing w:after="0" w:line="165"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To our knowledge, neither the selling shareholder nor any of its affiliates have held any position or office with, been employed by or otherwise has had any material relationship with us or our affiliates during the three years prior to the date of this prospectus.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8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540" w:type="dxa"/>
            <w:vAlign w:val="bottom"/>
            <w:gridSpan w:val="3"/>
          </w:tcPr>
          <w:p>
            <w:pPr>
              <w:jc w:val="center"/>
              <w:ind w:left="184"/>
              <w:spacing w:after="0"/>
              <w:rPr>
                <w:sz w:val="20"/>
                <w:szCs w:val="20"/>
                <w:color w:val="auto"/>
              </w:rPr>
            </w:pPr>
            <w:r>
              <w:rPr>
                <w:rFonts w:ascii="Arial" w:cs="Arial" w:eastAsia="Arial" w:hAnsi="Arial"/>
                <w:sz w:val="14"/>
                <w:szCs w:val="14"/>
                <w:b w:val="1"/>
                <w:bCs w:val="1"/>
                <w:color w:val="auto"/>
                <w:w w:val="91"/>
              </w:rPr>
              <w:t>Shares Beneficially Owned</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7"/>
              </w:rPr>
              <w:t>Number of</w:t>
            </w:r>
          </w:p>
        </w:tc>
        <w:tc>
          <w:tcPr>
            <w:tcW w:w="300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1"/>
              </w:rPr>
              <w:t>Shares Beneficially Owned</w:t>
            </w:r>
          </w:p>
        </w:tc>
      </w:tr>
      <w:tr>
        <w:trPr>
          <w:trHeight w:val="171"/>
        </w:trPr>
        <w:tc>
          <w:tcPr>
            <w:tcW w:w="28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540" w:type="dxa"/>
            <w:vAlign w:val="bottom"/>
            <w:gridSpan w:val="3"/>
          </w:tcPr>
          <w:p>
            <w:pPr>
              <w:jc w:val="center"/>
              <w:ind w:left="164"/>
              <w:spacing w:after="0"/>
              <w:rPr>
                <w:sz w:val="20"/>
                <w:szCs w:val="20"/>
                <w:color w:val="auto"/>
              </w:rPr>
            </w:pPr>
            <w:r>
              <w:rPr>
                <w:rFonts w:ascii="Arial" w:cs="Arial" w:eastAsia="Arial" w:hAnsi="Arial"/>
                <w:sz w:val="14"/>
                <w:szCs w:val="14"/>
                <w:b w:val="1"/>
                <w:bCs w:val="1"/>
                <w:color w:val="auto"/>
                <w:w w:val="97"/>
              </w:rPr>
              <w:t>Prior to Offering(1)</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9"/>
              </w:rPr>
              <w:t>Shares Being</w:t>
            </w:r>
          </w:p>
        </w:tc>
        <w:tc>
          <w:tcPr>
            <w:tcW w:w="300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98"/>
              </w:rPr>
              <w:t>After Offering(1)</w:t>
            </w:r>
          </w:p>
        </w:tc>
      </w:tr>
      <w:tr>
        <w:trPr>
          <w:trHeight w:val="142"/>
        </w:trPr>
        <w:tc>
          <w:tcPr>
            <w:tcW w:w="3880" w:type="dxa"/>
            <w:vAlign w:val="bottom"/>
            <w:gridSpan w:val="3"/>
          </w:tcPr>
          <w:p>
            <w:pPr>
              <w:ind w:left="20"/>
              <w:spacing w:after="0" w:line="142" w:lineRule="exact"/>
              <w:rPr>
                <w:sz w:val="20"/>
                <w:szCs w:val="20"/>
                <w:color w:val="auto"/>
              </w:rPr>
            </w:pPr>
            <w:r>
              <w:rPr>
                <w:rFonts w:ascii="Arial" w:cs="Arial" w:eastAsia="Arial" w:hAnsi="Arial"/>
                <w:sz w:val="14"/>
                <w:szCs w:val="14"/>
                <w:b w:val="1"/>
                <w:bCs w:val="1"/>
                <w:color w:val="auto"/>
              </w:rPr>
              <w:t>Name of Selling Shareholder</w:t>
            </w:r>
          </w:p>
        </w:tc>
        <w:tc>
          <w:tcPr>
            <w:tcW w:w="1520" w:type="dxa"/>
            <w:vAlign w:val="bottom"/>
            <w:tcBorders>
              <w:top w:val="single" w:sz="8" w:color="auto"/>
            </w:tcBorders>
            <w:gridSpan w:val="2"/>
          </w:tcPr>
          <w:p>
            <w:pPr>
              <w:ind w:left="380"/>
              <w:spacing w:after="0" w:line="142" w:lineRule="exact"/>
              <w:rPr>
                <w:sz w:val="20"/>
                <w:szCs w:val="20"/>
                <w:color w:val="auto"/>
              </w:rPr>
            </w:pPr>
            <w:r>
              <w:rPr>
                <w:rFonts w:ascii="Arial" w:cs="Arial" w:eastAsia="Arial" w:hAnsi="Arial"/>
                <w:sz w:val="14"/>
                <w:szCs w:val="14"/>
                <w:b w:val="1"/>
                <w:bCs w:val="1"/>
                <w:color w:val="auto"/>
              </w:rPr>
              <w:t>Number</w:t>
            </w:r>
          </w:p>
        </w:tc>
        <w:tc>
          <w:tcPr>
            <w:tcW w:w="1020" w:type="dxa"/>
            <w:vAlign w:val="bottom"/>
            <w:tcBorders>
              <w:top w:val="single" w:sz="8" w:color="auto"/>
            </w:tcBorders>
          </w:tcPr>
          <w:p>
            <w:pPr>
              <w:ind w:left="400"/>
              <w:spacing w:after="0" w:line="142" w:lineRule="exact"/>
              <w:rPr>
                <w:sz w:val="20"/>
                <w:szCs w:val="20"/>
                <w:color w:val="auto"/>
              </w:rPr>
            </w:pPr>
            <w:r>
              <w:rPr>
                <w:rFonts w:ascii="Arial" w:cs="Arial" w:eastAsia="Arial" w:hAnsi="Arial"/>
                <w:sz w:val="14"/>
                <w:szCs w:val="14"/>
                <w:b w:val="1"/>
                <w:bCs w:val="1"/>
                <w:color w:val="auto"/>
              </w:rPr>
              <w:t>Percent</w:t>
            </w:r>
          </w:p>
        </w:tc>
        <w:tc>
          <w:tcPr>
            <w:tcW w:w="260" w:type="dxa"/>
            <w:vAlign w:val="bottom"/>
            <w:tcBorders>
              <w:top w:val="single" w:sz="8" w:color="auto"/>
            </w:tcBorders>
          </w:tcPr>
          <w:p>
            <w:pPr>
              <w:spacing w:after="0"/>
              <w:rPr>
                <w:sz w:val="12"/>
                <w:szCs w:val="12"/>
                <w:color w:val="auto"/>
              </w:rPr>
            </w:pPr>
          </w:p>
        </w:tc>
        <w:tc>
          <w:tcPr>
            <w:tcW w:w="240" w:type="dxa"/>
            <w:vAlign w:val="bottom"/>
          </w:tcPr>
          <w:p>
            <w:pPr>
              <w:spacing w:after="0"/>
              <w:rPr>
                <w:sz w:val="12"/>
                <w:szCs w:val="12"/>
                <w:color w:val="auto"/>
              </w:rPr>
            </w:pPr>
          </w:p>
        </w:tc>
        <w:tc>
          <w:tcPr>
            <w:tcW w:w="1500" w:type="dxa"/>
            <w:vAlign w:val="bottom"/>
            <w:gridSpan w:val="2"/>
          </w:tcPr>
          <w:p>
            <w:pPr>
              <w:jc w:val="center"/>
              <w:ind w:right="220"/>
              <w:spacing w:after="0" w:line="142" w:lineRule="exact"/>
              <w:rPr>
                <w:sz w:val="20"/>
                <w:szCs w:val="20"/>
                <w:color w:val="auto"/>
              </w:rPr>
            </w:pPr>
            <w:r>
              <w:rPr>
                <w:rFonts w:ascii="Arial" w:cs="Arial" w:eastAsia="Arial" w:hAnsi="Arial"/>
                <w:sz w:val="14"/>
                <w:szCs w:val="14"/>
                <w:b w:val="1"/>
                <w:bCs w:val="1"/>
                <w:color w:val="auto"/>
                <w:w w:val="96"/>
              </w:rPr>
              <w:t>Offered</w:t>
            </w:r>
          </w:p>
        </w:tc>
        <w:tc>
          <w:tcPr>
            <w:tcW w:w="1500" w:type="dxa"/>
            <w:vAlign w:val="bottom"/>
            <w:tcBorders>
              <w:top w:val="single" w:sz="8" w:color="auto"/>
            </w:tcBorders>
            <w:gridSpan w:val="2"/>
          </w:tcPr>
          <w:p>
            <w:pPr>
              <w:ind w:left="380"/>
              <w:spacing w:after="0" w:line="142" w:lineRule="exact"/>
              <w:rPr>
                <w:sz w:val="20"/>
                <w:szCs w:val="20"/>
                <w:color w:val="auto"/>
              </w:rPr>
            </w:pPr>
            <w:r>
              <w:rPr>
                <w:rFonts w:ascii="Arial" w:cs="Arial" w:eastAsia="Arial" w:hAnsi="Arial"/>
                <w:sz w:val="14"/>
                <w:szCs w:val="14"/>
                <w:b w:val="1"/>
                <w:bCs w:val="1"/>
                <w:color w:val="auto"/>
              </w:rPr>
              <w:t>Number</w:t>
            </w:r>
          </w:p>
        </w:tc>
        <w:tc>
          <w:tcPr>
            <w:tcW w:w="1280" w:type="dxa"/>
            <w:vAlign w:val="bottom"/>
            <w:tcBorders>
              <w:top w:val="single" w:sz="8" w:color="auto"/>
            </w:tcBorders>
          </w:tcPr>
          <w:p>
            <w:pPr>
              <w:jc w:val="right"/>
              <w:ind w:right="319"/>
              <w:spacing w:after="0" w:line="142" w:lineRule="exact"/>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2"/>
                <w:szCs w:val="12"/>
                <w:color w:val="auto"/>
              </w:rPr>
            </w:pPr>
          </w:p>
        </w:tc>
      </w:tr>
      <w:tr>
        <w:trPr>
          <w:trHeight w:val="210"/>
        </w:trPr>
        <w:tc>
          <w:tcPr>
            <w:tcW w:w="288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Borders>
              <w:top w:val="single" w:sz="8" w:color="auto"/>
            </w:tcBorders>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388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QLogic Corporation</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980,499</w:t>
            </w: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980,499</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¾</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¾</w:t>
            </w:r>
          </w:p>
        </w:tc>
        <w:tc>
          <w:tcPr>
            <w:tcW w:w="220" w:type="dxa"/>
            <w:vAlign w:val="bottom"/>
            <w:shd w:val="clear" w:color="auto" w:fill="CCEEFF"/>
          </w:tcPr>
          <w:p>
            <w:pPr>
              <w:spacing w:after="0"/>
              <w:rPr>
                <w:sz w:val="18"/>
                <w:szCs w:val="18"/>
                <w:color w:val="auto"/>
              </w:rPr>
            </w:pPr>
          </w:p>
        </w:tc>
      </w:tr>
      <w:tr>
        <w:trPr>
          <w:trHeight w:val="95"/>
        </w:trPr>
        <w:tc>
          <w:tcPr>
            <w:tcW w:w="2880" w:type="dxa"/>
            <w:vAlign w:val="bottom"/>
            <w:tcBorders>
              <w:bottom w:val="single" w:sz="8" w:color="auto"/>
            </w:tcBorders>
          </w:tcPr>
          <w:p>
            <w:pPr>
              <w:spacing w:after="0"/>
              <w:rPr>
                <w:sz w:val="8"/>
                <w:szCs w:val="8"/>
                <w:color w:val="auto"/>
              </w:rPr>
            </w:pPr>
          </w:p>
        </w:tc>
        <w:tc>
          <w:tcPr>
            <w:tcW w:w="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r>
    </w:tbl>
    <w:p>
      <w:pPr>
        <w:spacing w:after="0" w:line="67" w:lineRule="exact"/>
        <w:rPr>
          <w:sz w:val="20"/>
          <w:szCs w:val="20"/>
          <w:color w:val="auto"/>
        </w:rPr>
      </w:pPr>
    </w:p>
    <w:p>
      <w:pPr>
        <w:spacing w:after="0"/>
        <w:rPr>
          <w:sz w:val="20"/>
          <w:szCs w:val="20"/>
          <w:color w:val="auto"/>
        </w:rPr>
      </w:pPr>
      <w:r>
        <w:rPr>
          <w:rFonts w:ascii="Arial" w:cs="Arial" w:eastAsia="Arial" w:hAnsi="Arial"/>
          <w:sz w:val="18"/>
          <w:szCs w:val="18"/>
          <w:color w:val="auto"/>
        </w:rPr>
        <w:t>*Represents less than 1%.</w:t>
      </w:r>
    </w:p>
    <w:p>
      <w:pPr>
        <w:spacing w:after="0" w:line="117" w:lineRule="exact"/>
        <w:rPr>
          <w:sz w:val="20"/>
          <w:szCs w:val="20"/>
          <w:color w:val="auto"/>
        </w:rPr>
      </w:pPr>
    </w:p>
    <w:p>
      <w:pPr>
        <w:jc w:val="both"/>
        <w:ind w:left="500" w:right="800" w:hanging="485"/>
        <w:spacing w:after="0" w:line="277" w:lineRule="auto"/>
        <w:tabs>
          <w:tab w:leader="none" w:pos="480" w:val="left"/>
        </w:tabs>
        <w:rPr>
          <w:sz w:val="20"/>
          <w:szCs w:val="20"/>
          <w:color w:val="auto"/>
        </w:rPr>
      </w:pPr>
      <w:r>
        <w:rPr>
          <w:rFonts w:ascii="Arial" w:cs="Arial" w:eastAsia="Arial" w:hAnsi="Arial"/>
          <w:sz w:val="18"/>
          <w:szCs w:val="18"/>
          <w:color w:val="auto"/>
        </w:rPr>
        <w:t>(1 )</w:t>
        <w:tab/>
        <w:t>To our knowledge, the person named in the table has sole voting and investment power with respect to all shares of common stock shown as beneficially owned by it.</w:t>
      </w: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right="120" w:firstLine="648"/>
        <w:spacing w:after="0" w:line="293" w:lineRule="auto"/>
        <w:rPr>
          <w:sz w:val="20"/>
          <w:szCs w:val="20"/>
          <w:color w:val="auto"/>
        </w:rPr>
      </w:pPr>
      <w:r>
        <w:rPr>
          <w:rFonts w:ascii="Arial" w:cs="Arial" w:eastAsia="Arial" w:hAnsi="Arial"/>
          <w:sz w:val="16"/>
          <w:szCs w:val="16"/>
          <w:color w:val="auto"/>
        </w:rPr>
        <w:t>The selling shareholders may offer and sell the shares covered by this prospectus at various times. As used in this prospectus, the term “selling shareholders” includes donees, pledgees, transferees or other successors-in-interest selling shares received from a named selling shareholder as a gift, partnership distribution, or other non-sale-related transfer after the date of this prospectus. The selling shareholders will act independently of us in making decisions with respect to the timing, manner and size of each sale. The shares may be sold by or for the account of the selling shareholders in transactions on the Nasdaq National Market, the over-the-counter market, or otherwise. These sales may be made at fixed prices, at prevailing market prices at the time of sale, at varying prices determined at the time of the sale, or at negotiated prices. The shares may be sold by means of one or more of the following methods:</w:t>
      </w:r>
    </w:p>
    <w:p>
      <w:pPr>
        <w:spacing w:after="0" w:line="192" w:lineRule="exact"/>
        <w:rPr>
          <w:sz w:val="20"/>
          <w:szCs w:val="20"/>
          <w:color w:val="auto"/>
        </w:rPr>
      </w:pPr>
    </w:p>
    <w:p>
      <w:pPr>
        <w:ind w:left="980" w:right="12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a block trade in which the broker-dealer so engaged will attempt to sell the shares as agent, but may position and resell a portion of the block as principal to facilitate the transaction;</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purchases by a broker-dealer as principal and resale by that broker-dealer for its account pursuant to this prospectus;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ordinary brokerage transactions in which the broker solicits purchasers;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 connection with short sales, in which the shares are redelivered to close out short positions;</w:t>
      </w:r>
    </w:p>
    <w:p>
      <w:pPr>
        <w:spacing w:after="0" w:line="228" w:lineRule="exact"/>
        <w:rPr>
          <w:rFonts w:ascii="Arial" w:cs="Arial" w:eastAsia="Arial" w:hAnsi="Arial"/>
          <w:sz w:val="22"/>
          <w:szCs w:val="22"/>
          <w:color w:val="auto"/>
        </w:rPr>
      </w:pPr>
    </w:p>
    <w:p>
      <w:pPr>
        <w:ind w:left="980" w:right="38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 connection with the loan or pledge of shares registered hereunder to a broker-dealer, and the sale of the shares so loaned or the sale of the shares so pledged upon a default;</w:t>
      </w:r>
    </w:p>
    <w:p>
      <w:pPr>
        <w:spacing w:after="0" w:line="230" w:lineRule="exact"/>
        <w:rPr>
          <w:rFonts w:ascii="Arial" w:cs="Arial" w:eastAsia="Arial" w:hAnsi="Arial"/>
          <w:sz w:val="22"/>
          <w:szCs w:val="22"/>
          <w:color w:val="auto"/>
        </w:rPr>
      </w:pPr>
    </w:p>
    <w:p>
      <w:pPr>
        <w:ind w:left="980" w:right="26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 connection with the writing of non-traded and exchange-traded call options, in hedge transactions and in settlement of other transactions in standardized or over-the-counter options;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privately negotiated transactions;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 a combination of any of the above methods.</w:t>
      </w:r>
    </w:p>
    <w:p>
      <w:pPr>
        <w:spacing w:after="0" w:line="20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If required, we will distribute a supplement to this prospectus to describe material changes in the terms of the offering.</w:t>
      </w:r>
    </w:p>
    <w:p>
      <w:pPr>
        <w:spacing w:after="0" w:line="225" w:lineRule="exact"/>
        <w:rPr>
          <w:sz w:val="20"/>
          <w:szCs w:val="20"/>
          <w:color w:val="auto"/>
        </w:rPr>
      </w:pPr>
    </w:p>
    <w:p>
      <w:pPr>
        <w:ind w:right="160" w:firstLine="648"/>
        <w:spacing w:after="0" w:line="257" w:lineRule="auto"/>
        <w:rPr>
          <w:sz w:val="20"/>
          <w:szCs w:val="20"/>
          <w:color w:val="auto"/>
        </w:rPr>
      </w:pPr>
      <w:r>
        <w:rPr>
          <w:rFonts w:ascii="Arial" w:cs="Arial" w:eastAsia="Arial" w:hAnsi="Arial"/>
          <w:sz w:val="18"/>
          <w:szCs w:val="18"/>
          <w:color w:val="auto"/>
        </w:rPr>
        <w:t>The selling shareholders may sell the shares described in this prospectus directly to purchasers or to or through broker-dealers, which may act as agents or principals. In effecting sales, broker-dealers engaged by the selling shareholders may arrange for other broker-dealers to participate in resales. Broker-dealers may receive compensation in the form of discounts, concessions or commissions from the selling shareholders or from the purchasers of the shares or from both. This compensation may exceed customary commissions. The selling shareholders may also transfer, devise or gift these shares by other means not described in this prospectus.</w:t>
      </w:r>
    </w:p>
    <w:p>
      <w:pPr>
        <w:spacing w:after="0" w:line="188" w:lineRule="exact"/>
        <w:rPr>
          <w:sz w:val="20"/>
          <w:szCs w:val="20"/>
          <w:color w:val="auto"/>
        </w:rPr>
      </w:pPr>
    </w:p>
    <w:p>
      <w:pPr>
        <w:jc w:val="both"/>
        <w:ind w:right="40" w:firstLine="648"/>
        <w:spacing w:after="0" w:line="312" w:lineRule="auto"/>
        <w:rPr>
          <w:sz w:val="20"/>
          <w:szCs w:val="20"/>
          <w:color w:val="auto"/>
        </w:rPr>
      </w:pPr>
      <w:r>
        <w:rPr>
          <w:rFonts w:ascii="Arial" w:cs="Arial" w:eastAsia="Arial" w:hAnsi="Arial"/>
          <w:sz w:val="16"/>
          <w:szCs w:val="16"/>
          <w:color w:val="auto"/>
        </w:rPr>
        <w:t>The selling shareholders also may resell all or a portion of the shares covered by this prospectus that qualify for sale under Rule 144 of the Securities Act in open market transactions in reliance upon Rule 144 under the Securities Act. The selling shareholders have not advised us of any specific plans for the distribution of the shares covered by this prospectus. When and if we are notified by the selling shareholders that any material arrangement has been entered</w:t>
      </w:r>
    </w:p>
    <w:p>
      <w:pPr>
        <w:sectPr>
          <w:pgSz w:w="11900" w:h="16838" w:orient="portrait"/>
          <w:cols w:equalWidth="0" w:num="1">
            <w:col w:w="11420"/>
          </w:cols>
          <w:pgMar w:left="240" w:top="125" w:right="239" w:bottom="0" w:gutter="0" w:footer="0" w:header="0"/>
        </w:sectPr>
      </w:pPr>
    </w:p>
    <w:bookmarkStart w:id="13" w:name="page14"/>
    <w:bookmarkEnd w:id="13"/>
    <w:p>
      <w:pPr>
        <w:ind w:right="360"/>
        <w:spacing w:after="0" w:line="342" w:lineRule="auto"/>
        <w:rPr>
          <w:sz w:val="20"/>
          <w:szCs w:val="20"/>
          <w:color w:val="auto"/>
        </w:rPr>
      </w:pPr>
      <w:r>
        <w:rPr>
          <w:rFonts w:ascii="Arial" w:cs="Arial" w:eastAsia="Arial" w:hAnsi="Arial"/>
          <w:sz w:val="16"/>
          <w:szCs w:val="16"/>
          <w:color w:val="auto"/>
        </w:rPr>
        <w:t>into with a broker-dealer or underwriter for the sale of a material portion of the shares covered by this prospectus, we will file a prospectus supplement or post-effective amendment to the registration statement with the SEC. This supplement or amendment will include the following information:</w:t>
      </w:r>
    </w:p>
    <w:p>
      <w:pPr>
        <w:spacing w:after="0" w:line="128" w:lineRule="exact"/>
        <w:rPr>
          <w:sz w:val="20"/>
          <w:szCs w:val="20"/>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name of the participating broker-dealer(s) or underwriters;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number of shares involved;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price(s) at which the shares were sold;</w:t>
      </w:r>
    </w:p>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660"/>
        <w:spacing w:after="0"/>
        <w:tabs>
          <w:tab w:leader="none" w:pos="960" w:val="left"/>
          <w:tab w:leader="none" w:pos="8320" w:val="left"/>
        </w:tabs>
        <w:rPr>
          <w:sz w:val="20"/>
          <w:szCs w:val="20"/>
          <w:color w:val="auto"/>
        </w:rPr>
      </w:pPr>
      <w:r>
        <w:rPr>
          <w:rFonts w:ascii="Arial" w:cs="Arial" w:eastAsia="Arial" w:hAnsi="Arial"/>
          <w:sz w:val="22"/>
          <w:szCs w:val="22"/>
          <w:color w:val="auto"/>
        </w:rPr>
        <w:t>•</w:t>
      </w:r>
      <w:r>
        <w:rPr>
          <w:sz w:val="20"/>
          <w:szCs w:val="20"/>
          <w:color w:val="auto"/>
        </w:rPr>
        <w:tab/>
      </w:r>
      <w:r>
        <w:rPr>
          <w:rFonts w:ascii="Arial" w:cs="Arial" w:eastAsia="Arial" w:hAnsi="Arial"/>
          <w:sz w:val="18"/>
          <w:szCs w:val="18"/>
          <w:color w:val="auto"/>
        </w:rPr>
        <w:t>the commissions paid or discounts or concessions allowed by the selling shareholders to the broker-</w:t>
      </w:r>
      <w:r>
        <w:rPr>
          <w:sz w:val="20"/>
          <w:szCs w:val="20"/>
          <w:color w:val="auto"/>
        </w:rPr>
        <w:tab/>
      </w:r>
      <w:r>
        <w:rPr>
          <w:rFonts w:ascii="Arial" w:cs="Arial" w:eastAsia="Arial" w:hAnsi="Arial"/>
          <w:sz w:val="16"/>
          <w:szCs w:val="16"/>
          <w:color w:val="auto"/>
        </w:rPr>
        <w:t>dealers or underwriters, if any; and</w:t>
      </w:r>
    </w:p>
    <w:p>
      <w:pPr>
        <w:spacing w:after="0" w:line="240" w:lineRule="exact"/>
        <w:rPr>
          <w:sz w:val="20"/>
          <w:szCs w:val="20"/>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other information material to the transaction.</w:t>
      </w:r>
    </w:p>
    <w:p>
      <w:pPr>
        <w:spacing w:after="0" w:line="202"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The selling shareholders and any broker-dealers, agents or underwriters that participate with the selling shareholders in the distribution of the shares may be deemed to be “underwriters” within the meaning of the Securities Act. Any commissions paid or any discounts or concessions allowed to any of those persons, and any profits received on the resale of the shares purchased by them, may be deemed to be underwriting commissions or discounts under the Securities Act. Because the selling shareholders may be deemed to be “underwriters,” the selling shareholders will be subject to the prospectus delivery requirements of the Securities Act. We have advised the selling shareholders that the anti-manipulation rules promulgated under the Exchange Act, including Regulation M, may apply to sales of the shares offered by the selling shareholders.</w:t>
      </w:r>
    </w:p>
    <w:p>
      <w:pPr>
        <w:spacing w:after="0" w:line="178" w:lineRule="exact"/>
        <w:rPr>
          <w:sz w:val="20"/>
          <w:szCs w:val="20"/>
          <w:color w:val="auto"/>
        </w:rPr>
      </w:pPr>
    </w:p>
    <w:p>
      <w:pPr>
        <w:ind w:right="400" w:firstLine="648"/>
        <w:spacing w:after="0" w:line="277" w:lineRule="auto"/>
        <w:rPr>
          <w:sz w:val="20"/>
          <w:szCs w:val="20"/>
          <w:color w:val="auto"/>
        </w:rPr>
      </w:pPr>
      <w:r>
        <w:rPr>
          <w:rFonts w:ascii="Arial" w:cs="Arial" w:eastAsia="Arial" w:hAnsi="Arial"/>
          <w:sz w:val="18"/>
          <w:szCs w:val="18"/>
          <w:color w:val="auto"/>
        </w:rPr>
        <w:t>The selling shareholders may agree to indemnify any agent, broker or dealer that participates in sales of common stock against liabilities arising under the Securities Act from sales of common stock.</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We will not receive any proceeds from the sale of the shares by the selling shareholders.</w:t>
      </w:r>
    </w:p>
    <w:p>
      <w:pPr>
        <w:spacing w:after="0" w:line="225"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We have agreed to bear all expenses of registration of the shares other than fees and expenses, if any, of counsel or other advisors to the selling shareholders. Any commissions, discounts, concessions or other fees, if any, payable to broker-dealers in connection with any sale of the shares will be borne by the selling shareholders selling those shares.</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There can be no assurances that the selling shareholders will sell all or any of the shares of common stock offered under this prospectus.</w:t>
      </w:r>
    </w:p>
    <w:p>
      <w:pPr>
        <w:spacing w:after="0" w:line="237" w:lineRule="exact"/>
        <w:rPr>
          <w:sz w:val="20"/>
          <w:szCs w:val="20"/>
          <w:color w:val="auto"/>
        </w:rPr>
      </w:pPr>
    </w:p>
    <w:p>
      <w:pPr>
        <w:ind w:right="80" w:firstLine="648"/>
        <w:spacing w:after="0" w:line="291" w:lineRule="auto"/>
        <w:rPr>
          <w:sz w:val="20"/>
          <w:szCs w:val="20"/>
          <w:color w:val="auto"/>
        </w:rPr>
      </w:pPr>
      <w:r>
        <w:rPr>
          <w:rFonts w:ascii="Arial" w:cs="Arial" w:eastAsia="Arial" w:hAnsi="Arial"/>
          <w:sz w:val="16"/>
          <w:szCs w:val="16"/>
          <w:color w:val="auto"/>
        </w:rPr>
        <w:t>The registration statement to which this prospectus relates is being filed pursuant to a registration rights agreement between Marvell and QLogic Corporation. The registration rights agreement provides that we will indemnify the selling shareholders against certain liabilities, including liabilities under the Securities Act, and that the selling shareholders will indemnify us against certain liabilities, including liabilities under the Securities Act. Subject to the terms and conditions of the registration rights agreement, we agreed to file the registration statement to cover the shares of our common stock received by QLogic in our acquisition of its hard disk and tape drive controller semiconductor business and to keep the registration statement effective until the date as of which the selling shareholder (1) has sold all of its shares of our common stock registered under this registration statement or (2) may sell all of its shares of our common stock registered under this registration statement without restriction pursuant to Rule 144 under the Securities Act.</w:t>
      </w:r>
    </w:p>
    <w:p>
      <w:pPr>
        <w:spacing w:after="0" w:line="1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Appleby Spurling Hunter, Bermuda, will pass on the validity of common stock offered by this prospectus.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The financial statements and management’s assessment of the effectiveness of internal control over financial reporting (which is included in Management’s Report on Internal Control over Financial Reporting) incorporated in this Prospectus by reference to the Annual Report on Form 10-K for the year ended January 31, 2005 have been so incorporated in reliance on the report of PricewaterhouseCoopers LLP, an independent registered public accounting firm, given on the authority of said firm as experts in auditing and accounting.</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right="120" w:firstLine="648"/>
        <w:spacing w:after="0" w:line="264" w:lineRule="auto"/>
        <w:rPr>
          <w:sz w:val="20"/>
          <w:szCs w:val="20"/>
          <w:color w:val="auto"/>
        </w:rPr>
      </w:pPr>
      <w:r>
        <w:rPr>
          <w:rFonts w:ascii="Arial" w:cs="Arial" w:eastAsia="Arial" w:hAnsi="Arial"/>
          <w:sz w:val="18"/>
          <w:szCs w:val="18"/>
          <w:color w:val="auto"/>
        </w:rPr>
        <w:t>We file annual, quarterly and special reports, proxy statements, and other information with the Securities and Exchange Commission. You may read and copy any materials we file with the Commission at the Commission’s public reference room at 100 F Street, N.E., Washington, D.C. 20549. Please call the Commission at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80"/>
        <w:spacing w:after="0" w:line="308" w:lineRule="auto"/>
        <w:rPr>
          <w:sz w:val="20"/>
          <w:szCs w:val="20"/>
          <w:color w:val="auto"/>
        </w:rPr>
      </w:pPr>
      <w:r>
        <w:rPr>
          <w:rFonts w:ascii="Arial" w:cs="Arial" w:eastAsia="Arial" w:hAnsi="Arial"/>
          <w:sz w:val="17"/>
          <w:szCs w:val="17"/>
          <w:color w:val="auto"/>
        </w:rPr>
        <w:t>1-800-SEC-0330 for more information on its public reference room. The Commission also maintains an Internet Web site at http://www.sec.gov that contains reports, proxy and information statements, and other information regarding issuers that file electronically with the Commission.</w:t>
      </w:r>
    </w:p>
    <w:p>
      <w:pPr>
        <w:spacing w:after="0" w:line="147" w:lineRule="exact"/>
        <w:rPr>
          <w:sz w:val="20"/>
          <w:szCs w:val="20"/>
          <w:color w:val="auto"/>
        </w:rPr>
      </w:pPr>
    </w:p>
    <w:p>
      <w:pPr>
        <w:ind w:firstLine="648"/>
        <w:spacing w:after="0" w:line="264" w:lineRule="auto"/>
        <w:rPr>
          <w:sz w:val="20"/>
          <w:szCs w:val="20"/>
          <w:color w:val="auto"/>
        </w:rPr>
      </w:pPr>
      <w:r>
        <w:rPr>
          <w:rFonts w:ascii="Arial" w:cs="Arial" w:eastAsia="Arial" w:hAnsi="Arial"/>
          <w:sz w:val="18"/>
          <w:szCs w:val="18"/>
          <w:color w:val="auto"/>
        </w:rPr>
        <w:t>Our Web site is http://www.marvell.com. We make available free of charge, on or through our Web site, our annual, quarterly and current reports, and any amendments to those reports, as soon as reasonably practicable after electronically filing such reports with the Commission. Information contained on our Web site is not part of this registration statement.</w:t>
      </w:r>
    </w:p>
    <w:p>
      <w:pPr>
        <w:spacing w:after="0" w:line="181" w:lineRule="exact"/>
        <w:rPr>
          <w:sz w:val="20"/>
          <w:szCs w:val="20"/>
          <w:color w:val="auto"/>
        </w:rPr>
      </w:pPr>
    </w:p>
    <w:p>
      <w:pPr>
        <w:ind w:right="60" w:firstLine="648"/>
        <w:spacing w:after="0" w:line="302" w:lineRule="auto"/>
        <w:rPr>
          <w:sz w:val="20"/>
          <w:szCs w:val="20"/>
          <w:color w:val="auto"/>
        </w:rPr>
      </w:pPr>
      <w:r>
        <w:rPr>
          <w:rFonts w:ascii="Arial" w:cs="Arial" w:eastAsia="Arial" w:hAnsi="Arial"/>
          <w:sz w:val="16"/>
          <w:szCs w:val="16"/>
          <w:color w:val="auto"/>
        </w:rPr>
        <w:t>We have filed with the Commission a registration statement, which contains this prospectus, on Form S-3 under the Securities Act of 1933. The registration statement relates to the common stock offered by the selling shareholder. This prospectus does not contain all of the information set forth in the registration statement and the exhibits and schedules to the registration statement. Please refer to the registration statement and its exhibits and schedules for further information with respect to us and our common stock. Statements contained in this prospectus as to the contents of any contract or other document are</w:t>
      </w:r>
    </w:p>
    <w:p>
      <w:pPr>
        <w:sectPr>
          <w:pgSz w:w="11900" w:h="16838" w:orient="portrait"/>
          <w:cols w:equalWidth="0" w:num="1">
            <w:col w:w="11420"/>
          </w:cols>
          <w:pgMar w:left="240" w:top="125" w:right="239" w:bottom="0" w:gutter="0" w:footer="0" w:header="0"/>
        </w:sectPr>
      </w:pPr>
    </w:p>
    <w:bookmarkStart w:id="14" w:name="page15"/>
    <w:bookmarkEnd w:id="14"/>
    <w:p>
      <w:pPr>
        <w:ind w:right="20"/>
        <w:spacing w:after="0" w:line="342" w:lineRule="auto"/>
        <w:rPr>
          <w:sz w:val="20"/>
          <w:szCs w:val="20"/>
          <w:color w:val="auto"/>
        </w:rPr>
      </w:pPr>
      <w:r>
        <w:rPr>
          <w:rFonts w:ascii="Arial" w:cs="Arial" w:eastAsia="Arial" w:hAnsi="Arial"/>
          <w:sz w:val="16"/>
          <w:szCs w:val="16"/>
          <w:color w:val="auto"/>
        </w:rPr>
        <w:t>not necessarily complete and, in each instance, we refer you to the copy of that contract or document filed as an exhibit to the registration statement. You may read and obtain a copy of the registration statement and its exhibits and schedules from the Commission, as described in the preceding paragraph.</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The Commission allows us to “incorporate by reference” the information we file with them, which means that we can disclose important information to you by referring you to those documents. The information incorporated by reference is considered to be a part of this prospectus, and later information that we file with the Commission will automatically update and supersede this information. We incorporate by reference the documents listed below and any future filings we make with the Commission under Section 13(a), 13(c), 14 or 15(d) of the Securities Exchange Act of 1934 (excluding any portions thereof furnished under Item 2.02 or 7.01 of Form 8-K) between the date of the initial filing of the registration statement of which this prospectus is a part and the effectiveness of the registration statement, as well as between the date of this prospectus and the time this offering is completed. The documents we incorporate by reference are:</w:t>
      </w:r>
    </w:p>
    <w:p>
      <w:pPr>
        <w:spacing w:after="0" w:line="194" w:lineRule="exact"/>
        <w:rPr>
          <w:sz w:val="20"/>
          <w:szCs w:val="20"/>
          <w:color w:val="auto"/>
        </w:rPr>
      </w:pPr>
    </w:p>
    <w:p>
      <w:pPr>
        <w:ind w:left="980" w:hanging="324"/>
        <w:spacing w:after="0"/>
        <w:tabs>
          <w:tab w:leader="none" w:pos="980" w:val="left"/>
        </w:tabs>
        <w:numPr>
          <w:ilvl w:val="0"/>
          <w:numId w:val="15"/>
        </w:numPr>
        <w:rPr>
          <w:rFonts w:ascii="Arial" w:cs="Arial" w:eastAsia="Arial" w:hAnsi="Arial"/>
          <w:sz w:val="22"/>
          <w:szCs w:val="22"/>
          <w:color w:val="auto"/>
        </w:rPr>
      </w:pPr>
      <w:r>
        <w:rPr>
          <w:rFonts w:ascii="Arial" w:cs="Arial" w:eastAsia="Arial" w:hAnsi="Arial"/>
          <w:sz w:val="18"/>
          <w:szCs w:val="18"/>
          <w:color w:val="auto"/>
        </w:rPr>
        <w:t>Our Annual Report on Form 10-K for the fiscal year ended January 31, 2005.</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5"/>
        </w:numPr>
        <w:rPr>
          <w:rFonts w:ascii="Arial" w:cs="Arial" w:eastAsia="Arial" w:hAnsi="Arial"/>
          <w:sz w:val="22"/>
          <w:szCs w:val="22"/>
          <w:color w:val="auto"/>
        </w:rPr>
      </w:pPr>
      <w:r>
        <w:rPr>
          <w:rFonts w:ascii="Arial" w:cs="Arial" w:eastAsia="Arial" w:hAnsi="Arial"/>
          <w:sz w:val="18"/>
          <w:szCs w:val="18"/>
          <w:color w:val="auto"/>
        </w:rPr>
        <w:t>Our Quarterly Reports on Form 10-Q for the fiscal quarters ended April 30, 2005, July 30, 2005 and October 29, 2005.</w:t>
      </w:r>
    </w:p>
    <w:p>
      <w:pPr>
        <w:spacing w:after="0" w:line="228" w:lineRule="exact"/>
        <w:rPr>
          <w:rFonts w:ascii="Arial" w:cs="Arial" w:eastAsia="Arial" w:hAnsi="Arial"/>
          <w:sz w:val="22"/>
          <w:szCs w:val="22"/>
          <w:color w:val="auto"/>
        </w:rPr>
      </w:pPr>
    </w:p>
    <w:p>
      <w:pPr>
        <w:ind w:left="980" w:right="760" w:hanging="324"/>
        <w:spacing w:after="0" w:line="232" w:lineRule="auto"/>
        <w:tabs>
          <w:tab w:leader="none" w:pos="975" w:val="left"/>
        </w:tabs>
        <w:numPr>
          <w:ilvl w:val="0"/>
          <w:numId w:val="15"/>
        </w:numPr>
        <w:rPr>
          <w:rFonts w:ascii="Arial" w:cs="Arial" w:eastAsia="Arial" w:hAnsi="Arial"/>
          <w:sz w:val="22"/>
          <w:szCs w:val="22"/>
          <w:color w:val="auto"/>
        </w:rPr>
      </w:pPr>
      <w:r>
        <w:rPr>
          <w:rFonts w:ascii="Arial" w:cs="Arial" w:eastAsia="Arial" w:hAnsi="Arial"/>
          <w:sz w:val="18"/>
          <w:szCs w:val="18"/>
          <w:color w:val="auto"/>
        </w:rPr>
        <w:t>Our current reports on Form 8-K filed with the Commission on February 24, April 13, June 10, August 10, August 11, August 29, and November 4, 2005.</w:t>
      </w:r>
    </w:p>
    <w:p>
      <w:pPr>
        <w:spacing w:after="0" w:line="230" w:lineRule="exact"/>
        <w:rPr>
          <w:rFonts w:ascii="Arial" w:cs="Arial" w:eastAsia="Arial" w:hAnsi="Arial"/>
          <w:sz w:val="22"/>
          <w:szCs w:val="22"/>
          <w:color w:val="auto"/>
        </w:rPr>
      </w:pPr>
    </w:p>
    <w:p>
      <w:pPr>
        <w:ind w:left="980" w:right="460" w:hanging="324"/>
        <w:spacing w:after="0" w:line="232" w:lineRule="auto"/>
        <w:tabs>
          <w:tab w:leader="none" w:pos="975" w:val="left"/>
        </w:tabs>
        <w:numPr>
          <w:ilvl w:val="0"/>
          <w:numId w:val="15"/>
        </w:numPr>
        <w:rPr>
          <w:rFonts w:ascii="Arial" w:cs="Arial" w:eastAsia="Arial" w:hAnsi="Arial"/>
          <w:sz w:val="22"/>
          <w:szCs w:val="22"/>
          <w:color w:val="auto"/>
        </w:rPr>
      </w:pPr>
      <w:r>
        <w:rPr>
          <w:rFonts w:ascii="Arial" w:cs="Arial" w:eastAsia="Arial" w:hAnsi="Arial"/>
          <w:sz w:val="18"/>
          <w:szCs w:val="18"/>
          <w:color w:val="auto"/>
        </w:rPr>
        <w:t>The description of our common stock contained in our registration statement on Form 8-A filed under the Exchange Act on June 22, 2000, including any amendment or report filed for the purpose of updating such description.</w:t>
      </w:r>
    </w:p>
    <w:p>
      <w:pPr>
        <w:spacing w:after="0" w:line="20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You may request a copy of these filings, at no cost, by writing or telephoning us at the following address and number: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700 First Avenue</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Sunnyvale, California 94089</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Telephone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142875</wp:posOffset>
            </wp:positionV>
            <wp:extent cx="182689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right="140" w:firstLine="648"/>
        <w:spacing w:after="0" w:line="279" w:lineRule="auto"/>
        <w:rPr>
          <w:sz w:val="20"/>
          <w:szCs w:val="20"/>
          <w:color w:val="auto"/>
        </w:rPr>
      </w:pPr>
      <w:r>
        <w:rPr>
          <w:rFonts w:ascii="Arial" w:cs="Arial" w:eastAsia="Arial" w:hAnsi="Arial"/>
          <w:sz w:val="17"/>
          <w:szCs w:val="17"/>
          <w:color w:val="auto"/>
        </w:rPr>
        <w:t>We have not authorized anyone to provide you with information or to represent anything not contained in this prospectus. You must not rely on any unauthorized information or representations. The selling shareholder is offering to sell, and seeking offers to buy, only the shares of Marvell common stock covered by this prospectus, and only under circumstances and in jurisdictions where it is lawful to do so. The information contained in this prospectus is current only as of its date, regardless of the time of delivery of this prospectus or of any sale of the shares.</w:t>
      </w:r>
    </w:p>
    <w:p>
      <w:pPr>
        <w:spacing w:after="0" w:line="17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58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14. Other Expenses of Issuance and Distribution</w:t>
      </w:r>
    </w:p>
    <w:p>
      <w:pPr>
        <w:spacing w:after="0" w:line="229"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The following table sets forth the various expenses payable by the Registrant in connection with the sale and distribution of the securities being registered hereby. Normal commission expenses and brokerage fees are payable individually by the selling shareholder. All amounts are estimated except the SEC registration fee.</w:t>
      </w:r>
    </w:p>
    <w:p>
      <w:pPr>
        <w:spacing w:after="0" w:line="173" w:lineRule="exact"/>
        <w:rPr>
          <w:sz w:val="20"/>
          <w:szCs w:val="20"/>
          <w:color w:val="auto"/>
        </w:rPr>
      </w:pPr>
    </w:p>
    <w:tbl>
      <w:tblPr>
        <w:tblLayout w:type="fixed"/>
        <w:tblInd w:w="1440" w:type="dxa"/>
        <w:tblCellMar>
          <w:top w:w="0" w:type="dxa"/>
          <w:left w:w="0" w:type="dxa"/>
          <w:bottom w:w="0" w:type="dxa"/>
          <w:right w:w="0" w:type="dxa"/>
        </w:tblCellMar>
      </w:tblPr>
      <w:tr>
        <w:trPr>
          <w:trHeight w:val="186"/>
        </w:trPr>
        <w:tc>
          <w:tcPr>
            <w:tcW w:w="66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600" w:type="dxa"/>
            <w:vAlign w:val="bottom"/>
            <w:gridSpan w:val="2"/>
          </w:tcPr>
          <w:p>
            <w:pPr>
              <w:ind w:left="200"/>
              <w:spacing w:after="0"/>
              <w:rPr>
                <w:sz w:val="20"/>
                <w:szCs w:val="20"/>
                <w:color w:val="auto"/>
              </w:rPr>
            </w:pPr>
            <w:r>
              <w:rPr>
                <w:rFonts w:ascii="Arial" w:cs="Arial" w:eastAsia="Arial" w:hAnsi="Arial"/>
                <w:sz w:val="14"/>
                <w:szCs w:val="14"/>
                <w:b w:val="1"/>
                <w:bCs w:val="1"/>
                <w:color w:val="auto"/>
              </w:rPr>
              <w:t>Amount</w:t>
            </w:r>
          </w:p>
        </w:tc>
      </w:tr>
      <w:tr>
        <w:trPr>
          <w:trHeight w:val="201"/>
        </w:trPr>
        <w:tc>
          <w:tcPr>
            <w:tcW w:w="66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216"/>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SEC registration fee</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5,707</w:t>
            </w:r>
          </w:p>
        </w:tc>
        <w:tc>
          <w:tcPr>
            <w:tcW w:w="360" w:type="dxa"/>
            <w:vAlign w:val="bottom"/>
            <w:shd w:val="clear" w:color="auto" w:fill="CCEEFF"/>
          </w:tcPr>
          <w:p>
            <w:pPr>
              <w:spacing w:after="0"/>
              <w:rPr>
                <w:sz w:val="18"/>
                <w:szCs w:val="18"/>
                <w:color w:val="auto"/>
              </w:rPr>
            </w:pPr>
          </w:p>
        </w:tc>
      </w:tr>
      <w:tr>
        <w:trPr>
          <w:trHeight w:val="216"/>
        </w:trPr>
        <w:tc>
          <w:tcPr>
            <w:tcW w:w="6620" w:type="dxa"/>
            <w:vAlign w:val="bottom"/>
          </w:tcPr>
          <w:p>
            <w:pPr>
              <w:ind w:left="20"/>
              <w:spacing w:after="0"/>
              <w:rPr>
                <w:sz w:val="20"/>
                <w:szCs w:val="20"/>
                <w:color w:val="auto"/>
              </w:rPr>
            </w:pPr>
            <w:r>
              <w:rPr>
                <w:rFonts w:ascii="Arial" w:cs="Arial" w:eastAsia="Arial" w:hAnsi="Arial"/>
                <w:sz w:val="18"/>
                <w:szCs w:val="18"/>
                <w:color w:val="auto"/>
              </w:rPr>
              <w:t>Accounting fees and expenses</w:t>
            </w:r>
          </w:p>
        </w:tc>
        <w:tc>
          <w:tcPr>
            <w:tcW w:w="32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36,000</w:t>
            </w:r>
          </w:p>
        </w:tc>
        <w:tc>
          <w:tcPr>
            <w:tcW w:w="360" w:type="dxa"/>
            <w:vAlign w:val="bottom"/>
          </w:tcPr>
          <w:p>
            <w:pPr>
              <w:spacing w:after="0"/>
              <w:rPr>
                <w:sz w:val="18"/>
                <w:szCs w:val="18"/>
                <w:color w:val="auto"/>
              </w:rPr>
            </w:pPr>
          </w:p>
        </w:tc>
      </w:tr>
      <w:tr>
        <w:trPr>
          <w:trHeight w:val="216"/>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Legal fees and expenses</w:t>
            </w:r>
          </w:p>
        </w:tc>
        <w:tc>
          <w:tcPr>
            <w:tcW w:w="32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360" w:type="dxa"/>
            <w:vAlign w:val="bottom"/>
            <w:shd w:val="clear" w:color="auto" w:fill="CCEEFF"/>
          </w:tcPr>
          <w:p>
            <w:pPr>
              <w:spacing w:after="0"/>
              <w:rPr>
                <w:sz w:val="18"/>
                <w:szCs w:val="18"/>
                <w:color w:val="auto"/>
              </w:rPr>
            </w:pPr>
          </w:p>
        </w:tc>
      </w:tr>
      <w:tr>
        <w:trPr>
          <w:trHeight w:val="216"/>
        </w:trPr>
        <w:tc>
          <w:tcPr>
            <w:tcW w:w="6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Miscellaneous fees and expenses</w:t>
            </w:r>
          </w:p>
        </w:tc>
        <w:tc>
          <w:tcPr>
            <w:tcW w:w="320" w:type="dxa"/>
            <w:vAlign w:val="bottom"/>
            <w:tcBorders>
              <w:bottom w:val="single" w:sz="8" w:color="auto"/>
            </w:tcBorders>
          </w:tcPr>
          <w:p>
            <w:pPr>
              <w:spacing w:after="0"/>
              <w:rPr>
                <w:sz w:val="18"/>
                <w:szCs w:val="18"/>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13,293</w:t>
            </w:r>
          </w:p>
        </w:tc>
        <w:tc>
          <w:tcPr>
            <w:tcW w:w="360" w:type="dxa"/>
            <w:vAlign w:val="bottom"/>
            <w:tcBorders>
              <w:bottom w:val="single" w:sz="8" w:color="CCEEFF"/>
            </w:tcBorders>
          </w:tcPr>
          <w:p>
            <w:pPr>
              <w:spacing w:after="0"/>
              <w:rPr>
                <w:sz w:val="18"/>
                <w:szCs w:val="18"/>
                <w:color w:val="auto"/>
              </w:rPr>
            </w:pPr>
          </w:p>
        </w:tc>
      </w:tr>
      <w:tr>
        <w:trPr>
          <w:trHeight w:val="210"/>
        </w:trPr>
        <w:tc>
          <w:tcPr>
            <w:tcW w:w="66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Total</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80,000</w:t>
            </w:r>
          </w:p>
        </w:tc>
        <w:tc>
          <w:tcPr>
            <w:tcW w:w="360" w:type="dxa"/>
            <w:vAlign w:val="bottom"/>
            <w:shd w:val="clear" w:color="auto" w:fill="CCEEFF"/>
          </w:tcPr>
          <w:p>
            <w:pPr>
              <w:spacing w:after="0"/>
              <w:rPr>
                <w:sz w:val="18"/>
                <w:szCs w:val="18"/>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15. Indemnification of Directors and Officers</w:t>
      </w:r>
    </w:p>
    <w:p>
      <w:pPr>
        <w:spacing w:after="0" w:line="229" w:lineRule="exact"/>
        <w:rPr>
          <w:sz w:val="20"/>
          <w:szCs w:val="20"/>
          <w:color w:val="auto"/>
        </w:rPr>
      </w:pPr>
    </w:p>
    <w:p>
      <w:pPr>
        <w:ind w:right="80" w:firstLine="693"/>
        <w:spacing w:after="0" w:line="302" w:lineRule="auto"/>
        <w:rPr>
          <w:sz w:val="20"/>
          <w:szCs w:val="20"/>
          <w:color w:val="auto"/>
        </w:rPr>
      </w:pPr>
      <w:r>
        <w:rPr>
          <w:rFonts w:ascii="Arial" w:cs="Arial" w:eastAsia="Arial" w:hAnsi="Arial"/>
          <w:sz w:val="16"/>
          <w:szCs w:val="16"/>
          <w:color w:val="auto"/>
        </w:rPr>
        <w:t>Set forth below is a description of certain provisions of the Companies Act of 1981 of Bermuda (the “Companies Act”), the Registrant’s Memorandum of Association, as presently in effect (the “Memorandum of Association”), and the Registrant’s Bye-laws (the “Bye-laws”), as such provisions relate to the indemnification of the directors and officers of the Registrant. This description is intended only as a summary and is qualified in its entirety by reference to the applicable provisions of the Companies Act, the Memorandum of Association and the Bye-laws, which are incorporated herein by reference.</w:t>
      </w:r>
    </w:p>
    <w:p>
      <w:pPr>
        <w:spacing w:after="0" w:line="154" w:lineRule="exact"/>
        <w:rPr>
          <w:sz w:val="20"/>
          <w:szCs w:val="20"/>
          <w:color w:val="auto"/>
        </w:rPr>
      </w:pPr>
    </w:p>
    <w:p>
      <w:pPr>
        <w:jc w:val="both"/>
        <w:ind w:right="340" w:firstLine="648"/>
        <w:spacing w:after="0" w:line="264"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own fraud or dishonesty.</w:t>
      </w:r>
    </w:p>
    <w:p>
      <w:pPr>
        <w:spacing w:after="0" w:line="181" w:lineRule="exact"/>
        <w:rPr>
          <w:sz w:val="20"/>
          <w:szCs w:val="20"/>
          <w:color w:val="auto"/>
        </w:rPr>
      </w:pPr>
    </w:p>
    <w:p>
      <w:pPr>
        <w:ind w:right="240" w:firstLine="648"/>
        <w:spacing w:after="0" w:line="308" w:lineRule="auto"/>
        <w:rPr>
          <w:sz w:val="20"/>
          <w:szCs w:val="20"/>
          <w:color w:val="auto"/>
        </w:rPr>
      </w:pPr>
      <w:r>
        <w:rPr>
          <w:rFonts w:ascii="Arial" w:cs="Arial" w:eastAsia="Arial" w:hAnsi="Arial"/>
          <w:sz w:val="17"/>
          <w:szCs w:val="17"/>
          <w:color w:val="auto"/>
        </w:rPr>
        <w:t>The Bye-laws provide that every director, officer, committee member and any resident representative of the Registrant be indemnified against any liabilities, loss, damage or expense incurred or suffered in such capacity, subject to limitations imposed in the Companies Act.</w:t>
      </w:r>
    </w:p>
    <w:p>
      <w:pPr>
        <w:sectPr>
          <w:pgSz w:w="11900" w:h="16838" w:orient="portrait"/>
          <w:cols w:equalWidth="0" w:num="1">
            <w:col w:w="11400"/>
          </w:cols>
          <w:pgMar w:left="240" w:top="125" w:right="259" w:bottom="7" w:gutter="0" w:footer="0" w:header="0"/>
        </w:sectPr>
      </w:pPr>
    </w:p>
    <w:bookmarkStart w:id="15" w:name="page16"/>
    <w:bookmarkEnd w:id="15"/>
    <w:p>
      <w:pPr>
        <w:ind w:right="200" w:firstLine="648"/>
        <w:spacing w:after="0" w:line="259" w:lineRule="auto"/>
        <w:rPr>
          <w:sz w:val="20"/>
          <w:szCs w:val="20"/>
          <w:color w:val="auto"/>
        </w:rPr>
      </w:pPr>
      <w:r>
        <w:rPr>
          <w:rFonts w:ascii="Arial" w:cs="Arial" w:eastAsia="Arial" w:hAnsi="Arial"/>
          <w:sz w:val="18"/>
          <w:szCs w:val="18"/>
          <w:color w:val="auto"/>
        </w:rPr>
        <w:t>The Bye-laws further provide that each shareholder and the Registrant agree to waive any claim or right of action against any director or officer, in respect of any failure to act or any action taken by such director or officer in the performance of his duties with or for the Registrant. The waiver does not extend to claims arising under United States federal securities laws or any claims or rights of action arising from the fraud or dishonesty of the director or officer.</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16. Exhibits</w:t>
      </w:r>
    </w:p>
    <w:p>
      <w:pPr>
        <w:spacing w:after="0" w:line="208"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282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860" w:type="dxa"/>
            <w:vAlign w:val="bottom"/>
            <w:vMerge w:val="restart"/>
          </w:tcPr>
          <w:p>
            <w:pPr>
              <w:ind w:left="2320"/>
              <w:spacing w:after="0"/>
              <w:rPr>
                <w:sz w:val="20"/>
                <w:szCs w:val="20"/>
                <w:color w:val="auto"/>
              </w:rPr>
            </w:pPr>
            <w:r>
              <w:rPr>
                <w:rFonts w:ascii="Arial" w:cs="Arial" w:eastAsia="Arial" w:hAnsi="Arial"/>
                <w:sz w:val="14"/>
                <w:szCs w:val="14"/>
                <w:b w:val="1"/>
                <w:bCs w:val="1"/>
                <w:color w:val="auto"/>
                <w:w w:val="91"/>
              </w:rPr>
              <w:t>Description of Document</w:t>
            </w:r>
          </w:p>
        </w:tc>
        <w:tc>
          <w:tcPr>
            <w:tcW w:w="0" w:type="dxa"/>
            <w:vAlign w:val="bottom"/>
          </w:tcPr>
          <w:p>
            <w:pPr>
              <w:spacing w:after="0"/>
              <w:rPr>
                <w:sz w:val="1"/>
                <w:szCs w:val="1"/>
                <w:color w:val="auto"/>
              </w:rPr>
            </w:pPr>
          </w:p>
        </w:tc>
      </w:tr>
      <w:tr>
        <w:trPr>
          <w:trHeight w:val="186"/>
        </w:trPr>
        <w:tc>
          <w:tcPr>
            <w:tcW w:w="2820" w:type="dxa"/>
            <w:vAlign w:val="bottom"/>
          </w:tcPr>
          <w:p>
            <w:pPr>
              <w:spacing w:after="0"/>
              <w:rPr>
                <w:sz w:val="20"/>
                <w:szCs w:val="20"/>
                <w:color w:val="auto"/>
              </w:rPr>
            </w:pPr>
            <w:r>
              <w:rPr>
                <w:rFonts w:ascii="Arial" w:cs="Arial" w:eastAsia="Arial" w:hAnsi="Arial"/>
                <w:sz w:val="14"/>
                <w:szCs w:val="14"/>
                <w:b w:val="1"/>
                <w:bCs w:val="1"/>
                <w:color w:val="auto"/>
              </w:rPr>
              <w:t>Number</w:t>
            </w:r>
          </w:p>
        </w:tc>
        <w:tc>
          <w:tcPr>
            <w:tcW w:w="3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wp:posOffset>
            </wp:positionH>
            <wp:positionV relativeFrom="paragraph">
              <wp:posOffset>-8890</wp:posOffset>
            </wp:positionV>
            <wp:extent cx="673227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732270" cy="8890"/>
                    </a:xfrm>
                    <a:prstGeom prst="rect">
                      <a:avLst/>
                    </a:prstGeom>
                    <a:noFill/>
                  </pic:spPr>
                </pic:pic>
              </a:graphicData>
            </a:graphic>
          </wp:anchor>
        </w:drawing>
      </w:r>
    </w:p>
    <w:p>
      <w:pPr>
        <w:spacing w:after="0" w:line="180" w:lineRule="exact"/>
        <w:rPr>
          <w:sz w:val="20"/>
          <w:szCs w:val="20"/>
          <w:color w:val="auto"/>
        </w:rPr>
      </w:pPr>
    </w:p>
    <w:p>
      <w:pPr>
        <w:ind w:left="1260"/>
        <w:spacing w:after="0"/>
        <w:tabs>
          <w:tab w:leader="none" w:pos="1860" w:val="left"/>
        </w:tabs>
        <w:rPr>
          <w:sz w:val="20"/>
          <w:szCs w:val="20"/>
          <w:color w:val="auto"/>
        </w:rPr>
      </w:pPr>
      <w:r>
        <w:rPr>
          <w:rFonts w:ascii="Arial" w:cs="Arial" w:eastAsia="Arial" w:hAnsi="Arial"/>
          <w:sz w:val="18"/>
          <w:szCs w:val="18"/>
          <w:color w:val="auto"/>
        </w:rPr>
        <w:t>5.1 **</w:t>
      </w:r>
      <w:r>
        <w:rPr>
          <w:sz w:val="20"/>
          <w:szCs w:val="20"/>
          <w:color w:val="auto"/>
        </w:rPr>
        <w:tab/>
      </w:r>
      <w:r>
        <w:rPr>
          <w:rFonts w:ascii="Arial" w:cs="Arial" w:eastAsia="Arial" w:hAnsi="Arial"/>
          <w:sz w:val="16"/>
          <w:szCs w:val="16"/>
          <w:color w:val="auto"/>
        </w:rPr>
        <w:t>Opinion of Appleby Spurling Hunter.</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color w:val="auto"/>
        </w:rPr>
        <w:t>Consent of PricewaterhouseCoopers LLP, Independent Registered Public Accounting Firm.</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23.2 **</w:t>
      </w:r>
      <w:r>
        <w:rPr>
          <w:sz w:val="20"/>
          <w:szCs w:val="20"/>
          <w:color w:val="auto"/>
        </w:rPr>
        <w:tab/>
      </w:r>
      <w:r>
        <w:rPr>
          <w:rFonts w:ascii="Arial" w:cs="Arial" w:eastAsia="Arial" w:hAnsi="Arial"/>
          <w:sz w:val="16"/>
          <w:szCs w:val="16"/>
          <w:color w:val="auto"/>
        </w:rPr>
        <w:t>Consent of Appleby Spurling Hunter (included in its opinion filed as Exhibit 5.1).</w:t>
      </w:r>
    </w:p>
    <w:p>
      <w:pPr>
        <w:spacing w:after="0" w:line="225" w:lineRule="exact"/>
        <w:rPr>
          <w:sz w:val="20"/>
          <w:szCs w:val="20"/>
          <w:color w:val="auto"/>
        </w:rPr>
      </w:pPr>
    </w:p>
    <w:p>
      <w:pPr>
        <w:ind w:left="1180"/>
        <w:spacing w:after="0"/>
        <w:tabs>
          <w:tab w:leader="none" w:pos="1860" w:val="left"/>
        </w:tabs>
        <w:rPr>
          <w:sz w:val="20"/>
          <w:szCs w:val="20"/>
          <w:color w:val="auto"/>
        </w:rPr>
      </w:pPr>
      <w:r>
        <w:rPr>
          <w:rFonts w:ascii="Arial" w:cs="Arial" w:eastAsia="Arial" w:hAnsi="Arial"/>
          <w:sz w:val="18"/>
          <w:szCs w:val="18"/>
          <w:color w:val="auto"/>
        </w:rPr>
        <w:t>24.1 **</w:t>
      </w:r>
      <w:r>
        <w:rPr>
          <w:sz w:val="20"/>
          <w:szCs w:val="20"/>
          <w:color w:val="auto"/>
        </w:rPr>
        <w:tab/>
      </w:r>
      <w:r>
        <w:rPr>
          <w:rFonts w:ascii="Arial" w:cs="Arial" w:eastAsia="Arial" w:hAnsi="Arial"/>
          <w:sz w:val="16"/>
          <w:szCs w:val="16"/>
          <w:color w:val="auto"/>
        </w:rPr>
        <w:t>Power of Attorney.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74930</wp:posOffset>
            </wp:positionV>
            <wp:extent cx="182689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Previously filed.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17. Undertakings</w:t>
      </w:r>
    </w:p>
    <w:p>
      <w:pPr>
        <w:spacing w:after="0" w:line="229" w:lineRule="exact"/>
        <w:rPr>
          <w:sz w:val="20"/>
          <w:szCs w:val="20"/>
          <w:color w:val="auto"/>
        </w:rPr>
      </w:pPr>
    </w:p>
    <w:p>
      <w:pPr>
        <w:ind w:right="40" w:firstLine="648"/>
        <w:spacing w:after="0" w:line="254" w:lineRule="auto"/>
        <w:rPr>
          <w:sz w:val="20"/>
          <w:szCs w:val="20"/>
          <w:color w:val="auto"/>
        </w:rPr>
      </w:pPr>
      <w:r>
        <w:rPr>
          <w:rFonts w:ascii="Arial" w:cs="Arial" w:eastAsia="Arial" w:hAnsi="Arial"/>
          <w:sz w:val="18"/>
          <w:szCs w:val="18"/>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of 1933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9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undersigned Registrant hereby undertakes:</w:t>
      </w:r>
    </w:p>
    <w:p>
      <w:pPr>
        <w:spacing w:after="0" w:line="225" w:lineRule="exact"/>
        <w:rPr>
          <w:sz w:val="20"/>
          <w:szCs w:val="20"/>
          <w:color w:val="auto"/>
        </w:rPr>
      </w:pPr>
    </w:p>
    <w:p>
      <w:pPr>
        <w:ind w:left="2000" w:hanging="695"/>
        <w:spacing w:after="0"/>
        <w:tabs>
          <w:tab w:leader="none" w:pos="2000" w:val="left"/>
        </w:tabs>
        <w:numPr>
          <w:ilvl w:val="0"/>
          <w:numId w:val="16"/>
        </w:numPr>
        <w:rPr>
          <w:rFonts w:ascii="Arial" w:cs="Arial" w:eastAsia="Arial" w:hAnsi="Arial"/>
          <w:sz w:val="17"/>
          <w:szCs w:val="17"/>
          <w:color w:val="auto"/>
        </w:rPr>
      </w:pPr>
      <w:r>
        <w:rPr>
          <w:rFonts w:ascii="Arial" w:cs="Arial" w:eastAsia="Arial" w:hAnsi="Arial"/>
          <w:sz w:val="17"/>
          <w:szCs w:val="17"/>
          <w:color w:val="auto"/>
        </w:rPr>
        <w:t>To file, during any period in which offers or sales are being made, a post-effective amendment to the Registration Statement:</w:t>
      </w:r>
    </w:p>
    <w:p>
      <w:pPr>
        <w:spacing w:after="0" w:line="236" w:lineRule="exact"/>
        <w:rPr>
          <w:rFonts w:ascii="Arial" w:cs="Arial" w:eastAsia="Arial" w:hAnsi="Arial"/>
          <w:sz w:val="17"/>
          <w:szCs w:val="17"/>
          <w:color w:val="auto"/>
        </w:rPr>
      </w:pPr>
    </w:p>
    <w:p>
      <w:pPr>
        <w:ind w:left="2660" w:hanging="707"/>
        <w:spacing w:after="0"/>
        <w:tabs>
          <w:tab w:leader="none" w:pos="2660" w:val="left"/>
        </w:tabs>
        <w:numPr>
          <w:ilvl w:val="1"/>
          <w:numId w:val="16"/>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25" w:lineRule="exact"/>
        <w:rPr>
          <w:rFonts w:ascii="Arial" w:cs="Arial" w:eastAsia="Arial" w:hAnsi="Arial"/>
          <w:sz w:val="18"/>
          <w:szCs w:val="18"/>
          <w:color w:val="auto"/>
        </w:rPr>
      </w:pPr>
    </w:p>
    <w:p>
      <w:pPr>
        <w:ind w:left="1300" w:right="160" w:firstLine="653"/>
        <w:spacing w:after="0" w:line="264" w:lineRule="auto"/>
        <w:tabs>
          <w:tab w:leader="none" w:pos="2663" w:val="left"/>
        </w:tabs>
        <w:numPr>
          <w:ilvl w:val="1"/>
          <w:numId w:val="16"/>
        </w:numPr>
        <w:rPr>
          <w:rFonts w:ascii="Arial" w:cs="Arial" w:eastAsia="Arial" w:hAnsi="Arial"/>
          <w:sz w:val="18"/>
          <w:szCs w:val="18"/>
          <w:color w:val="auto"/>
        </w:rPr>
      </w:pPr>
      <w:r>
        <w:rPr>
          <w:rFonts w:ascii="Arial" w:cs="Arial" w:eastAsia="Arial" w:hAnsi="Arial"/>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and</w:t>
      </w:r>
    </w:p>
    <w:p>
      <w:pPr>
        <w:spacing w:after="0" w:line="181" w:lineRule="exact"/>
        <w:rPr>
          <w:rFonts w:ascii="Arial" w:cs="Arial" w:eastAsia="Arial" w:hAnsi="Arial"/>
          <w:sz w:val="18"/>
          <w:szCs w:val="18"/>
          <w:color w:val="auto"/>
        </w:rPr>
      </w:pPr>
    </w:p>
    <w:p>
      <w:pPr>
        <w:ind w:left="1300" w:right="180" w:firstLine="653"/>
        <w:spacing w:after="0" w:line="277" w:lineRule="auto"/>
        <w:tabs>
          <w:tab w:leader="none" w:pos="2668" w:val="left"/>
        </w:tabs>
        <w:numPr>
          <w:ilvl w:val="1"/>
          <w:numId w:val="16"/>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70"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Provided, however, that paragraphs (i), (ii) and (iii) do not apply if the information required to be included in a post-effective amendment by those paragraphs is contained in periodic reports filed by the Registrant pursuant to Section 13 or Section 15(d) of the Securities Exchange Act of 1934 (the “Exchange Act”) that are incorporated by reference in the Registration Statement, or is contained in a form of prospectus filed pursuant to Rule 424(b) that is part of the registration statement.</w:t>
      </w:r>
    </w:p>
    <w:p>
      <w:pPr>
        <w:spacing w:after="0" w:line="187" w:lineRule="exact"/>
        <w:rPr>
          <w:sz w:val="20"/>
          <w:szCs w:val="20"/>
          <w:color w:val="auto"/>
        </w:rPr>
      </w:pPr>
    </w:p>
    <w:p>
      <w:pPr>
        <w:ind w:left="660" w:firstLine="645"/>
        <w:spacing w:after="0" w:line="264" w:lineRule="auto"/>
        <w:tabs>
          <w:tab w:leader="none" w:pos="2013"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81" w:lineRule="exact"/>
        <w:rPr>
          <w:rFonts w:ascii="Arial" w:cs="Arial" w:eastAsia="Arial" w:hAnsi="Arial"/>
          <w:sz w:val="18"/>
          <w:szCs w:val="18"/>
          <w:color w:val="auto"/>
        </w:rPr>
      </w:pPr>
    </w:p>
    <w:p>
      <w:pPr>
        <w:ind w:left="660" w:right="160" w:firstLine="645"/>
        <w:spacing w:after="0" w:line="277" w:lineRule="auto"/>
        <w:tabs>
          <w:tab w:leader="none" w:pos="2013"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left="660" w:right="40" w:firstLine="645"/>
        <w:spacing w:after="0" w:line="291" w:lineRule="auto"/>
        <w:tabs>
          <w:tab w:leader="none" w:pos="2013"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That, for the purpose of determining liability under the Securities Act to any purchaser, each prospectus filed pursuant to Rule 424(b) as part of a registration statement relating to an offering, other than registration statements relying on Rule 430B or other than prospectuses filed in reliance on Rule 430A, shall be deemed to be part of and included in the registration statement as of the date it is first used after effectiveness; provided, however,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first use, supersede or modify any statement that was made in the registration statement or prospectus that was part of the registration statement or made in any such document immediately prior to such date of first use.</w:t>
      </w:r>
    </w:p>
    <w:p>
      <w:pPr>
        <w:spacing w:after="0" w:line="167" w:lineRule="exact"/>
        <w:rPr>
          <w:rFonts w:ascii="Arial" w:cs="Arial" w:eastAsia="Arial" w:hAnsi="Arial"/>
          <w:sz w:val="16"/>
          <w:szCs w:val="16"/>
          <w:color w:val="auto"/>
        </w:rPr>
      </w:pPr>
    </w:p>
    <w:p>
      <w:pPr>
        <w:ind w:left="660" w:right="220" w:firstLine="645"/>
        <w:spacing w:after="0" w:line="259" w:lineRule="auto"/>
        <w:tabs>
          <w:tab w:leader="none" w:pos="1923"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That, for purposes of determining any liability under the Securities Act, each filing of the Registrant’s annual report pursuant to Section 13(a) or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ectPr>
          <w:pgSz w:w="11900" w:h="16838" w:orient="portrait"/>
          <w:cols w:equalWidth="0" w:num="1">
            <w:col w:w="11420"/>
          </w:cols>
          <w:pgMar w:left="240" w:top="125" w:right="239" w:bottom="84" w:gutter="0" w:footer="0" w:header="0"/>
        </w:sectPr>
      </w:pP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71755</wp:posOffset>
            </wp:positionV>
            <wp:extent cx="7267575"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84" w:gutter="0" w:footer="0" w:header="0"/>
          <w:type w:val="continuous"/>
        </w:sectPr>
      </w:pPr>
    </w:p>
    <w:bookmarkStart w:id="16" w:name="page17"/>
    <w:bookmarkEnd w:id="16"/>
    <w:p>
      <w:pPr>
        <w:jc w:val="center"/>
        <w:ind w:right="2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580" w:firstLine="648"/>
        <w:spacing w:after="0" w:line="264" w:lineRule="auto"/>
        <w:rPr>
          <w:sz w:val="20"/>
          <w:szCs w:val="20"/>
          <w:color w:val="auto"/>
        </w:rPr>
      </w:pPr>
      <w:r>
        <w:rPr>
          <w:rFonts w:ascii="Arial" w:cs="Arial" w:eastAsia="Arial" w:hAnsi="Arial"/>
          <w:sz w:val="18"/>
          <w:szCs w:val="18"/>
          <w:color w:val="auto"/>
        </w:rPr>
        <w:t>Pursuant to the requirements of the Securities Act, the Registrant certifies that it has reasonable grounds to believe that it meets all of the requirements for filing on Form S-3, and has duly caused this Amendment to this Registration Statement to be signed on its behalf by the undersigned, thereunto duly authorized, in the City of Santa Clara, State of California, on December 16, 2005.</w:t>
      </w:r>
    </w:p>
    <w:p>
      <w:pPr>
        <w:spacing w:after="0" w:line="181"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6180" w:type="dxa"/>
        <w:tblCellMar>
          <w:top w:w="0" w:type="dxa"/>
          <w:left w:w="0" w:type="dxa"/>
          <w:bottom w:w="0" w:type="dxa"/>
          <w:right w:w="0" w:type="dxa"/>
        </w:tblCellMar>
      </w:tblPr>
      <w:tr>
        <w:trPr>
          <w:trHeight w:val="230"/>
        </w:trPr>
        <w:tc>
          <w:tcPr>
            <w:tcW w:w="440" w:type="dxa"/>
            <w:vAlign w:val="bottom"/>
          </w:tcPr>
          <w:p>
            <w:pPr>
              <w:spacing w:after="0"/>
              <w:rPr>
                <w:sz w:val="20"/>
                <w:szCs w:val="20"/>
                <w:color w:val="auto"/>
              </w:rPr>
            </w:pPr>
            <w:r>
              <w:rPr>
                <w:rFonts w:ascii="Arial" w:cs="Arial" w:eastAsia="Arial" w:hAnsi="Arial"/>
                <w:sz w:val="18"/>
                <w:szCs w:val="18"/>
                <w:color w:val="auto"/>
              </w:rPr>
              <w:t>By</w:t>
            </w:r>
          </w:p>
        </w:tc>
        <w:tc>
          <w:tcPr>
            <w:tcW w:w="48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195"/>
        </w:trPr>
        <w:tc>
          <w:tcPr>
            <w:tcW w:w="440" w:type="dxa"/>
            <w:vAlign w:val="bottom"/>
          </w:tcPr>
          <w:p>
            <w:pPr>
              <w:spacing w:after="0"/>
              <w:rPr>
                <w:sz w:val="16"/>
                <w:szCs w:val="16"/>
                <w:color w:val="auto"/>
              </w:rPr>
            </w:pPr>
          </w:p>
        </w:tc>
        <w:tc>
          <w:tcPr>
            <w:tcW w:w="4800" w:type="dxa"/>
            <w:vAlign w:val="bottom"/>
          </w:tcPr>
          <w:p>
            <w:pPr>
              <w:jc w:val="center"/>
              <w:spacing w:after="0" w:line="195" w:lineRule="exact"/>
              <w:rPr>
                <w:sz w:val="20"/>
                <w:szCs w:val="20"/>
                <w:color w:val="auto"/>
              </w:rPr>
            </w:pPr>
            <w:r>
              <w:rPr>
                <w:rFonts w:ascii="Arial" w:cs="Arial" w:eastAsia="Arial" w:hAnsi="Arial"/>
                <w:sz w:val="18"/>
                <w:szCs w:val="18"/>
                <w:color w:val="auto"/>
                <w:w w:val="89"/>
              </w:rPr>
              <w:t>Dr. Sehat Sutardja</w:t>
            </w:r>
          </w:p>
        </w:tc>
      </w:tr>
      <w:tr>
        <w:trPr>
          <w:trHeight w:val="230"/>
        </w:trPr>
        <w:tc>
          <w:tcPr>
            <w:tcW w:w="440" w:type="dxa"/>
            <w:vAlign w:val="bottom"/>
          </w:tcPr>
          <w:p>
            <w:pPr>
              <w:spacing w:after="0"/>
              <w:rPr>
                <w:sz w:val="20"/>
                <w:szCs w:val="20"/>
                <w:color w:val="auto"/>
              </w:rPr>
            </w:pPr>
          </w:p>
        </w:tc>
        <w:tc>
          <w:tcPr>
            <w:tcW w:w="4800" w:type="dxa"/>
            <w:vAlign w:val="bottom"/>
          </w:tcPr>
          <w:p>
            <w:pPr>
              <w:jc w:val="center"/>
              <w:spacing w:after="0"/>
              <w:rPr>
                <w:sz w:val="20"/>
                <w:szCs w:val="20"/>
                <w:color w:val="auto"/>
              </w:rPr>
            </w:pPr>
            <w:r>
              <w:rPr>
                <w:rFonts w:ascii="Arial" w:cs="Arial" w:eastAsia="Arial" w:hAnsi="Arial"/>
                <w:sz w:val="18"/>
                <w:szCs w:val="18"/>
                <w:color w:val="auto"/>
                <w:w w:val="91"/>
              </w:rPr>
              <w:t>President and Chief Executive Officer</w:t>
            </w:r>
          </w:p>
        </w:tc>
      </w:tr>
    </w:tbl>
    <w:p>
      <w:pPr>
        <w:spacing w:after="0" w:line="200" w:lineRule="exact"/>
        <w:rPr>
          <w:sz w:val="20"/>
          <w:szCs w:val="20"/>
          <w:color w:val="auto"/>
        </w:rPr>
      </w:pPr>
    </w:p>
    <w:p>
      <w:pPr>
        <w:spacing w:after="0" w:line="218" w:lineRule="exact"/>
        <w:rPr>
          <w:sz w:val="20"/>
          <w:szCs w:val="20"/>
          <w:color w:val="auto"/>
        </w:rPr>
      </w:pPr>
    </w:p>
    <w:p>
      <w:pPr>
        <w:ind w:right="100" w:firstLine="648"/>
        <w:spacing w:after="0" w:line="277" w:lineRule="auto"/>
        <w:rPr>
          <w:sz w:val="20"/>
          <w:szCs w:val="20"/>
          <w:color w:val="auto"/>
        </w:rPr>
      </w:pPr>
      <w:r>
        <w:rPr>
          <w:rFonts w:ascii="Arial" w:cs="Arial" w:eastAsia="Arial" w:hAnsi="Arial"/>
          <w:sz w:val="18"/>
          <w:szCs w:val="18"/>
          <w:color w:val="auto"/>
        </w:rPr>
        <w:t>Pursuant to the requirements of the Securities Act, this Amendment to Registration Statement has been signed below by the following persons in the capacities and on the dates indicated.</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Name</w:t>
            </w:r>
          </w:p>
        </w:tc>
        <w:tc>
          <w:tcPr>
            <w:tcW w:w="300" w:type="dxa"/>
            <w:vAlign w:val="bottom"/>
          </w:tcPr>
          <w:p>
            <w:pPr>
              <w:spacing w:after="0"/>
              <w:rPr>
                <w:sz w:val="14"/>
                <w:szCs w:val="14"/>
                <w:color w:val="auto"/>
              </w:rPr>
            </w:pPr>
          </w:p>
        </w:tc>
        <w:tc>
          <w:tcPr>
            <w:tcW w:w="5860" w:type="dxa"/>
            <w:vAlign w:val="bottom"/>
            <w:tcBorders>
              <w:bottom w:val="single" w:sz="8" w:color="auto"/>
            </w:tcBorders>
          </w:tcPr>
          <w:p>
            <w:pPr>
              <w:ind w:left="2780"/>
              <w:spacing w:after="0"/>
              <w:rPr>
                <w:sz w:val="20"/>
                <w:szCs w:val="20"/>
                <w:color w:val="auto"/>
              </w:rPr>
            </w:pPr>
            <w:r>
              <w:rPr>
                <w:rFonts w:ascii="Arial" w:cs="Arial" w:eastAsia="Arial" w:hAnsi="Arial"/>
                <w:sz w:val="14"/>
                <w:szCs w:val="14"/>
                <w:b w:val="1"/>
                <w:bCs w:val="1"/>
                <w:color w:val="auto"/>
              </w:rPr>
              <w:t>Title</w:t>
            </w:r>
          </w:p>
        </w:tc>
        <w:tc>
          <w:tcPr>
            <w:tcW w:w="280" w:type="dxa"/>
            <w:vAlign w:val="bottom"/>
          </w:tcPr>
          <w:p>
            <w:pPr>
              <w:spacing w:after="0"/>
              <w:rPr>
                <w:sz w:val="14"/>
                <w:szCs w:val="14"/>
                <w:color w:val="auto"/>
              </w:rPr>
            </w:pPr>
          </w:p>
        </w:tc>
        <w:tc>
          <w:tcPr>
            <w:tcW w:w="24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Date</w:t>
            </w:r>
          </w:p>
        </w:tc>
      </w:tr>
      <w:tr>
        <w:trPr>
          <w:trHeight w:val="426"/>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Sehat Sutardja</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Chairman of the Board, President and Chief</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c>
          <w:tcPr>
            <w:tcW w:w="300" w:type="dxa"/>
            <w:vAlign w:val="bottom"/>
          </w:tcPr>
          <w:p>
            <w:pPr>
              <w:spacing w:after="0"/>
              <w:rPr>
                <w:sz w:val="19"/>
                <w:szCs w:val="19"/>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Executive Officer (Principal Executive Officer)</w:t>
            </w: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Weili Dai</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Executive Vice President, Secretary and</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5"/>
              </w:rPr>
              <w:t>Weili Dai</w:t>
            </w:r>
          </w:p>
        </w:tc>
        <w:tc>
          <w:tcPr>
            <w:tcW w:w="300" w:type="dxa"/>
            <w:vAlign w:val="bottom"/>
          </w:tcPr>
          <w:p>
            <w:pPr>
              <w:spacing w:after="0"/>
              <w:rPr>
                <w:sz w:val="19"/>
                <w:szCs w:val="19"/>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George Hervey</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Vice President and Chief Financial Officer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0"/>
              </w:rPr>
              <w:t>George Hervey</w:t>
            </w:r>
          </w:p>
        </w:tc>
        <w:tc>
          <w:tcPr>
            <w:tcW w:w="300" w:type="dxa"/>
            <w:vAlign w:val="bottom"/>
          </w:tcPr>
          <w:p>
            <w:pPr>
              <w:spacing w:after="0"/>
              <w:rPr>
                <w:sz w:val="19"/>
                <w:szCs w:val="19"/>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(Principal Financial and Accounting Officer)</w:t>
            </w: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Chief Technology Officer and 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87"/>
              </w:rPr>
              <w:t>Dr. Pantas Sutardja</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89"/>
              </w:rPr>
              <w:t>Herbert Chang</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6"/>
              </w:rPr>
              <w:t>Dr. John M. Cioffi</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0"/>
              </w:rPr>
              <w:t>Dr. Paul R. Gray</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3"/>
              </w:rPr>
              <w:t>Douglas King</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r>
        <w:trPr>
          <w:trHeight w:val="418"/>
        </w:trPr>
        <w:tc>
          <w:tcPr>
            <w:tcW w:w="25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4"/>
                <w:szCs w:val="24"/>
                <w:color w:val="auto"/>
              </w:rPr>
            </w:pPr>
          </w:p>
        </w:tc>
        <w:tc>
          <w:tcPr>
            <w:tcW w:w="6140" w:type="dxa"/>
            <w:vAlign w:val="bottom"/>
            <w:gridSpan w:val="2"/>
          </w:tcPr>
          <w:p>
            <w:pPr>
              <w:ind w:left="20"/>
              <w:spacing w:after="0"/>
              <w:rPr>
                <w:sz w:val="20"/>
                <w:szCs w:val="20"/>
                <w:color w:val="auto"/>
              </w:rPr>
            </w:pPr>
            <w:r>
              <w:rPr>
                <w:rFonts w:ascii="Arial" w:cs="Arial" w:eastAsia="Arial" w:hAnsi="Arial"/>
                <w:sz w:val="18"/>
                <w:szCs w:val="18"/>
                <w:color w:val="auto"/>
              </w:rPr>
              <w:t>Director</w:t>
            </w:r>
          </w:p>
        </w:tc>
        <w:tc>
          <w:tcPr>
            <w:tcW w:w="2420" w:type="dxa"/>
            <w:vAlign w:val="bottom"/>
          </w:tcPr>
          <w:p>
            <w:pPr>
              <w:jc w:val="center"/>
              <w:spacing w:after="0"/>
              <w:rPr>
                <w:sz w:val="20"/>
                <w:szCs w:val="20"/>
                <w:color w:val="auto"/>
              </w:rPr>
            </w:pPr>
            <w:r>
              <w:rPr>
                <w:rFonts w:ascii="Arial" w:cs="Arial" w:eastAsia="Arial" w:hAnsi="Arial"/>
                <w:sz w:val="18"/>
                <w:szCs w:val="18"/>
                <w:color w:val="auto"/>
                <w:w w:val="89"/>
              </w:rPr>
              <w:t>December 16, 2005</w:t>
            </w:r>
          </w:p>
        </w:tc>
      </w:tr>
      <w:tr>
        <w:trPr>
          <w:trHeight w:val="224"/>
        </w:trPr>
        <w:tc>
          <w:tcPr>
            <w:tcW w:w="2560" w:type="dxa"/>
            <w:vAlign w:val="bottom"/>
          </w:tcPr>
          <w:p>
            <w:pPr>
              <w:jc w:val="center"/>
              <w:spacing w:after="0"/>
              <w:rPr>
                <w:sz w:val="20"/>
                <w:szCs w:val="20"/>
                <w:color w:val="auto"/>
              </w:rPr>
            </w:pPr>
            <w:r>
              <w:rPr>
                <w:rFonts w:ascii="Arial" w:cs="Arial" w:eastAsia="Arial" w:hAnsi="Arial"/>
                <w:sz w:val="18"/>
                <w:szCs w:val="18"/>
                <w:color w:val="auto"/>
                <w:w w:val="94"/>
              </w:rPr>
              <w:t>Arturo Krueger</w:t>
            </w:r>
          </w:p>
        </w:tc>
        <w:tc>
          <w:tcPr>
            <w:tcW w:w="300" w:type="dxa"/>
            <w:vAlign w:val="bottom"/>
          </w:tcPr>
          <w:p>
            <w:pPr>
              <w:spacing w:after="0"/>
              <w:rPr>
                <w:sz w:val="19"/>
                <w:szCs w:val="19"/>
                <w:color w:val="auto"/>
              </w:rPr>
            </w:pPr>
          </w:p>
        </w:tc>
        <w:tc>
          <w:tcPr>
            <w:tcW w:w="58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2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187960</wp:posOffset>
            </wp:positionV>
            <wp:extent cx="1826895"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56" w:lineRule="exact"/>
        <w:rPr>
          <w:sz w:val="20"/>
          <w:szCs w:val="20"/>
          <w:color w:val="auto"/>
        </w:rPr>
      </w:pPr>
    </w:p>
    <w:p>
      <w:pPr>
        <w:spacing w:after="0"/>
        <w:tabs>
          <w:tab w:leader="none" w:pos="620" w:val="left"/>
        </w:tabs>
        <w:rPr>
          <w:sz w:val="20"/>
          <w:szCs w:val="20"/>
          <w:color w:val="auto"/>
        </w:rPr>
      </w:pPr>
      <w:r>
        <w:rPr>
          <w:rFonts w:ascii="Arial" w:cs="Arial" w:eastAsia="Arial" w:hAnsi="Arial"/>
          <w:sz w:val="18"/>
          <w:szCs w:val="18"/>
          <w:color w:val="auto"/>
        </w:rPr>
        <w:t>*</w:t>
      </w:r>
      <w:r>
        <w:rPr>
          <w:rFonts w:ascii="Arial" w:cs="Arial" w:eastAsia="Arial" w:hAnsi="Arial"/>
          <w:sz w:val="17"/>
          <w:szCs w:val="17"/>
          <w:color w:val="auto"/>
        </w:rPr>
        <w:t>By:</w:t>
      </w:r>
      <w:r>
        <w:rPr>
          <w:sz w:val="20"/>
          <w:szCs w:val="20"/>
          <w:color w:val="auto"/>
        </w:rPr>
        <w:tab/>
      </w:r>
      <w:r>
        <w:rPr>
          <w:rFonts w:ascii="Arial" w:cs="Arial" w:eastAsia="Arial" w:hAnsi="Arial"/>
          <w:sz w:val="16"/>
          <w:szCs w:val="16"/>
          <w:color w:val="auto"/>
        </w:rPr>
        <w:t>/s/ George Hervey</w:t>
      </w:r>
    </w:p>
    <w:p>
      <w:pPr>
        <w:spacing w:after="0" w:line="2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George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408305</wp:posOffset>
            </wp:positionH>
            <wp:positionV relativeFrom="paragraph">
              <wp:posOffset>-130810</wp:posOffset>
            </wp:positionV>
            <wp:extent cx="6843395"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843395" cy="8890"/>
                    </a:xfrm>
                    <a:prstGeom prst="rect">
                      <a:avLst/>
                    </a:prstGeom>
                    <a:noFill/>
                  </pic:spPr>
                </pic:pic>
              </a:graphicData>
            </a:graphic>
          </wp:anchor>
        </w:drawing>
      </w:r>
    </w:p>
    <w:p>
      <w:pPr>
        <w:spacing w:after="0" w:line="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Attorney-in-fact</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0060" w:type="dxa"/>
            <w:vAlign w:val="bottom"/>
            <w:gridSpan w:val="2"/>
          </w:tcPr>
          <w:p>
            <w:pPr>
              <w:jc w:val="center"/>
              <w:ind w:right="1400"/>
              <w:spacing w:after="0"/>
              <w:rPr>
                <w:sz w:val="20"/>
                <w:szCs w:val="20"/>
                <w:color w:val="auto"/>
              </w:rPr>
            </w:pPr>
            <w:r>
              <w:rPr>
                <w:rFonts w:ascii="Arial" w:cs="Arial" w:eastAsia="Arial" w:hAnsi="Arial"/>
                <w:sz w:val="18"/>
                <w:szCs w:val="18"/>
                <w:color w:val="auto"/>
                <w:w w:val="99"/>
              </w:rPr>
              <w:t>II-3</w:t>
            </w:r>
          </w:p>
        </w:tc>
        <w:tc>
          <w:tcPr>
            <w:tcW w:w="0" w:type="dxa"/>
            <w:vAlign w:val="bottom"/>
          </w:tcPr>
          <w:p>
            <w:pPr>
              <w:spacing w:after="0"/>
              <w:rPr>
                <w:sz w:val="1"/>
                <w:szCs w:val="1"/>
                <w:color w:val="auto"/>
              </w:rPr>
            </w:pPr>
          </w:p>
        </w:tc>
      </w:tr>
      <w:tr>
        <w:trPr>
          <w:trHeight w:val="105"/>
        </w:trPr>
        <w:tc>
          <w:tcPr>
            <w:tcW w:w="92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98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767"/>
        </w:trPr>
        <w:tc>
          <w:tcPr>
            <w:tcW w:w="9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60" w:type="dxa"/>
            <w:vAlign w:val="bottom"/>
            <w:gridSpan w:val="2"/>
          </w:tcPr>
          <w:p>
            <w:pPr>
              <w:jc w:val="center"/>
              <w:ind w:right="138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42"/>
        </w:trPr>
        <w:tc>
          <w:tcPr>
            <w:tcW w:w="138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w:t>
            </w:r>
          </w:p>
        </w:tc>
        <w:tc>
          <w:tcPr>
            <w:tcW w:w="9820" w:type="dxa"/>
            <w:vAlign w:val="bottom"/>
            <w:vMerge w:val="restart"/>
          </w:tcPr>
          <w:p>
            <w:pPr>
              <w:ind w:left="4140"/>
              <w:spacing w:after="0"/>
              <w:rPr>
                <w:sz w:val="20"/>
                <w:szCs w:val="20"/>
                <w:color w:val="auto"/>
              </w:rPr>
            </w:pPr>
            <w:r>
              <w:rPr>
                <w:rFonts w:ascii="Arial" w:cs="Arial" w:eastAsia="Arial" w:hAnsi="Arial"/>
                <w:sz w:val="14"/>
                <w:szCs w:val="14"/>
                <w:b w:val="1"/>
                <w:bCs w:val="1"/>
                <w:color w:val="auto"/>
              </w:rPr>
              <w:t>Description of Document</w:t>
            </w:r>
          </w:p>
        </w:tc>
        <w:tc>
          <w:tcPr>
            <w:tcW w:w="24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9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Number</w:t>
            </w:r>
          </w:p>
        </w:tc>
        <w:tc>
          <w:tcPr>
            <w:tcW w:w="460" w:type="dxa"/>
            <w:vAlign w:val="bottom"/>
          </w:tcPr>
          <w:p>
            <w:pPr>
              <w:spacing w:after="0"/>
              <w:rPr>
                <w:sz w:val="14"/>
                <w:szCs w:val="14"/>
                <w:color w:val="auto"/>
              </w:rPr>
            </w:pPr>
          </w:p>
        </w:tc>
        <w:tc>
          <w:tcPr>
            <w:tcW w:w="9820" w:type="dxa"/>
            <w:vAlign w:val="bottom"/>
            <w:tcBorders>
              <w:bottom w:val="single" w:sz="8" w:color="auto"/>
            </w:tcBorders>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-835660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-835660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2" w:lineRule="exact"/>
        <w:rPr>
          <w:sz w:val="20"/>
          <w:szCs w:val="20"/>
          <w:color w:val="auto"/>
        </w:rPr>
      </w:pPr>
    </w:p>
    <w:p>
      <w:pPr>
        <w:ind w:left="680"/>
        <w:spacing w:after="0"/>
        <w:tabs>
          <w:tab w:leader="none" w:pos="1380" w:val="left"/>
        </w:tabs>
        <w:rPr>
          <w:sz w:val="20"/>
          <w:szCs w:val="20"/>
          <w:color w:val="auto"/>
        </w:rPr>
      </w:pPr>
      <w:r>
        <w:rPr>
          <w:rFonts w:ascii="Arial" w:cs="Arial" w:eastAsia="Arial" w:hAnsi="Arial"/>
          <w:sz w:val="18"/>
          <w:szCs w:val="18"/>
          <w:color w:val="auto"/>
        </w:rPr>
        <w:t>5.1 **</w:t>
      </w:r>
      <w:r>
        <w:rPr>
          <w:sz w:val="20"/>
          <w:szCs w:val="20"/>
          <w:color w:val="auto"/>
        </w:rPr>
        <w:tab/>
      </w:r>
      <w:r>
        <w:rPr>
          <w:rFonts w:ascii="Arial" w:cs="Arial" w:eastAsia="Arial" w:hAnsi="Arial"/>
          <w:sz w:val="16"/>
          <w:szCs w:val="16"/>
          <w:color w:val="auto"/>
        </w:rPr>
        <w:t>Opinion of Appleby Spurling Hunter.</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color w:val="auto"/>
        </w:rPr>
        <w:t>Consent of PricewaterhouseCoopers LLP, Independent Registered Public Accounting Firm.</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23.2 **</w:t>
      </w:r>
      <w:r>
        <w:rPr>
          <w:sz w:val="20"/>
          <w:szCs w:val="20"/>
          <w:color w:val="auto"/>
        </w:rPr>
        <w:tab/>
      </w:r>
      <w:r>
        <w:rPr>
          <w:rFonts w:ascii="Arial" w:cs="Arial" w:eastAsia="Arial" w:hAnsi="Arial"/>
          <w:sz w:val="16"/>
          <w:szCs w:val="16"/>
          <w:color w:val="auto"/>
        </w:rPr>
        <w:t>Consent of Appleby Spurling Hunter (included in its opinion filed as Exhibit 5.1).</w:t>
      </w:r>
    </w:p>
    <w:p>
      <w:pPr>
        <w:spacing w:after="0" w:line="225" w:lineRule="exact"/>
        <w:rPr>
          <w:sz w:val="20"/>
          <w:szCs w:val="20"/>
          <w:color w:val="auto"/>
        </w:rPr>
      </w:pPr>
    </w:p>
    <w:p>
      <w:pPr>
        <w:ind w:left="600"/>
        <w:spacing w:after="0"/>
        <w:tabs>
          <w:tab w:leader="none" w:pos="1380" w:val="left"/>
        </w:tabs>
        <w:rPr>
          <w:sz w:val="20"/>
          <w:szCs w:val="20"/>
          <w:color w:val="auto"/>
        </w:rPr>
      </w:pPr>
      <w:r>
        <w:rPr>
          <w:rFonts w:ascii="Arial" w:cs="Arial" w:eastAsia="Arial" w:hAnsi="Arial"/>
          <w:sz w:val="18"/>
          <w:szCs w:val="18"/>
          <w:color w:val="auto"/>
        </w:rPr>
        <w:t>24.1 **</w:t>
      </w:r>
      <w:r>
        <w:rPr>
          <w:sz w:val="20"/>
          <w:szCs w:val="20"/>
          <w:color w:val="auto"/>
        </w:rPr>
        <w:tab/>
      </w:r>
      <w:r>
        <w:rPr>
          <w:rFonts w:ascii="Arial" w:cs="Arial" w:eastAsia="Arial" w:hAnsi="Arial"/>
          <w:sz w:val="16"/>
          <w:szCs w:val="16"/>
          <w:color w:val="auto"/>
        </w:rPr>
        <w:t>Power of Attorney.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66040</wp:posOffset>
            </wp:positionV>
            <wp:extent cx="1826895"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Previously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40"/>
          </w:cols>
          <w:pgMar w:left="240" w:top="337" w:right="219" w:bottom="1085" w:gutter="0" w:footer="0" w:header="0"/>
        </w:sectPr>
      </w:pPr>
    </w:p>
    <w:bookmarkStart w:id="17" w:name="page18"/>
    <w:bookmarkEnd w:id="17"/>
    <w:p>
      <w:pPr>
        <w:jc w:val="right"/>
        <w:spacing w:after="0"/>
        <w:rPr>
          <w:sz w:val="20"/>
          <w:szCs w:val="20"/>
          <w:color w:val="auto"/>
        </w:rPr>
      </w:pPr>
      <w:r>
        <w:rPr>
          <w:rFonts w:ascii="Arial" w:cs="Arial" w:eastAsia="Arial" w:hAnsi="Arial"/>
          <w:sz w:val="18"/>
          <w:szCs w:val="18"/>
          <w:b w:val="1"/>
          <w:bCs w:val="1"/>
          <w:color w:val="auto"/>
        </w:rPr>
        <w:t>EXHIBIT 23.1</w:t>
      </w:r>
    </w:p>
    <w:p>
      <w:pPr>
        <w:spacing w:after="0" w:line="200" w:lineRule="exact"/>
        <w:rPr>
          <w:sz w:val="20"/>
          <w:szCs w:val="20"/>
          <w:color w:val="auto"/>
        </w:rPr>
      </w:pPr>
    </w:p>
    <w:p>
      <w:pPr>
        <w:spacing w:after="0" w:line="34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00" w:lineRule="exact"/>
        <w:rPr>
          <w:sz w:val="20"/>
          <w:szCs w:val="20"/>
          <w:color w:val="auto"/>
        </w:rPr>
      </w:pPr>
    </w:p>
    <w:p>
      <w:pPr>
        <w:spacing w:after="0" w:line="24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We hereby consent to the incorporation by reference in this Amendment No. 2 to the Registration Statement on Form S-3 of our report dated April 14, 2005 relating to the financial statements, management’s assessment of the effectiveness of internal control over financial reporting and the effectiveness of internal control over financial reporting, which appears in Marvell Technology Group Ltd.’s Annual Report on Form 10-K for the year ended January 31, 2005. We also consent to the reference to us under the heading “Experts” in such Registration Statement.</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20"/>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ind w:left="20"/>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December 16,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200660</wp:posOffset>
            </wp:positionV>
            <wp:extent cx="7267575"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33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BD062C2"/>
    <w:multiLevelType w:val="hybridMultilevel"/>
    <w:lvl w:ilvl="0">
      <w:lvlJc w:val="left"/>
      <w:lvlText w:val="%1."/>
      <w:numFmt w:val="decimal"/>
      <w:start w:val="31"/>
    </w:lvl>
  </w:abstractNum>
  <w:abstractNum w:abstractNumId="1">
    <w:nsid w:val="12200854"/>
    <w:multiLevelType w:val="hybridMultilevel"/>
    <w:lvl w:ilvl="0">
      <w:lvlJc w:val="left"/>
      <w:lvlText w:val="•"/>
      <w:numFmt w:val="bullet"/>
      <w:start w:val="1"/>
    </w:lvl>
  </w:abstractNum>
  <w:abstractNum w:abstractNumId="2">
    <w:nsid w:val="4DB127F8"/>
    <w:multiLevelType w:val="hybridMultilevel"/>
    <w:lvl w:ilvl="0">
      <w:lvlJc w:val="left"/>
      <w:lvlText w:val="•"/>
      <w:numFmt w:val="bullet"/>
      <w:start w:val="1"/>
    </w:lvl>
  </w:abstractNum>
  <w:abstractNum w:abstractNumId="3">
    <w:nsid w:val="216231B"/>
    <w:multiLevelType w:val="hybridMultilevel"/>
    <w:lvl w:ilvl="0">
      <w:lvlJc w:val="left"/>
      <w:lvlText w:val="•"/>
      <w:numFmt w:val="bullet"/>
      <w:start w:val="1"/>
    </w:lvl>
  </w:abstractNum>
  <w:abstractNum w:abstractNumId="4">
    <w:nsid w:val="1F16E9E8"/>
    <w:multiLevelType w:val="hybridMultilevel"/>
    <w:lvl w:ilvl="0">
      <w:lvlJc w:val="left"/>
      <w:lvlText w:val="•"/>
      <w:numFmt w:val="bullet"/>
      <w:start w:val="1"/>
    </w:lvl>
  </w:abstractNum>
  <w:abstractNum w:abstractNumId="5">
    <w:nsid w:val="1190CDE7"/>
    <w:multiLevelType w:val="hybridMultilevel"/>
    <w:lvl w:ilvl="0">
      <w:lvlJc w:val="left"/>
      <w:lvlText w:val="•"/>
      <w:numFmt w:val="bullet"/>
      <w:start w:val="1"/>
    </w:lvl>
  </w:abstractNum>
  <w:abstractNum w:abstractNumId="6">
    <w:nsid w:val="66EF438D"/>
    <w:multiLevelType w:val="hybridMultilevel"/>
    <w:lvl w:ilvl="0">
      <w:lvlJc w:val="left"/>
      <w:lvlText w:val="•"/>
      <w:numFmt w:val="bullet"/>
      <w:start w:val="1"/>
    </w:lvl>
  </w:abstractNum>
  <w:abstractNum w:abstractNumId="7">
    <w:nsid w:val="140E0F76"/>
    <w:multiLevelType w:val="hybridMultilevel"/>
    <w:lvl w:ilvl="0">
      <w:lvlJc w:val="left"/>
      <w:lvlText w:val="•"/>
      <w:numFmt w:val="bullet"/>
      <w:start w:val="1"/>
    </w:lvl>
  </w:abstractNum>
  <w:abstractNum w:abstractNumId="8">
    <w:nsid w:val="3352255A"/>
    <w:multiLevelType w:val="hybridMultilevel"/>
    <w:lvl w:ilvl="0">
      <w:lvlJc w:val="left"/>
      <w:lvlText w:val="(%1)"/>
      <w:numFmt w:val="decimal"/>
      <w:start w:val="2"/>
    </w:lvl>
  </w:abstractNum>
  <w:abstractNum w:abstractNumId="9">
    <w:nsid w:val="109CF92E"/>
    <w:multiLevelType w:val="hybridMultilevel"/>
    <w:lvl w:ilvl="0">
      <w:lvlJc w:val="left"/>
      <w:lvlText w:val="•"/>
      <w:numFmt w:val="bullet"/>
      <w:start w:val="1"/>
    </w:lvl>
  </w:abstractNum>
  <w:abstractNum w:abstractNumId="10">
    <w:nsid w:val="DED7263"/>
    <w:multiLevelType w:val="hybridMultilevel"/>
    <w:lvl w:ilvl="0">
      <w:lvlJc w:val="left"/>
      <w:lvlText w:val="•"/>
      <w:numFmt w:val="bullet"/>
      <w:start w:val="1"/>
    </w:lvl>
  </w:abstractNum>
  <w:abstractNum w:abstractNumId="11">
    <w:nsid w:val="7FDCC233"/>
    <w:multiLevelType w:val="hybridMultilevel"/>
    <w:lvl w:ilvl="0">
      <w:lvlJc w:val="left"/>
      <w:lvlText w:val="•"/>
      <w:numFmt w:val="bullet"/>
      <w:start w:val="1"/>
    </w:lvl>
  </w:abstractNum>
  <w:abstractNum w:abstractNumId="12">
    <w:nsid w:val="1BEFD79F"/>
    <w:multiLevelType w:val="hybridMultilevel"/>
    <w:lvl w:ilvl="0">
      <w:lvlJc w:val="left"/>
      <w:lvlText w:val="•"/>
      <w:numFmt w:val="bullet"/>
      <w:start w:val="1"/>
    </w:lvl>
  </w:abstractNum>
  <w:abstractNum w:abstractNumId="13">
    <w:nsid w:val="41A7C4C9"/>
    <w:multiLevelType w:val="hybridMultilevel"/>
    <w:lvl w:ilvl="0">
      <w:lvlJc w:val="left"/>
      <w:lvlText w:val="•"/>
      <w:numFmt w:val="bullet"/>
      <w:start w:val="1"/>
    </w:lvl>
  </w:abstractNum>
  <w:abstractNum w:abstractNumId="14">
    <w:nsid w:val="6B68079A"/>
    <w:multiLevelType w:val="hybridMultilevel"/>
    <w:lvl w:ilvl="0">
      <w:lvlJc w:val="left"/>
      <w:lvlText w:val="•"/>
      <w:numFmt w:val="bullet"/>
      <w:start w:val="1"/>
    </w:lvl>
  </w:abstractNum>
  <w:abstractNum w:abstractNumId="15">
    <w:nsid w:val="4E6AFB66"/>
    <w:multiLevelType w:val="hybridMultilevel"/>
    <w:lvl w:ilvl="0">
      <w:lvlJc w:val="left"/>
      <w:lvlText w:val="(%1)"/>
      <w:numFmt w:val="decimal"/>
      <w:start w:val="1"/>
    </w:lvl>
    <w:lvl w:ilvl="1">
      <w:lvlJc w:val="left"/>
      <w:lvlText w:val="(%2)"/>
      <w:numFmt w:val="lowerRoman"/>
      <w:start w:val="1"/>
    </w:lvl>
  </w:abstractNum>
  <w:abstractNum w:abstractNumId="16">
    <w:nsid w:val="25E45D32"/>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2019-12-14T20:24:27Z</dcterms:created>
  <dcterms:modified xsi:type="dcterms:W3CDTF">2019-12-14T20:24:27Z</dcterms:modified>
</cp:coreProperties>
</file>