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480" w:type="dxa"/>
            <w:vAlign w:val="bottom"/>
          </w:tcPr>
          <w:p>
            <w:pPr>
              <w:jc w:val="center"/>
              <w:ind w:right="2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80" w:type="dxa"/>
            <w:vAlign w:val="bottom"/>
            <w:vMerge w:val="restart"/>
          </w:tcPr>
          <w:p>
            <w:pPr>
              <w:jc w:val="center"/>
              <w:ind w:right="275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4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80" w:type="dxa"/>
            <w:vAlign w:val="bottom"/>
            <w:vMerge w:val="restart"/>
          </w:tcPr>
          <w:p>
            <w:pPr>
              <w:jc w:val="center"/>
              <w:ind w:right="275"/>
              <w:spacing w:after="0" w:line="19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64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Estimated average burden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480" w:type="dxa"/>
            <w:vAlign w:val="bottom"/>
            <w:vMerge w:val="restart"/>
          </w:tcPr>
          <w:p>
            <w:pPr>
              <w:jc w:val="center"/>
              <w:ind w:right="29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5435600</wp:posOffset>
            </wp:positionH>
            <wp:positionV relativeFrom="paragraph">
              <wp:posOffset>-632460</wp:posOffset>
            </wp:positionV>
            <wp:extent cx="58420" cy="64579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4095750</wp:posOffset>
            </wp:positionH>
            <wp:positionV relativeFrom="paragraph">
              <wp:posOffset>-632460</wp:posOffset>
            </wp:positionV>
            <wp:extent cx="58420" cy="6457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-1749425</wp:posOffset>
            </wp:positionH>
            <wp:positionV relativeFrom="paragraph">
              <wp:posOffset>16510</wp:posOffset>
            </wp:positionV>
            <wp:extent cx="7277100" cy="93789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0" cy="9378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460"/>
            <w:col w:w="8780"/>
          </w:cols>
          <w:pgMar w:left="240" w:top="222" w:right="139" w:bottom="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Weili Dai &amp; Sehat Sutardja</w:t>
        </w:r>
      </w:hyperlink>
    </w:p>
    <w:p>
      <w:pPr>
        <w:spacing w:after="0" w:line="30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 w:line="204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6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2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400" w:type="dxa"/>
            <w:vAlign w:val="bottom"/>
          </w:tcPr>
          <w:p>
            <w:pPr>
              <w:ind w:left="1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40" w:type="dxa"/>
            <w:vAlign w:val="bottom"/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Executive Vice President &amp; CEO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7"/>
        </w:trPr>
        <w:tc>
          <w:tcPr>
            <w:tcW w:w="3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12/12/2005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3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4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33" w:lineRule="exact"/>
        <w:rPr>
          <w:sz w:val="20"/>
          <w:szCs w:val="20"/>
          <w:color w:val="auto"/>
        </w:rPr>
      </w:pPr>
    </w:p>
    <w:tbl>
      <w:tblPr>
        <w:tblLayout w:type="fixed"/>
        <w:tblInd w:w="42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2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83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2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8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5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4"/>
          </w:tcPr>
          <w:p>
            <w:pPr>
              <w:jc w:val="center"/>
              <w:ind w:left="6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 Owned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jc w:val="center"/>
              <w:ind w:right="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Code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4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4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10,226,667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top w:val="single" w:sz="8" w:color="2C2C2C"/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jc w:val="center"/>
              <w:ind w:left="7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12/12/2005</w:t>
            </w:r>
          </w:p>
        </w:tc>
        <w:tc>
          <w:tcPr>
            <w:tcW w:w="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jc w:val="center"/>
              <w:ind w:right="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3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27,588</w:t>
            </w:r>
          </w:p>
        </w:tc>
        <w:tc>
          <w:tcPr>
            <w:tcW w:w="2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jc w:val="center"/>
              <w:ind w:left="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18.25</w:t>
            </w:r>
          </w:p>
        </w:tc>
        <w:tc>
          <w:tcPr>
            <w:tcW w:w="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26,153,746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3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7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12/12/2005</w:t>
            </w: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27,588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60.355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26,126,158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7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12/14/2005</w:t>
            </w: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64,604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18.25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26,190,762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7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12/14/2005</w:t>
            </w: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64,604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60.523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26,126,158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6"/>
          </w:tcPr>
          <w:p>
            <w:pPr>
              <w:jc w:val="right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0" w:type="dxa"/>
            <w:vAlign w:val="bottom"/>
            <w:gridSpan w:val="15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1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 (Instr.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12.005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29,167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(3)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29,167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4"/>
                <w:vertAlign w:val="superscript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12.005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58,334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58,334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4"/>
                <w:vertAlign w:val="superscript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jc w:val="center"/>
              <w:spacing w:after="0" w:line="20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1,041,667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20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1,041,667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5"/>
                <w:vertAlign w:val="superscript"/>
              </w:rPr>
              <w:t>(5)</w:t>
            </w:r>
          </w:p>
        </w:tc>
        <w:tc>
          <w:tcPr>
            <w:tcW w:w="6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2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12/12/2005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27,588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jc w:val="center"/>
              <w:spacing w:after="0" w:line="20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1,964,210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(6)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right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20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1,964,210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5"/>
                <w:vertAlign w:val="superscript"/>
              </w:rPr>
              <w:t>(6)</w:t>
            </w:r>
          </w:p>
        </w:tc>
        <w:tc>
          <w:tcPr>
            <w:tcW w:w="6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2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12/14/2005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64,604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jc w:val="center"/>
              <w:spacing w:after="0" w:line="20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1,899,606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(6)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right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20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1,899,606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5"/>
                <w:vertAlign w:val="superscript"/>
              </w:rPr>
              <w:t>(6)</w:t>
            </w:r>
          </w:p>
        </w:tc>
        <w:tc>
          <w:tcPr>
            <w:tcW w:w="6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2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2C2C2C"/>
            </w:tcBorders>
            <w:gridSpan w:val="6"/>
          </w:tcPr>
          <w:p>
            <w:pPr>
              <w:ind w:left="60"/>
              <w:spacing w:after="0" w:line="2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vertAlign w:val="superscript"/>
              </w:rPr>
              <w:t>*</w:t>
            </w:r>
          </w:p>
        </w:tc>
        <w:tc>
          <w:tcPr>
            <w:tcW w:w="10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500" w:type="dxa"/>
            <w:vAlign w:val="bottom"/>
            <w:gridSpan w:val="4"/>
          </w:tcPr>
          <w:p>
            <w:pPr>
              <w:spacing w:after="0" w:line="217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Weili Dai &amp; Sehat Sutardja</w:t>
              </w:r>
            </w:hyperlink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0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7291070</wp:posOffset>
            </wp:positionH>
            <wp:positionV relativeFrom="paragraph">
              <wp:posOffset>-5013325</wp:posOffset>
            </wp:positionV>
            <wp:extent cx="24130" cy="376301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3763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520"/>
          </w:cols>
          <w:pgMar w:left="240" w:top="222" w:right="139" w:bottom="0" w:gutter="0" w:footer="0" w:header="0"/>
          <w:type w:val="continuous"/>
        </w:sectPr>
      </w:pP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ind w:left="120"/>
        <w:spacing w:after="0"/>
        <w:tabs>
          <w:tab w:leader="none" w:pos="1560" w:val="left"/>
          <w:tab w:leader="none" w:pos="30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(Zip)</w:t>
      </w:r>
    </w:p>
    <w:p>
      <w:pPr>
        <w:sectPr>
          <w:pgSz w:w="11900" w:h="16838" w:orient="portrait"/>
          <w:cols w:equalWidth="0" w:num="1">
            <w:col w:w="11520"/>
          </w:cols>
          <w:pgMar w:left="240" w:top="222" w:right="139" w:bottom="0" w:gutter="0" w:footer="0" w:header="0"/>
          <w:type w:val="continuous"/>
        </w:sectPr>
      </w:pPr>
    </w:p>
    <w:bookmarkStart w:id="1" w:name="page2"/>
    <w:bookmarkEnd w:id="1"/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142240</wp:posOffset>
            </wp:positionH>
            <wp:positionV relativeFrom="page">
              <wp:posOffset>88900</wp:posOffset>
            </wp:positionV>
            <wp:extent cx="2919095" cy="160020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095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8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6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Sehat Sutardja &amp; Weili Dai</w:t>
        </w:r>
      </w:hyperlink>
    </w:p>
    <w:p>
      <w:pPr>
        <w:spacing w:after="0" w:line="308" w:lineRule="exact"/>
        <w:rPr>
          <w:sz w:val="20"/>
          <w:szCs w:val="20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06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13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</w:t>
            </w:r>
          </w:p>
        </w:tc>
        <w:tc>
          <w:tcPr>
            <w:tcW w:w="106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06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96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12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140" w:hanging="137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Ms. Weili Dai and Dr. Sehat Sutardja are the general partners of The Sutardja Family Partners, a California family limited partnership.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7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securities are jointly owned by Ms. Weili Dai and Dr. Sehat Sutardja who are members of a "Group" for purposes Section 13(d) of the Exchange Act.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20" w:firstLine="3"/>
        <w:spacing w:after="0" w:line="253" w:lineRule="auto"/>
        <w:tabs>
          <w:tab w:leader="none" w:pos="13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200,000 shares which vests as follows: 25% on 06/06/03, and 4,166.66 shares per month from 07/06/03 - 06/06/06. Options become exerciseable as they vest. This Stock Option (Right to Buy) is owned directly by Ms. Weili Dai and indirectly by her spouse, Dr. Sehat Sutardja.</w:t>
      </w:r>
    </w:p>
    <w:p>
      <w:pPr>
        <w:spacing w:after="0" w:line="2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20" w:firstLine="3"/>
        <w:spacing w:after="0" w:line="253" w:lineRule="auto"/>
        <w:tabs>
          <w:tab w:leader="none" w:pos="13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400,000 shares which vests as follows: 25% on 06/06/03, and 8,333.32 shares per month from 07/06/03 - 06/06/06. Options become exerciseable as they vest. This Stock Option (Right to Buy) is owned directly by Dr. Sehat Sutardja and indirectly by his spouse, Ms. Weili Dai.</w:t>
      </w:r>
    </w:p>
    <w:p>
      <w:pPr>
        <w:spacing w:after="0" w:line="2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240" w:firstLine="3"/>
        <w:spacing w:after="0" w:line="253" w:lineRule="auto"/>
        <w:tabs>
          <w:tab w:leader="none" w:pos="13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2,000,000 which vests as follows: 25% on 12/26/04, and 41,666 per month from 01/26/05 - 12/26/07. Options become exerciseable as they vest. This Stock Option (Right to Buy) is owned directly by Ms. Weili Dai and indirectly by her spouse, Dr. Sehat Sutardja.</w:t>
      </w:r>
    </w:p>
    <w:p>
      <w:pPr>
        <w:spacing w:after="0" w:line="2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firstLine="3"/>
        <w:spacing w:after="0" w:line="253" w:lineRule="auto"/>
        <w:tabs>
          <w:tab w:leader="none" w:pos="13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3,000,000 shares which vests as follows: 25 % on 12/26/04, and 62,500 shares per month from 01/26/05 - 12/26/07. Options become exerciseable as they vest. This Stock Option (Right to Buy) is owned directly by Dr. Sehat Sutardja and indirectly by his spouse, Ms. Weili Dai.</w:t>
      </w:r>
    </w:p>
    <w:p>
      <w:pPr>
        <w:spacing w:after="0" w:line="1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1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Weili Dai &amp; Dr. Sehat Sutardja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12/14/2005</w:t>
            </w:r>
          </w:p>
        </w:tc>
      </w:tr>
      <w:tr>
        <w:trPr>
          <w:trHeight w:val="226"/>
        </w:trPr>
        <w:tc>
          <w:tcPr>
            <w:tcW w:w="21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jc w:val="both"/>
        <w:ind w:right="3780" w:firstLine="3"/>
        <w:spacing w:after="0" w:line="311" w:lineRule="auto"/>
        <w:tabs>
          <w:tab w:leader="none" w:pos="138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300"/>
      </w:cols>
      <w:pgMar w:left="280" w:top="129" w:right="31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2" Type="http://schemas.openxmlformats.org/officeDocument/2006/relationships/hyperlink" Target="http://www.sec.gov/cgi-bin/browse-edgar?action=getcompany&amp;CIK=0001134140" TargetMode="External"/><Relationship Id="rId13" Type="http://schemas.openxmlformats.org/officeDocument/2006/relationships/hyperlink" Target="http://www.sec.gov/cgi-bin/browse-edgar?action=getcompany&amp;CIK=0001058057" TargetMode="External"/><Relationship Id="rId16" Type="http://schemas.openxmlformats.org/officeDocument/2006/relationships/hyperlink" Target="http://www.sec.gov/cgi-bin/browse-edgar?action=getcompany&amp;CIK=0001134141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2019-12-17T02:27:24Z</dcterms:created>
  <dcterms:modified xsi:type="dcterms:W3CDTF">2019-12-17T02:27:24Z</dcterms:modified>
</cp:coreProperties>
</file>