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color w:val="auto"/>
        </w:rPr>
        <w:t>As filed with the Securities and Exchange Commission on November 18, 2005</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64770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35"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spacing w:after="0" w:line="118"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55880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4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233" w:right="239" w:bottom="0" w:gutter="0" w:footer="0" w:header="0"/>
        </w:sectPr>
      </w:pPr>
    </w:p>
    <w:p>
      <w:pPr>
        <w:spacing w:after="0" w:line="7" w:lineRule="exact"/>
        <w:rPr>
          <w:sz w:val="24"/>
          <w:szCs w:val="24"/>
          <w:color w:val="auto"/>
        </w:rPr>
      </w:pPr>
    </w:p>
    <w:p>
      <w:pPr>
        <w:jc w:val="center"/>
        <w:ind w:right="78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780"/>
        <w:spacing w:after="0"/>
        <w:rPr>
          <w:sz w:val="20"/>
          <w:szCs w:val="20"/>
          <w:color w:val="auto"/>
        </w:rPr>
      </w:pPr>
      <w:r>
        <w:rPr>
          <w:rFonts w:ascii="Arial" w:cs="Arial" w:eastAsia="Arial" w:hAnsi="Arial"/>
          <w:sz w:val="16"/>
          <w:szCs w:val="16"/>
          <w:color w:val="auto"/>
        </w:rPr>
        <w:t>(State or other jurisdiction of incorporation or organization)</w:t>
      </w:r>
    </w:p>
    <w:p>
      <w:pPr>
        <w:spacing w:after="0" w:line="20" w:lineRule="exact"/>
        <w:rPr>
          <w:sz w:val="24"/>
          <w:szCs w:val="24"/>
          <w:color w:val="auto"/>
        </w:rPr>
      </w:pPr>
      <w:r>
        <w:rPr>
          <w:sz w:val="24"/>
          <w:szCs w:val="24"/>
          <w:color w:val="auto"/>
        </w:rPr>
        <w:br w:type="column"/>
      </w:r>
    </w:p>
    <w:p>
      <w:pPr>
        <w:jc w:val="center"/>
        <w:ind w:right="1280"/>
        <w:spacing w:after="0"/>
        <w:rPr>
          <w:sz w:val="20"/>
          <w:szCs w:val="20"/>
          <w:color w:val="auto"/>
        </w:rPr>
      </w:pPr>
      <w:r>
        <w:rPr>
          <w:rFonts w:ascii="Arial" w:cs="Arial" w:eastAsia="Arial" w:hAnsi="Arial"/>
          <w:sz w:val="18"/>
          <w:szCs w:val="18"/>
          <w:b w:val="1"/>
          <w:bCs w:val="1"/>
          <w:color w:val="auto"/>
        </w:rPr>
        <w:t>77-0481679</w:t>
      </w:r>
    </w:p>
    <w:p>
      <w:pPr>
        <w:spacing w:after="0" w:line="9" w:lineRule="exact"/>
        <w:rPr>
          <w:sz w:val="24"/>
          <w:szCs w:val="24"/>
          <w:color w:val="auto"/>
        </w:rPr>
      </w:pPr>
    </w:p>
    <w:p>
      <w:pPr>
        <w:jc w:val="center"/>
        <w:ind w:right="1280"/>
        <w:spacing w:after="0"/>
        <w:rPr>
          <w:sz w:val="20"/>
          <w:szCs w:val="20"/>
          <w:color w:val="auto"/>
        </w:rPr>
      </w:pPr>
      <w:r>
        <w:rPr>
          <w:rFonts w:ascii="Arial" w:cs="Arial" w:eastAsia="Arial" w:hAnsi="Arial"/>
          <w:sz w:val="17"/>
          <w:szCs w:val="17"/>
          <w:color w:val="auto"/>
        </w:rPr>
        <w:t>(I.R.S. Employer Identification No.)</w:t>
      </w:r>
    </w:p>
    <w:p>
      <w:pPr>
        <w:spacing w:after="0" w:line="164" w:lineRule="exact"/>
        <w:rPr>
          <w:sz w:val="24"/>
          <w:szCs w:val="24"/>
          <w:color w:val="auto"/>
        </w:rPr>
      </w:pPr>
    </w:p>
    <w:p>
      <w:pPr>
        <w:sectPr>
          <w:pgSz w:w="11900" w:h="16838" w:orient="portrait"/>
          <w:cols w:equalWidth="0" w:num="2">
            <w:col w:w="6800" w:space="720"/>
            <w:col w:w="3900"/>
          </w:cols>
          <w:pgMar w:left="240" w:top="233"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9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Vice President of Business Affairs and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 of agent for service)</w:t>
      </w:r>
    </w:p>
    <w:p>
      <w:pPr>
        <w:spacing w:after="0" w:line="103"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Copies to:</w:t>
      </w:r>
    </w:p>
    <w:p>
      <w:pPr>
        <w:spacing w:after="0" w:line="5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Stanton D. Wong</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Pillsbury Winthrop Shaw Pittman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P.O. Box 7880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 Francisco, California 94120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66040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6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Approximate date of commencement of proposed sale to the public:</w:t>
      </w:r>
    </w:p>
    <w:p>
      <w:pPr>
        <w:spacing w:after="0" w:line="27" w:lineRule="exact"/>
        <w:rPr>
          <w:sz w:val="24"/>
          <w:szCs w:val="24"/>
          <w:color w:val="auto"/>
        </w:rPr>
      </w:pPr>
    </w:p>
    <w:p>
      <w:pPr>
        <w:ind w:left="3180"/>
        <w:spacing w:after="0"/>
        <w:rPr>
          <w:sz w:val="20"/>
          <w:szCs w:val="20"/>
          <w:color w:val="auto"/>
        </w:rPr>
      </w:pPr>
      <w:r>
        <w:rPr>
          <w:rFonts w:ascii="Arial" w:cs="Arial" w:eastAsia="Arial" w:hAnsi="Arial"/>
          <w:sz w:val="18"/>
          <w:szCs w:val="18"/>
          <w:color w:val="auto"/>
        </w:rPr>
        <w:t>From time to time after this Registration Statement becomes effective.</w:t>
      </w:r>
    </w:p>
    <w:p>
      <w:pPr>
        <w:spacing w:after="0" w:line="157" w:lineRule="exact"/>
        <w:rPr>
          <w:sz w:val="24"/>
          <w:szCs w:val="24"/>
          <w:color w:val="auto"/>
        </w:rPr>
      </w:pPr>
    </w:p>
    <w:p>
      <w:pPr>
        <w:ind w:left="660"/>
        <w:spacing w:after="0"/>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box. o</w:t>
      </w:r>
    </w:p>
    <w:p>
      <w:pPr>
        <w:spacing w:after="0" w:line="62" w:lineRule="exact"/>
        <w:rPr>
          <w:sz w:val="24"/>
          <w:szCs w:val="24"/>
          <w:color w:val="auto"/>
        </w:rPr>
      </w:pPr>
    </w:p>
    <w:p>
      <w:pPr>
        <w:ind w:right="40" w:firstLine="648"/>
        <w:spacing w:after="0" w:line="233"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34" w:lineRule="exact"/>
        <w:rPr>
          <w:sz w:val="24"/>
          <w:szCs w:val="24"/>
          <w:color w:val="auto"/>
        </w:rPr>
      </w:pPr>
    </w:p>
    <w:p>
      <w:pPr>
        <w:ind w:right="140" w:firstLine="648"/>
        <w:spacing w:after="0" w:line="272"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33" w:lineRule="exact"/>
        <w:rPr>
          <w:sz w:val="24"/>
          <w:szCs w:val="24"/>
          <w:color w:val="auto"/>
        </w:rPr>
      </w:pPr>
    </w:p>
    <w:p>
      <w:pPr>
        <w:ind w:right="80" w:firstLine="648"/>
        <w:spacing w:after="0" w:line="277"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2" w:lineRule="exact"/>
        <w:rPr>
          <w:sz w:val="24"/>
          <w:szCs w:val="24"/>
          <w:color w:val="auto"/>
        </w:rPr>
      </w:pPr>
    </w:p>
    <w:p>
      <w:pPr>
        <w:ind w:left="660"/>
        <w:spacing w:after="0"/>
        <w:rPr>
          <w:sz w:val="20"/>
          <w:szCs w:val="20"/>
          <w:color w:val="auto"/>
        </w:rPr>
      </w:pPr>
      <w:r>
        <w:rPr>
          <w:rFonts w:ascii="Arial" w:cs="Arial" w:eastAsia="Arial" w:hAnsi="Arial"/>
          <w:sz w:val="18"/>
          <w:szCs w:val="18"/>
          <w:color w:val="auto"/>
        </w:rPr>
        <w:t>If delivery of the prospectus is expected to be made pursuant to Rule 434, please check the following box. o</w:t>
      </w:r>
    </w:p>
    <w:p>
      <w:pPr>
        <w:spacing w:after="0" w:line="73" w:lineRule="exact"/>
        <w:rPr>
          <w:sz w:val="24"/>
          <w:szCs w:val="24"/>
          <w:color w:val="auto"/>
        </w:rPr>
      </w:pPr>
    </w:p>
    <w:p>
      <w:pPr>
        <w:ind w:left="3980"/>
        <w:spacing w:after="0"/>
        <w:rPr>
          <w:sz w:val="20"/>
          <w:szCs w:val="20"/>
          <w:color w:val="auto"/>
        </w:rPr>
      </w:pPr>
      <w:r>
        <w:rPr>
          <w:rFonts w:ascii="Arial" w:cs="Arial" w:eastAsia="Arial" w:hAnsi="Arial"/>
          <w:sz w:val="18"/>
          <w:szCs w:val="18"/>
          <w:b w:val="1"/>
          <w:bCs w:val="1"/>
          <w:color w:val="auto"/>
        </w:rPr>
        <w:t>CALCULATION OF REGISTRATION FEE</w:t>
      </w:r>
    </w:p>
    <w:p>
      <w:pPr>
        <w:spacing w:after="0" w:line="27" w:lineRule="exact"/>
        <w:rPr>
          <w:sz w:val="24"/>
          <w:szCs w:val="24"/>
          <w:color w:val="auto"/>
        </w:rPr>
      </w:pPr>
    </w:p>
    <w:tbl>
      <w:tblPr>
        <w:tblLayout w:type="fixed"/>
        <w:tblInd w:w="0" w:type="dxa"/>
        <w:tblCellMar>
          <w:top w:w="0" w:type="dxa"/>
          <w:left w:w="0" w:type="dxa"/>
          <w:bottom w:w="0" w:type="dxa"/>
          <w:right w:w="0" w:type="dxa"/>
        </w:tblCellMar>
      </w:tblPr>
      <w:tr>
        <w:trPr>
          <w:trHeight w:val="133"/>
        </w:trPr>
        <w:tc>
          <w:tcPr>
            <w:tcW w:w="4980" w:type="dxa"/>
            <w:vAlign w:val="bottom"/>
            <w:tcBorders>
              <w:top w:val="single" w:sz="8" w:color="auto"/>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 of securities to be</w:t>
            </w:r>
          </w:p>
        </w:tc>
        <w:tc>
          <w:tcPr>
            <w:tcW w:w="1620" w:type="dxa"/>
            <w:vAlign w:val="bottom"/>
            <w:tcBorders>
              <w:top w:val="single" w:sz="8" w:color="auto"/>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3"/>
              </w:rPr>
              <w:t>Amount to be</w:t>
            </w:r>
          </w:p>
        </w:tc>
        <w:tc>
          <w:tcPr>
            <w:tcW w:w="1620" w:type="dxa"/>
            <w:vAlign w:val="bottom"/>
            <w:tcBorders>
              <w:top w:val="single" w:sz="8" w:color="auto"/>
              <w:right w:val="single" w:sz="8" w:color="auto"/>
            </w:tcBorders>
          </w:tcPr>
          <w:p>
            <w:pPr>
              <w:jc w:val="center"/>
              <w:spacing w:after="0" w:line="133" w:lineRule="exact"/>
              <w:rPr>
                <w:sz w:val="20"/>
                <w:szCs w:val="20"/>
                <w:color w:val="auto"/>
              </w:rPr>
            </w:pPr>
            <w:r>
              <w:rPr>
                <w:rFonts w:ascii="Arial" w:cs="Arial" w:eastAsia="Arial" w:hAnsi="Arial"/>
                <w:sz w:val="14"/>
                <w:szCs w:val="14"/>
                <w:b w:val="1"/>
                <w:bCs w:val="1"/>
                <w:color w:val="auto"/>
                <w:w w:val="92"/>
              </w:rPr>
              <w:t>Proposed maximum</w:t>
            </w:r>
          </w:p>
        </w:tc>
        <w:tc>
          <w:tcPr>
            <w:tcW w:w="1600" w:type="dxa"/>
            <w:vAlign w:val="bottom"/>
            <w:tcBorders>
              <w:top w:val="single" w:sz="8" w:color="auto"/>
              <w:right w:val="single" w:sz="8" w:color="auto"/>
            </w:tcBorders>
          </w:tcPr>
          <w:p>
            <w:pPr>
              <w:jc w:val="center"/>
              <w:spacing w:after="0" w:line="133" w:lineRule="exact"/>
              <w:rPr>
                <w:sz w:val="20"/>
                <w:szCs w:val="20"/>
                <w:color w:val="auto"/>
              </w:rPr>
            </w:pPr>
            <w:r>
              <w:rPr>
                <w:rFonts w:ascii="Arial" w:cs="Arial" w:eastAsia="Arial" w:hAnsi="Arial"/>
                <w:sz w:val="14"/>
                <w:szCs w:val="14"/>
                <w:b w:val="1"/>
                <w:bCs w:val="1"/>
                <w:color w:val="auto"/>
                <w:w w:val="92"/>
              </w:rPr>
              <w:t>Proposed maximum</w:t>
            </w:r>
          </w:p>
        </w:tc>
        <w:tc>
          <w:tcPr>
            <w:tcW w:w="1580" w:type="dxa"/>
            <w:vAlign w:val="bottom"/>
            <w:tcBorders>
              <w:top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4980" w:type="dxa"/>
            <w:vAlign w:val="bottom"/>
            <w:tcBorders>
              <w:right w:val="single" w:sz="8" w:color="auto"/>
            </w:tcBorders>
            <w:vMerge w:val="continue"/>
          </w:tcPr>
          <w:p>
            <w:pPr>
              <w:spacing w:after="0"/>
              <w:rPr>
                <w:sz w:val="12"/>
                <w:szCs w:val="12"/>
                <w:color w:val="auto"/>
              </w:rPr>
            </w:pPr>
          </w:p>
        </w:tc>
        <w:tc>
          <w:tcPr>
            <w:tcW w:w="1620" w:type="dxa"/>
            <w:vAlign w:val="bottom"/>
            <w:tcBorders>
              <w:right w:val="single" w:sz="8" w:color="auto"/>
            </w:tcBorders>
            <w:vMerge w:val="continue"/>
          </w:tcPr>
          <w:p>
            <w:pPr>
              <w:spacing w:after="0"/>
              <w:rPr>
                <w:sz w:val="12"/>
                <w:szCs w:val="12"/>
                <w:color w:val="auto"/>
              </w:rPr>
            </w:pPr>
          </w:p>
        </w:tc>
        <w:tc>
          <w:tcPr>
            <w:tcW w:w="162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3"/>
              </w:rPr>
              <w:t>offering price per</w:t>
            </w: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1"/>
              </w:rPr>
              <w:t>aggregate offering</w:t>
            </w:r>
          </w:p>
        </w:tc>
        <w:tc>
          <w:tcPr>
            <w:tcW w:w="1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9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registered</w:t>
            </w:r>
          </w:p>
        </w:tc>
        <w:tc>
          <w:tcPr>
            <w:tcW w:w="16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registered</w:t>
            </w:r>
          </w:p>
        </w:tc>
        <w:tc>
          <w:tcPr>
            <w:tcW w:w="16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share(1)</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price(1)</w:t>
            </w: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registration fee</w:t>
            </w:r>
          </w:p>
        </w:tc>
        <w:tc>
          <w:tcPr>
            <w:tcW w:w="0" w:type="dxa"/>
            <w:vAlign w:val="bottom"/>
          </w:tcPr>
          <w:p>
            <w:pPr>
              <w:spacing w:after="0"/>
              <w:rPr>
                <w:sz w:val="1"/>
                <w:szCs w:val="1"/>
                <w:color w:val="auto"/>
              </w:rPr>
            </w:pPr>
          </w:p>
        </w:tc>
      </w:tr>
      <w:tr>
        <w:trPr>
          <w:trHeight w:val="217"/>
        </w:trPr>
        <w:tc>
          <w:tcPr>
            <w:tcW w:w="4980" w:type="dxa"/>
            <w:vAlign w:val="bottom"/>
            <w:tcBorders>
              <w:bottom w:val="single" w:sz="8" w:color="auto"/>
              <w:right w:val="single" w:sz="8" w:color="auto"/>
            </w:tcBorders>
          </w:tcPr>
          <w:p>
            <w:pPr>
              <w:ind w:left="20"/>
              <w:spacing w:after="0"/>
              <w:rPr>
                <w:sz w:val="20"/>
                <w:szCs w:val="20"/>
                <w:color w:val="auto"/>
              </w:rPr>
            </w:pPr>
            <w:r>
              <w:rPr>
                <w:rFonts w:ascii="Arial" w:cs="Arial" w:eastAsia="Arial" w:hAnsi="Arial"/>
                <w:sz w:val="18"/>
                <w:szCs w:val="18"/>
                <w:color w:val="auto"/>
              </w:rPr>
              <w:t>Common Stock, par value US $0.002 per share</w:t>
            </w:r>
          </w:p>
        </w:tc>
        <w:tc>
          <w:tcPr>
            <w:tcW w:w="16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980,499 Shares</w:t>
            </w:r>
          </w:p>
        </w:tc>
        <w:tc>
          <w:tcPr>
            <w:tcW w:w="16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$49.45</w:t>
            </w:r>
          </w:p>
        </w:tc>
        <w:tc>
          <w:tcPr>
            <w:tcW w:w="1600" w:type="dxa"/>
            <w:vAlign w:val="bottom"/>
            <w:tcBorders>
              <w:bottom w:val="single" w:sz="8" w:color="auto"/>
              <w:right w:val="single" w:sz="8" w:color="auto"/>
            </w:tcBorders>
          </w:tcPr>
          <w:p>
            <w:pPr>
              <w:jc w:val="right"/>
              <w:ind w:right="184"/>
              <w:spacing w:after="0"/>
              <w:rPr>
                <w:sz w:val="20"/>
                <w:szCs w:val="20"/>
                <w:color w:val="auto"/>
              </w:rPr>
            </w:pPr>
            <w:r>
              <w:rPr>
                <w:rFonts w:ascii="Arial" w:cs="Arial" w:eastAsia="Arial" w:hAnsi="Arial"/>
                <w:sz w:val="18"/>
                <w:szCs w:val="18"/>
                <w:color w:val="auto"/>
              </w:rPr>
              <w:t>$48,485,676.55</w:t>
            </w:r>
          </w:p>
        </w:tc>
        <w:tc>
          <w:tcPr>
            <w:tcW w:w="1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$5,706.76</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340" w:right="460" w:hanging="332"/>
        <w:spacing w:after="0" w:line="258" w:lineRule="auto"/>
        <w:tabs>
          <w:tab w:leader="none" w:pos="361"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457(c) based upon the average of the high and low prices of the Company’s Common Stock on the Nasdaq National Market on November 16, 2005.</w:t>
      </w:r>
    </w:p>
    <w:p>
      <w:pPr>
        <w:spacing w:after="0" w:line="1"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6"/>
          <w:szCs w:val="16"/>
          <w:b w:val="1"/>
          <w:bCs w:val="1"/>
          <w:color w:val="auto"/>
        </w:rPr>
        <w:t>The Registrant hereby amends this Registration Statement on such date or dates as may be necessary to delay its effective date until the</w:t>
      </w:r>
    </w:p>
    <w:p>
      <w:pPr>
        <w:spacing w:after="0" w:line="32" w:lineRule="exact"/>
        <w:rPr>
          <w:sz w:val="24"/>
          <w:szCs w:val="24"/>
          <w:color w:val="auto"/>
        </w:rPr>
      </w:pPr>
    </w:p>
    <w:p>
      <w:pPr>
        <w:ind w:right="80"/>
        <w:spacing w:after="0" w:line="255" w:lineRule="auto"/>
        <w:rPr>
          <w:sz w:val="20"/>
          <w:szCs w:val="20"/>
          <w:color w:val="auto"/>
        </w:rPr>
      </w:pPr>
      <w:r>
        <w:rPr>
          <w:rFonts w:ascii="Arial" w:cs="Arial" w:eastAsia="Arial" w:hAnsi="Arial"/>
          <w:sz w:val="18"/>
          <w:szCs w:val="18"/>
          <w:b w:val="1"/>
          <w:bCs w:val="1"/>
          <w:color w:val="auto"/>
        </w:rPr>
        <w:t>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198755</wp:posOffset>
            </wp:positionV>
            <wp:extent cx="7246620" cy="342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299085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5" w:lineRule="exact"/>
        <w:rPr>
          <w:sz w:val="24"/>
          <w:szCs w:val="24"/>
          <w:color w:val="auto"/>
        </w:rPr>
      </w:pPr>
    </w:p>
    <w:p>
      <w:pPr>
        <w:ind w:right="60"/>
        <w:spacing w:after="0" w:line="264" w:lineRule="auto"/>
        <w:rPr>
          <w:sz w:val="20"/>
          <w:szCs w:val="20"/>
          <w:color w:val="auto"/>
        </w:rPr>
      </w:pPr>
      <w:r>
        <w:rPr>
          <w:rFonts w:ascii="Arial" w:cs="Arial" w:eastAsia="Arial" w:hAnsi="Arial"/>
          <w:sz w:val="18"/>
          <w:szCs w:val="18"/>
          <w:color w:val="FF4040"/>
        </w:rPr>
        <w:t>The information in this prospectus is not complete and may be changed. We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17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FF4040"/>
        </w:rPr>
        <w:t>Subject to Completion, Dated November 18, 2005</w:t>
      </w:r>
    </w:p>
    <w:p>
      <w:pPr>
        <w:sectPr>
          <w:pgSz w:w="11900" w:h="16838" w:orient="portrait"/>
          <w:cols w:equalWidth="0" w:num="1">
            <w:col w:w="11420"/>
          </w:cols>
          <w:pgMar w:left="240" w:top="233"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u w:val="single" w:color="auto"/>
          <w:color w:val="auto"/>
        </w:rPr>
        <w:t>PROSPECTUS</w:t>
      </w:r>
    </w:p>
    <w:p>
      <w:pPr>
        <w:spacing w:after="0" w:line="217" w:lineRule="exact"/>
        <w:rPr>
          <w:sz w:val="20"/>
          <w:szCs w:val="20"/>
          <w:color w:val="auto"/>
        </w:rPr>
      </w:pPr>
    </w:p>
    <w:p>
      <w:pPr>
        <w:jc w:val="center"/>
        <w:ind w:right="20"/>
        <w:spacing w:after="0"/>
        <w:rPr>
          <w:sz w:val="20"/>
          <w:szCs w:val="20"/>
          <w:color w:val="auto"/>
        </w:rPr>
      </w:pPr>
      <w:r>
        <w:rPr>
          <w:rFonts w:ascii="Arial" w:cs="Arial" w:eastAsia="Arial" w:hAnsi="Arial"/>
          <w:sz w:val="25"/>
          <w:szCs w:val="25"/>
          <w:b w:val="1"/>
          <w:bCs w:val="1"/>
          <w:color w:val="auto"/>
        </w:rPr>
        <w:t>980,499 Shares</w:t>
      </w:r>
    </w:p>
    <w:p>
      <w:pPr>
        <w:spacing w:after="0" w:line="200" w:lineRule="exact"/>
        <w:rPr>
          <w:sz w:val="20"/>
          <w:szCs w:val="20"/>
          <w:color w:val="auto"/>
        </w:rPr>
      </w:pPr>
    </w:p>
    <w:p>
      <w:pPr>
        <w:spacing w:after="0" w:line="224" w:lineRule="exact"/>
        <w:rPr>
          <w:sz w:val="20"/>
          <w:szCs w:val="20"/>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339" w:lineRule="exact"/>
        <w:rPr>
          <w:sz w:val="20"/>
          <w:szCs w:val="20"/>
          <w:color w:val="auto"/>
        </w:rPr>
      </w:pPr>
    </w:p>
    <w:p>
      <w:pPr>
        <w:jc w:val="center"/>
        <w:ind w:right="20"/>
        <w:spacing w:after="0"/>
        <w:rPr>
          <w:sz w:val="20"/>
          <w:szCs w:val="20"/>
          <w:color w:val="auto"/>
        </w:rPr>
      </w:pPr>
      <w:r>
        <w:rPr>
          <w:rFonts w:ascii="Arial" w:cs="Arial" w:eastAsia="Arial" w:hAnsi="Arial"/>
          <w:sz w:val="25"/>
          <w:szCs w:val="25"/>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89535</wp:posOffset>
            </wp:positionV>
            <wp:extent cx="182689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selling shareholder identified in this prospectus may sell up to 980,499 shares of our common stock.</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Our common stock is traded on the Nasdaq National Market under the symbol “MRVL.” The last reported sale price of our common stock on the</w:t>
      </w:r>
    </w:p>
    <w:p>
      <w:pPr>
        <w:spacing w:after="0" w:line="46" w:lineRule="exact"/>
        <w:rPr>
          <w:sz w:val="20"/>
          <w:szCs w:val="20"/>
          <w:color w:val="auto"/>
        </w:rPr>
      </w:pPr>
    </w:p>
    <w:p>
      <w:pPr>
        <w:spacing w:after="0"/>
        <w:tabs>
          <w:tab w:leader="none" w:pos="2960" w:val="left"/>
          <w:tab w:leader="none" w:pos="4240" w:val="left"/>
        </w:tabs>
        <w:rPr>
          <w:sz w:val="20"/>
          <w:szCs w:val="20"/>
          <w:color w:val="auto"/>
        </w:rPr>
      </w:pPr>
      <w:r>
        <w:rPr>
          <w:rFonts w:ascii="Arial" w:cs="Arial" w:eastAsia="Arial" w:hAnsi="Arial"/>
          <w:sz w:val="18"/>
          <w:szCs w:val="18"/>
          <w:color w:val="auto"/>
        </w:rPr>
        <w:t>Nasdaq National Market on November</w:t>
        <w:tab/>
        <w:t>, 2005 was $</w:t>
      </w:r>
      <w:r>
        <w:rPr>
          <w:sz w:val="20"/>
          <w:szCs w:val="20"/>
          <w:color w:val="auto"/>
        </w:rPr>
        <w:tab/>
      </w:r>
      <w:r>
        <w:rPr>
          <w:rFonts w:ascii="Arial" w:cs="Arial" w:eastAsia="Arial" w:hAnsi="Arial"/>
          <w:sz w:val="15"/>
          <w:szCs w:val="15"/>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142875</wp:posOffset>
            </wp:positionV>
            <wp:extent cx="182689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ind w:right="580" w:firstLine="64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120650</wp:posOffset>
            </wp:positionV>
            <wp:extent cx="182689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right="360" w:firstLine="648"/>
        <w:spacing w:after="0" w:line="313" w:lineRule="auto"/>
        <w:rPr>
          <w:sz w:val="20"/>
          <w:szCs w:val="20"/>
          <w:color w:val="auto"/>
        </w:rPr>
      </w:pPr>
      <w:r>
        <w:rPr>
          <w:rFonts w:ascii="Arial" w:cs="Arial" w:eastAsia="Arial" w:hAnsi="Arial"/>
          <w:sz w:val="17"/>
          <w:szCs w:val="17"/>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99695</wp:posOffset>
            </wp:positionV>
            <wp:extent cx="182689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ind w:left="388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790"/>
              <w:spacing w:after="0"/>
              <w:rPr>
                <w:sz w:val="20"/>
                <w:szCs w:val="20"/>
                <w:color w:val="auto"/>
              </w:rPr>
            </w:pPr>
            <w:r>
              <w:rPr>
                <w:rFonts w:ascii="Arial" w:cs="Arial" w:eastAsia="Arial" w:hAnsi="Arial"/>
                <w:sz w:val="18"/>
                <w:szCs w:val="18"/>
                <w:color w:val="auto"/>
              </w:rPr>
              <w:t>, 2005</w:t>
            </w:r>
          </w:p>
        </w:tc>
      </w:tr>
      <w:tr>
        <w:trPr>
          <w:trHeight w:val="321"/>
        </w:trPr>
        <w:tc>
          <w:tcPr>
            <w:tcW w:w="6540" w:type="dxa"/>
            <w:vAlign w:val="bottom"/>
            <w:tcBorders>
              <w:bottom w:val="single" w:sz="8" w:color="808080"/>
            </w:tcBorders>
          </w:tcPr>
          <w:p>
            <w:pPr>
              <w:spacing w:after="0"/>
              <w:rPr>
                <w:sz w:val="24"/>
                <w:szCs w:val="24"/>
                <w:color w:val="auto"/>
              </w:rPr>
            </w:pPr>
          </w:p>
        </w:tc>
        <w:tc>
          <w:tcPr>
            <w:tcW w:w="49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03" w:lineRule="exact"/>
        <w:rPr>
          <w:sz w:val="20"/>
          <w:szCs w:val="20"/>
          <w:color w:val="auto"/>
        </w:rPr>
      </w:pPr>
    </w:p>
    <w:p>
      <w:pPr>
        <w:ind w:left="660"/>
        <w:spacing w:after="0"/>
        <w:rPr>
          <w:sz w:val="20"/>
          <w:szCs w:val="20"/>
          <w:color w:val="auto"/>
        </w:rPr>
      </w:pPr>
      <w:r>
        <w:rPr>
          <w:rFonts w:ascii="Arial" w:cs="Arial" w:eastAsia="Arial" w:hAnsi="Arial"/>
          <w:sz w:val="16"/>
          <w:szCs w:val="16"/>
          <w:i w:val="1"/>
          <w:iCs w:val="1"/>
          <w:color w:val="auto"/>
        </w:rPr>
        <w:t>You should read carefully the entire prospectus, as well as the documents incorporated by reference in the prospectus, before making an investment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decision.</w:t>
      </w:r>
    </w:p>
    <w:p>
      <w:pPr>
        <w:spacing w:after="0" w:line="20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right="60" w:firstLine="720"/>
        <w:spacing w:after="0" w:line="269"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Our wireless technology has a variety of uses in emerging consumer electronic devices, including enabling applications such as wireless connectivity, ad-hoc gaming, streaming audio or video and voice over Internet applications for products offered by companies such as Motorola, PalmOne and Sony Corporation. We also applied our technology by introducing integrated circuits and modules that provide power management broadly to electronic devices.</w:t>
      </w:r>
    </w:p>
    <w:p>
      <w:pPr>
        <w:spacing w:after="0" w:line="183" w:lineRule="exact"/>
        <w:rPr>
          <w:sz w:val="20"/>
          <w:szCs w:val="20"/>
          <w:color w:val="auto"/>
        </w:rPr>
      </w:pPr>
    </w:p>
    <w:p>
      <w:pPr>
        <w:ind w:right="180" w:firstLine="720"/>
        <w:spacing w:after="0" w:line="259" w:lineRule="auto"/>
        <w:rPr>
          <w:sz w:val="20"/>
          <w:szCs w:val="20"/>
          <w:color w:val="auto"/>
        </w:rPr>
      </w:pPr>
      <w:r>
        <w:rPr>
          <w:rFonts w:ascii="Arial" w:cs="Arial" w:eastAsia="Arial" w:hAnsi="Arial"/>
          <w:sz w:val="18"/>
          <w:szCs w:val="18"/>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 700 First Avenue, Sunnyvale, California 94089, and our telephone number there is (408) 222-2500. Our fiscal year ends on the Saturday nearest January 31. For presentation purposes, we refer to January 31 as our fiscal year-end for all periods.</w:t>
      </w:r>
    </w:p>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right="200" w:firstLine="765"/>
        <w:spacing w:after="0" w:line="279" w:lineRule="auto"/>
        <w:rPr>
          <w:sz w:val="20"/>
          <w:szCs w:val="20"/>
          <w:color w:val="auto"/>
        </w:rPr>
      </w:pPr>
      <w:r>
        <w:rPr>
          <w:rFonts w:ascii="Arial" w:cs="Arial" w:eastAsia="Arial" w:hAnsi="Arial"/>
          <w:sz w:val="17"/>
          <w:szCs w:val="17"/>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17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ectPr>
          <w:pgSz w:w="11900" w:h="16838" w:orient="portrait"/>
          <w:cols w:equalWidth="0" w:num="1">
            <w:col w:w="11440"/>
          </w:cols>
          <w:pgMar w:left="240" w:top="125" w:right="219" w:bottom="0" w:gutter="0" w:footer="0" w:header="0"/>
        </w:sectPr>
      </w:pPr>
    </w:p>
    <w:bookmarkStart w:id="2" w:name="page3"/>
    <w:bookmarkEnd w:id="2"/>
    <w:p>
      <w:pPr>
        <w:ind w:right="40" w:firstLine="70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firstLine="720"/>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may cause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60" w:firstLine="709"/>
        <w:spacing w:after="0" w:line="270" w:lineRule="auto"/>
        <w:rPr>
          <w:sz w:val="20"/>
          <w:szCs w:val="20"/>
          <w:color w:val="auto"/>
        </w:rPr>
      </w:pPr>
      <w:r>
        <w:rPr>
          <w:rFonts w:ascii="Arial" w:cs="Arial" w:eastAsia="Arial" w:hAnsi="Arial"/>
          <w:sz w:val="17"/>
          <w:szCs w:val="17"/>
          <w:color w:val="auto"/>
        </w:rPr>
        <w:t>In the first six months of fiscal 2006, approximately 45%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13%. Additionally, Wintech, a distributor, accounted for approximately 11% of our net revenue during the first six months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in the future. The loss of any of our largest customers, a significant reduction in sales we make to them, or any problems we encounter collecting amounts due from them would likely seriously harm our financial condition, results of operations and liquidity.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980" w:right="500" w:hanging="324"/>
        <w:spacing w:after="0" w:line="232" w:lineRule="auto"/>
        <w:tabs>
          <w:tab w:leader="none" w:pos="975" w:val="left"/>
        </w:tabs>
        <w:numPr>
          <w:ilvl w:val="0"/>
          <w:numId w:val="2"/>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right="20" w:firstLine="70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60" w:firstLine="709"/>
        <w:spacing w:after="0" w:line="276" w:lineRule="auto"/>
        <w:rPr>
          <w:sz w:val="20"/>
          <w:szCs w:val="20"/>
          <w:color w:val="auto"/>
        </w:rPr>
      </w:pPr>
      <w:r>
        <w:rPr>
          <w:rFonts w:ascii="Arial" w:cs="Arial" w:eastAsia="Arial" w:hAnsi="Arial"/>
          <w:sz w:val="17"/>
          <w:szCs w:val="17"/>
          <w:color w:val="auto"/>
        </w:rPr>
        <w:t>For the past four years, we have been able to report significant sequential quarterly growth in revenues; however, our revenues have grown at a slower sequential rate in the past four sequential quarters ending with the second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73"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720"/>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93" w:lineRule="exact"/>
        <w:rPr>
          <w:sz w:val="20"/>
          <w:szCs w:val="20"/>
          <w:color w:val="auto"/>
        </w:rPr>
      </w:pPr>
    </w:p>
    <w:p>
      <w:pPr>
        <w:ind w:right="80" w:firstLine="709"/>
        <w:spacing w:after="0" w:line="312" w:lineRule="auto"/>
        <w:rPr>
          <w:sz w:val="20"/>
          <w:szCs w:val="20"/>
          <w:color w:val="auto"/>
        </w:rPr>
      </w:pPr>
      <w:r>
        <w:rPr>
          <w:rFonts w:ascii="Arial" w:cs="Arial" w:eastAsia="Arial" w:hAnsi="Arial"/>
          <w:sz w:val="16"/>
          <w:szCs w:val="16"/>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w:t>
      </w:r>
    </w:p>
    <w:p>
      <w:pPr>
        <w:sectPr>
          <w:pgSz w:w="11900" w:h="16838" w:orient="portrait"/>
          <w:cols w:equalWidth="0" w:num="1">
            <w:col w:w="11420"/>
          </w:cols>
          <w:pgMar w:left="240" w:top="125" w:right="239" w:bottom="0" w:gutter="0" w:footer="0" w:header="0"/>
        </w:sectPr>
      </w:pPr>
    </w:p>
    <w:bookmarkStart w:id="3" w:name="page4"/>
    <w:bookmarkEnd w:id="3"/>
    <w:p>
      <w:pPr>
        <w:spacing w:after="0" w:line="264" w:lineRule="auto"/>
        <w:rPr>
          <w:sz w:val="20"/>
          <w:szCs w:val="20"/>
          <w:color w:val="auto"/>
        </w:rPr>
      </w:pPr>
      <w:r>
        <w:rPr>
          <w:rFonts w:ascii="Arial" w:cs="Arial" w:eastAsia="Arial" w:hAnsi="Arial"/>
          <w:sz w:val="18"/>
          <w:szCs w:val="18"/>
          <w:color w:val="auto"/>
        </w:rPr>
        <w:t>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81"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harm our business, financial condition or results of operations.</w:t>
      </w:r>
    </w:p>
    <w:p>
      <w:pPr>
        <w:spacing w:after="0" w:line="181" w:lineRule="exact"/>
        <w:rPr>
          <w:sz w:val="20"/>
          <w:szCs w:val="20"/>
          <w:color w:val="auto"/>
        </w:rPr>
      </w:pPr>
    </w:p>
    <w:p>
      <w:pPr>
        <w:ind w:right="320" w:firstLine="709"/>
        <w:spacing w:after="0" w:line="277"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must rely on third-party vendors to manufacture, assemble and test the products we design.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We currently rely on five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67" w:lineRule="exact"/>
        <w:rPr>
          <w:sz w:val="20"/>
          <w:szCs w:val="20"/>
          <w:color w:val="auto"/>
        </w:rPr>
      </w:pPr>
    </w:p>
    <w:p>
      <w:pPr>
        <w:ind w:right="20" w:firstLine="709"/>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70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60" w:firstLine="709"/>
        <w:spacing w:after="0" w:line="257" w:lineRule="auto"/>
        <w:rPr>
          <w:sz w:val="20"/>
          <w:szCs w:val="20"/>
          <w:color w:val="auto"/>
        </w:rPr>
      </w:pPr>
      <w:r>
        <w:rPr>
          <w:rFonts w:ascii="Arial" w:cs="Arial" w:eastAsia="Arial" w:hAnsi="Arial"/>
          <w:sz w:val="18"/>
          <w:szCs w:val="18"/>
          <w:color w:val="auto"/>
        </w:rPr>
        <w:t>In recent years, worldwide economic conditions have been volatile with concerns about inflation, increased reliance on consumer confidence, rising oil prices and the situation in Iraq. The events of September 11, 2001, the continuing international conflicts and terrorist acts, continued increases in the price of oil, the possibility of an extended United States presence in Iraq, and the potential pandemic of avian or other flu-like illnesses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80" w:firstLine="709"/>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than we can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ectPr>
          <w:pgSz w:w="11900" w:h="16838" w:orient="portrait"/>
          <w:cols w:equalWidth="0" w:num="1">
            <w:col w:w="11420"/>
          </w:cols>
          <w:pgMar w:left="240" w:top="125" w:right="239" w:bottom="0" w:gutter="0" w:footer="0" w:header="0"/>
        </w:sectPr>
      </w:pPr>
    </w:p>
    <w:bookmarkStart w:id="4" w:name="page5"/>
    <w:bookmarkEnd w:id="4"/>
    <w:p>
      <w:pPr>
        <w:spacing w:after="0" w:line="13" w:lineRule="exact"/>
        <w:rPr>
          <w:sz w:val="20"/>
          <w:szCs w:val="20"/>
          <w:color w:val="auto"/>
        </w:rPr>
      </w:pPr>
    </w:p>
    <w:p>
      <w:pPr>
        <w:ind w:right="60" w:firstLine="709"/>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66"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60" w:firstLine="70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These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customer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709"/>
        <w:spacing w:after="0" w:line="272" w:lineRule="auto"/>
        <w:rPr>
          <w:sz w:val="20"/>
          <w:szCs w:val="20"/>
          <w:color w:val="auto"/>
        </w:rPr>
      </w:pPr>
      <w:r>
        <w:rPr>
          <w:rFonts w:ascii="Arial" w:cs="Arial" w:eastAsia="Arial" w:hAnsi="Arial"/>
          <w:sz w:val="17"/>
          <w:szCs w:val="17"/>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in our existing or new products could result in significant warranty, support and repair costs, and divert the attention of our engineering personnel from our product development efforts.</w:t>
      </w:r>
    </w:p>
    <w:p>
      <w:pPr>
        <w:spacing w:after="0" w:line="17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40" w:firstLine="709"/>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2" w:lineRule="exact"/>
        <w:rPr>
          <w:sz w:val="20"/>
          <w:szCs w:val="20"/>
          <w:color w:val="auto"/>
        </w:rPr>
      </w:pPr>
    </w:p>
    <w:p>
      <w:pPr>
        <w:ind w:right="200" w:firstLine="709"/>
        <w:spacing w:after="0" w:line="312"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47" w:lineRule="exact"/>
        <w:rPr>
          <w:sz w:val="20"/>
          <w:szCs w:val="20"/>
          <w:color w:val="auto"/>
        </w:rPr>
      </w:pPr>
    </w:p>
    <w:p>
      <w:pPr>
        <w:jc w:val="both"/>
        <w:ind w:right="20" w:firstLine="70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6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firstLine="709"/>
        <w:spacing w:after="0" w:line="290" w:lineRule="auto"/>
        <w:rPr>
          <w:sz w:val="20"/>
          <w:szCs w:val="20"/>
          <w:color w:val="auto"/>
        </w:rPr>
      </w:pPr>
      <w:r>
        <w:rPr>
          <w:rFonts w:ascii="Arial" w:cs="Arial" w:eastAsia="Arial" w:hAnsi="Arial"/>
          <w:sz w:val="16"/>
          <w:szCs w:val="16"/>
          <w:color w:val="auto"/>
        </w:rPr>
        <w:t>Highly complex products such as the products that we offer may contain defects and bugs when they are first introduced or as new versions are released. We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may contain defects or bugs. If any of these problems are not found until after we have commenced commercial production of a new product, we may be required to incur</w:t>
      </w:r>
    </w:p>
    <w:p>
      <w:pPr>
        <w:sectPr>
          <w:pgSz w:w="11900" w:h="16852" w:orient="portrait"/>
          <w:cols w:equalWidth="0" w:num="1">
            <w:col w:w="11420"/>
          </w:cols>
          <w:pgMar w:left="240" w:top="125" w:right="239" w:bottom="0" w:gutter="0" w:footer="0" w:header="0"/>
        </w:sectPr>
      </w:pPr>
    </w:p>
    <w:bookmarkStart w:id="5" w:name="page6"/>
    <w:bookmarkEnd w:id="5"/>
    <w:p>
      <w:pPr>
        <w:ind w:right="80"/>
        <w:spacing w:after="0" w:line="264" w:lineRule="auto"/>
        <w:rPr>
          <w:sz w:val="20"/>
          <w:szCs w:val="20"/>
          <w:color w:val="auto"/>
        </w:rPr>
      </w:pPr>
      <w:r>
        <w:rPr>
          <w:rFonts w:ascii="Arial" w:cs="Arial" w:eastAsia="Arial" w:hAnsi="Arial"/>
          <w:sz w:val="18"/>
          <w:szCs w:val="18"/>
          <w:color w:val="auto"/>
        </w:rPr>
        <w:t>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acceptance of the affected product or products, and we could lose credibility with our current and prospective customers. As a result, our financial results could be materially harmed.</w:t>
      </w:r>
    </w:p>
    <w:p>
      <w:pPr>
        <w:spacing w:after="0" w:line="170"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20" w:firstLine="709"/>
        <w:spacing w:after="0" w:line="269"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In the past, we have experienced some difficulties in shifting to smaller geometry process technologies or new manufacturing processes, which resulted in, among other things,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results of operations and liquidity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83"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right="20" w:firstLine="70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120" w:firstLine="709"/>
        <w:spacing w:after="0" w:line="279" w:lineRule="auto"/>
        <w:rPr>
          <w:sz w:val="20"/>
          <w:szCs w:val="20"/>
          <w:color w:val="auto"/>
        </w:rPr>
      </w:pPr>
      <w:r>
        <w:rPr>
          <w:rFonts w:ascii="Arial" w:cs="Arial" w:eastAsia="Arial" w:hAnsi="Arial"/>
          <w:sz w:val="17"/>
          <w:szCs w:val="17"/>
          <w:color w:val="auto"/>
        </w:rPr>
        <w:t>We cannot assure you that we or our independent registered public accounting firm will not identify a material weakness in our internal controls in the future. A material weakness in our internal control over financial reporting would require management and our independent registered public accounting firm to evaluate our internal control over financial reporting as ineffective. If our internal control over financial reporting is considered ineffective, we may experience a loss of public confidence, which could have an adverse effect on our business and our stock price.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80" w:firstLine="720"/>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380" w:firstLine="720"/>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5" w:lineRule="exact"/>
        <w:rPr>
          <w:sz w:val="20"/>
          <w:szCs w:val="20"/>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40" w:hanging="324"/>
        <w:spacing w:after="0" w:line="232" w:lineRule="auto"/>
        <w:tabs>
          <w:tab w:leader="none" w:pos="975"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230" w:lineRule="exact"/>
        <w:rPr>
          <w:rFonts w:ascii="Arial" w:cs="Arial" w:eastAsia="Arial" w:hAnsi="Arial"/>
          <w:sz w:val="22"/>
          <w:szCs w:val="22"/>
          <w:color w:val="auto"/>
        </w:rPr>
      </w:pPr>
    </w:p>
    <w:p>
      <w:pPr>
        <w:ind w:left="980" w:right="160" w:hanging="324"/>
        <w:spacing w:after="0" w:line="232" w:lineRule="auto"/>
        <w:tabs>
          <w:tab w:leader="none" w:pos="975"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ectPr>
          <w:pgSz w:w="11900" w:h="16838" w:orient="portrait"/>
          <w:cols w:equalWidth="0" w:num="1">
            <w:col w:w="11400"/>
          </w:cols>
          <w:pgMar w:left="240" w:top="125" w:right="259" w:bottom="0" w:gutter="0" w:footer="0" w:header="0"/>
        </w:sectPr>
      </w:pPr>
    </w:p>
    <w:bookmarkStart w:id="6" w:name="page7"/>
    <w:bookmarkEnd w:id="6"/>
    <w:p>
      <w:pPr>
        <w:spacing w:after="0" w:line="56" w:lineRule="exact"/>
        <w:rPr>
          <w:sz w:val="20"/>
          <w:szCs w:val="20"/>
          <w:color w:val="auto"/>
        </w:rPr>
      </w:pPr>
    </w:p>
    <w:p>
      <w:pPr>
        <w:ind w:right="560" w:firstLine="709"/>
        <w:spacing w:after="0" w:line="342" w:lineRule="auto"/>
        <w:rPr>
          <w:sz w:val="20"/>
          <w:szCs w:val="20"/>
          <w:color w:val="auto"/>
        </w:rPr>
      </w:pPr>
      <w:r>
        <w:rPr>
          <w:rFonts w:ascii="Arial" w:cs="Arial" w:eastAsia="Arial" w:hAnsi="Arial"/>
          <w:sz w:val="16"/>
          <w:szCs w:val="16"/>
          <w:color w:val="auto"/>
        </w:rPr>
        <w:t>We recently acquired the hard disk and tape drive controller semiconductor business of QLogic Corporation for consideration consisting of a combination of $180.0 million in cash and shares of our common stock valued at $45.0 million, for total consideration of $225.0 million.</w:t>
      </w:r>
    </w:p>
    <w:p>
      <w:pPr>
        <w:spacing w:after="0" w:line="124" w:lineRule="exact"/>
        <w:rPr>
          <w:sz w:val="20"/>
          <w:szCs w:val="20"/>
          <w:color w:val="auto"/>
        </w:rPr>
      </w:pPr>
    </w:p>
    <w:p>
      <w:pPr>
        <w:ind w:firstLine="70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3" w:lineRule="exact"/>
        <w:rPr>
          <w:sz w:val="20"/>
          <w:szCs w:val="20"/>
          <w:color w:val="auto"/>
        </w:rPr>
      </w:pPr>
    </w:p>
    <w:p>
      <w:pPr>
        <w:ind w:firstLine="70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July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right="460" w:firstLine="720"/>
        <w:spacing w:after="0" w:line="277" w:lineRule="auto"/>
        <w:rPr>
          <w:sz w:val="20"/>
          <w:szCs w:val="20"/>
          <w:color w:val="auto"/>
        </w:rPr>
      </w:pPr>
      <w:r>
        <w:rPr>
          <w:rFonts w:ascii="Arial" w:cs="Arial" w:eastAsia="Arial" w:hAnsi="Arial"/>
          <w:sz w:val="18"/>
          <w:szCs w:val="18"/>
          <w:color w:val="auto"/>
        </w:rPr>
        <w:t>In December 2004, the FASB issued SFAS No. 123R, “Share-Based Payment.” SFAS No. 123R requires employee stock options and rights to purchase shares under stock participation plans to be accounted for under the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 xml:space="preserve">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This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6"/>
          <w:szCs w:val="16"/>
          <w:i w:val="1"/>
          <w:iCs w:val="1"/>
          <w:color w:val="auto"/>
        </w:rPr>
        <w:t>Accounting for Stock Issued to Employees</w:t>
      </w:r>
      <w:r>
        <w:rPr>
          <w:rFonts w:ascii="Arial" w:cs="Arial" w:eastAsia="Arial" w:hAnsi="Arial"/>
          <w:sz w:val="16"/>
          <w:szCs w:val="16"/>
          <w:color w:val="auto"/>
        </w:rPr>
        <w:t>, and have adopted the disclosure-only alternative to SFAS 123. When we are required to expense employee stock options in the quarter ended April 30, 2006, this change in accounting treatment will materially and adversely affect our reported results of operations because the stock-based compensation expense is expected to be charged directly against our reported earnings.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firstLine="709"/>
        <w:spacing w:after="0" w:line="286" w:lineRule="auto"/>
        <w:rPr>
          <w:sz w:val="20"/>
          <w:szCs w:val="20"/>
          <w:color w:val="auto"/>
        </w:rPr>
      </w:pPr>
      <w:r>
        <w:rPr>
          <w:rFonts w:ascii="Arial" w:cs="Arial" w:eastAsia="Arial" w:hAnsi="Arial"/>
          <w:sz w:val="17"/>
          <w:szCs w:val="17"/>
          <w:color w:val="auto"/>
        </w:rPr>
        <w:t>In November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70" w:lineRule="exact"/>
        <w:rPr>
          <w:sz w:val="20"/>
          <w:szCs w:val="20"/>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4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need for structural improvements in order to comply with zoning, seismic and other legal or regulatory requirements;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6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180" w:firstLine="709"/>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any of our key personnel, and their knowledge of our business and industry would be extremely difficult to replace.</w:t>
      </w:r>
    </w:p>
    <w:p>
      <w:pPr>
        <w:spacing w:after="0" w:line="171" w:lineRule="exact"/>
        <w:rPr>
          <w:sz w:val="20"/>
          <w:szCs w:val="20"/>
          <w:color w:val="auto"/>
        </w:rPr>
      </w:pPr>
    </w:p>
    <w:p>
      <w:pPr>
        <w:ind w:right="40" w:firstLine="720"/>
        <w:spacing w:after="0" w:line="342" w:lineRule="auto"/>
        <w:rPr>
          <w:sz w:val="20"/>
          <w:szCs w:val="20"/>
          <w:color w:val="auto"/>
        </w:rPr>
      </w:pPr>
      <w:r>
        <w:rPr>
          <w:rFonts w:ascii="Arial" w:cs="Arial" w:eastAsia="Arial" w:hAnsi="Arial"/>
          <w:sz w:val="16"/>
          <w:szCs w:val="16"/>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w:t>
      </w:r>
    </w:p>
    <w:p>
      <w:pPr>
        <w:sectPr>
          <w:pgSz w:w="11900" w:h="16894" w:orient="portrait"/>
          <w:cols w:equalWidth="0" w:num="1">
            <w:col w:w="11420"/>
          </w:cols>
          <w:pgMar w:left="240" w:top="125" w:right="239" w:bottom="0" w:gutter="0" w:footer="0" w:header="0"/>
        </w:sectPr>
      </w:pPr>
    </w:p>
    <w:bookmarkStart w:id="7" w:name="page8"/>
    <w:bookmarkEnd w:id="7"/>
    <w:p>
      <w:pPr>
        <w:spacing w:after="0"/>
        <w:rPr>
          <w:sz w:val="20"/>
          <w:szCs w:val="20"/>
          <w:color w:val="auto"/>
        </w:rPr>
      </w:pPr>
      <w:r>
        <w:rPr>
          <w:rFonts w:ascii="Arial" w:cs="Arial" w:eastAsia="Arial" w:hAnsi="Arial"/>
          <w:sz w:val="17"/>
          <w:szCs w:val="17"/>
          <w:color w:val="auto"/>
        </w:rPr>
        <w:t>on analog technology, and competition for these engineers is intense. Our key technical personnel represent a significant asset and serve as the</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source of our technological and product innovations. We may not be successful in attracting and retaining sufficient numbers of technical personnel to support our anticipated growth.</w:t>
      </w:r>
    </w:p>
    <w:p>
      <w:pPr>
        <w:spacing w:after="0" w:line="170" w:lineRule="exact"/>
        <w:rPr>
          <w:sz w:val="20"/>
          <w:szCs w:val="20"/>
          <w:color w:val="auto"/>
        </w:rPr>
      </w:pPr>
    </w:p>
    <w:p>
      <w:pPr>
        <w:ind w:right="100" w:firstLine="70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approval or disapproval of corporate actions.</w:t>
      </w:r>
    </w:p>
    <w:p>
      <w:pPr>
        <w:spacing w:after="0" w:line="181" w:lineRule="exact"/>
        <w:rPr>
          <w:sz w:val="20"/>
          <w:szCs w:val="20"/>
          <w:color w:val="auto"/>
        </w:rPr>
      </w:pPr>
    </w:p>
    <w:p>
      <w:pPr>
        <w:ind w:right="20" w:firstLine="709"/>
        <w:spacing w:after="0" w:line="272" w:lineRule="auto"/>
        <w:rPr>
          <w:sz w:val="20"/>
          <w:szCs w:val="20"/>
          <w:color w:val="auto"/>
        </w:rPr>
      </w:pPr>
      <w:r>
        <w:rPr>
          <w:rFonts w:ascii="Arial" w:cs="Arial" w:eastAsia="Arial" w:hAnsi="Arial"/>
          <w:sz w:val="17"/>
          <w:szCs w:val="17"/>
          <w:color w:val="auto"/>
        </w:rPr>
        <w:t>As of October 31, 2005, our executive officers and directors beneficially owned or controlled, directly or indirectly, approximately 21% of the outstanding shares our common stock. Additionally, Sehat Sutardja, Ph.D., and Weili Dai are husband and wife and Sehat Sutardja, Ph.D., and Pantas Sutardja, Ph.D., are brothers. All three are directors and together they held approximately 21% of our outstanding common stock as of October 31, 2005. As a result, if the directors and officers as a group or any of Sehat Sutardja, Ph.D., Weili Dai and Pantas Sutardja, Ph.D., act together, they could significantly influence the approval or disapproval of our corporate actions.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78" w:lineRule="exact"/>
        <w:rPr>
          <w:sz w:val="20"/>
          <w:szCs w:val="20"/>
          <w:color w:val="auto"/>
        </w:rPr>
      </w:pPr>
    </w:p>
    <w:p>
      <w:pPr>
        <w:ind w:right="80" w:firstLine="709"/>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20" w:firstLine="70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firstLine="709"/>
        <w:spacing w:after="0" w:line="279" w:lineRule="auto"/>
        <w:rPr>
          <w:sz w:val="20"/>
          <w:szCs w:val="20"/>
          <w:color w:val="auto"/>
        </w:rPr>
      </w:pPr>
      <w:r>
        <w:rPr>
          <w:rFonts w:ascii="Arial" w:cs="Arial" w:eastAsia="Arial" w:hAnsi="Arial"/>
          <w:sz w:val="17"/>
          <w:szCs w:val="17"/>
          <w:color w:val="auto"/>
        </w:rPr>
        <w:t>We are currently implementing, and also plan to implement, new modules of our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70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six months of fiscal 2006, and represented 93% and 90% of our net revenue in fiscal 2005 and 2004, respectively.</w:t>
      </w:r>
    </w:p>
    <w:p>
      <w:pPr>
        <w:spacing w:after="0" w:line="158" w:lineRule="exact"/>
        <w:rPr>
          <w:sz w:val="20"/>
          <w:szCs w:val="20"/>
          <w:color w:val="auto"/>
        </w:rPr>
      </w:pPr>
    </w:p>
    <w:p>
      <w:pPr>
        <w:ind w:right="40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compliance with foreign laws;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transportation delays;</w:t>
      </w:r>
    </w:p>
    <w:p>
      <w:pPr>
        <w:sectPr>
          <w:pgSz w:w="11900" w:h="16838" w:orient="portrait"/>
          <w:cols w:equalWidth="0" w:num="1">
            <w:col w:w="11420"/>
          </w:cols>
          <w:pgMar w:left="240" w:top="125" w:right="239" w:bottom="0" w:gutter="0" w:footer="0" w:header="0"/>
        </w:sectPr>
      </w:pPr>
    </w:p>
    <w:bookmarkStart w:id="8" w:name="page9"/>
    <w:bookmarkEnd w:id="8"/>
    <w:p>
      <w:pPr>
        <w:ind w:left="980" w:hanging="324"/>
        <w:spacing w:after="0"/>
        <w:tabs>
          <w:tab w:leader="none" w:pos="980" w:val="left"/>
        </w:tabs>
        <w:numPr>
          <w:ilvl w:val="0"/>
          <w:numId w:val="7"/>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80" w:hanging="324"/>
        <w:spacing w:after="0" w:line="232" w:lineRule="auto"/>
        <w:tabs>
          <w:tab w:leader="none" w:pos="975" w:val="left"/>
        </w:tabs>
        <w:numPr>
          <w:ilvl w:val="0"/>
          <w:numId w:val="7"/>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ind w:right="80" w:firstLine="70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right="20" w:firstLine="709"/>
        <w:spacing w:after="0" w:line="293"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87" w:lineRule="exact"/>
        <w:rPr>
          <w:sz w:val="20"/>
          <w:szCs w:val="20"/>
          <w:color w:val="auto"/>
        </w:rPr>
      </w:pPr>
    </w:p>
    <w:p>
      <w:pPr>
        <w:ind w:right="200" w:firstLine="70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could affect the overall supply of substrates and indirectly impact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may do so in the future, which could harm our revenues and gross profits.</w:t>
      </w:r>
    </w:p>
    <w:p>
      <w:pPr>
        <w:spacing w:after="0" w:line="170" w:lineRule="exact"/>
        <w:rPr>
          <w:sz w:val="20"/>
          <w:szCs w:val="20"/>
          <w:color w:val="auto"/>
        </w:rPr>
      </w:pPr>
    </w:p>
    <w:p>
      <w:pPr>
        <w:ind w:right="20" w:firstLine="709"/>
        <w:spacing w:after="0" w:line="286"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(1) pricing pressures from our customers,</w:t>
      </w:r>
    </w:p>
    <w:p>
      <w:pPr>
        <w:spacing w:after="0" w:line="2" w:lineRule="exact"/>
        <w:rPr>
          <w:sz w:val="20"/>
          <w:szCs w:val="20"/>
          <w:color w:val="auto"/>
        </w:rPr>
      </w:pPr>
    </w:p>
    <w:p>
      <w:pPr>
        <w:ind w:right="140" w:firstLine="8"/>
        <w:spacing w:after="0" w:line="261" w:lineRule="auto"/>
        <w:tabs>
          <w:tab w:leader="none" w:pos="255"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increase in sales of storage systems on chips, which typically have lower margins than standalone read channel devices, and (3) an increase in sales of wireless and other products into consumer application markets, which are highly competitive and cost sensitive.</w:t>
      </w:r>
    </w:p>
    <w:p>
      <w:pPr>
        <w:spacing w:after="0" w:line="184"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60" w:firstLine="70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709"/>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357" w:right="239" w:bottom="248" w:gutter="0" w:footer="0" w:header="0"/>
        </w:sectPr>
      </w:pPr>
    </w:p>
    <w:bookmarkStart w:id="9" w:name="page10"/>
    <w:bookmarkEnd w:id="9"/>
    <w:p>
      <w:pPr>
        <w:ind w:right="360" w:firstLine="70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70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in the past experienced significant downturns.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70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70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40" w:firstLine="70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93" w:lineRule="exact"/>
        <w:rPr>
          <w:sz w:val="20"/>
          <w:szCs w:val="20"/>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ind w:firstLine="720"/>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8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ectPr>
          <w:pgSz w:w="11900" w:h="16838" w:orient="portrait"/>
          <w:cols w:equalWidth="0" w:num="1">
            <w:col w:w="11400"/>
          </w:cols>
          <w:pgMar w:left="240" w:top="341" w:right="259" w:bottom="0" w:gutter="0" w:footer="0" w:header="0"/>
        </w:sectPr>
      </w:pPr>
    </w:p>
    <w:bookmarkStart w:id="10" w:name="page11"/>
    <w:bookmarkEnd w:id="10"/>
    <w:p>
      <w:pPr>
        <w:ind w:right="60" w:firstLine="70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right="160" w:firstLine="709"/>
        <w:spacing w:after="0" w:line="255"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20" w:firstLine="709"/>
        <w:spacing w:after="0" w:line="259" w:lineRule="auto"/>
        <w:rPr>
          <w:sz w:val="20"/>
          <w:szCs w:val="20"/>
          <w:color w:val="auto"/>
        </w:rPr>
      </w:pPr>
      <w:r>
        <w:rPr>
          <w:rFonts w:ascii="Arial" w:cs="Arial" w:eastAsia="Arial" w:hAnsi="Arial"/>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7" w:lineRule="exact"/>
        <w:rPr>
          <w:sz w:val="20"/>
          <w:szCs w:val="20"/>
          <w:color w:val="auto"/>
        </w:rPr>
      </w:pPr>
    </w:p>
    <w:p>
      <w:pPr>
        <w:ind w:right="20" w:firstLine="70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firstLine="70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2006 due to difficulties in mailing the required notice to class members. These claims and any resulting litigation could result in substantial costs and could divert the attention and resources of our management.</w:t>
      </w:r>
    </w:p>
    <w:p>
      <w:pPr>
        <w:sectPr>
          <w:pgSz w:w="11900" w:h="16838" w:orient="portrait"/>
          <w:cols w:equalWidth="0" w:num="1">
            <w:col w:w="11420"/>
          </w:cols>
          <w:pgMar w:left="240" w:top="125" w:right="239" w:bottom="4" w:gutter="0" w:footer="0" w:header="0"/>
        </w:sectPr>
      </w:pPr>
    </w:p>
    <w:bookmarkStart w:id="11" w:name="page12"/>
    <w:bookmarkEnd w:id="11"/>
    <w:p>
      <w:pPr>
        <w:ind w:right="60" w:firstLine="70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price of our common stock historically has been volatile. This volatility may make it difficult for you to sell common stock, and the sale of substantial amounts of our common stock could adversely affect the price of our common stock.</w:t>
      </w:r>
    </w:p>
    <w:p>
      <w:pPr>
        <w:spacing w:after="0" w:line="170" w:lineRule="exact"/>
        <w:rPr>
          <w:sz w:val="20"/>
          <w:szCs w:val="20"/>
          <w:color w:val="auto"/>
        </w:rPr>
      </w:pPr>
    </w:p>
    <w:p>
      <w:pPr>
        <w:ind w:right="40" w:firstLine="720"/>
        <w:spacing w:after="0" w:line="270" w:lineRule="auto"/>
        <w:rPr>
          <w:sz w:val="20"/>
          <w:szCs w:val="20"/>
          <w:color w:val="auto"/>
        </w:rPr>
      </w:pPr>
      <w:r>
        <w:rPr>
          <w:rFonts w:ascii="Arial" w:cs="Arial" w:eastAsia="Arial" w:hAnsi="Arial"/>
          <w:sz w:val="17"/>
          <w:szCs w:val="17"/>
          <w:color w:val="auto"/>
        </w:rPr>
        <w:t>The market price for our common stock has varied between a high of $48.21 and a low of $27.20 per share in the twelve months ended October 31, 2005. This volatility may make it difficult for you to sell the common stock, and the sale of substantial amounts of our common stock could adversely affect the price of our common stock. Our stock price is likely to continue to be volatile and subject to significant price and volume fluctuations in response to market and other factors, including the other factors discussed in “Risk Factors”; variations in our quarterly operating results from our expectations or those of securities analysts or investors; downward revisions in securities analysts’ estimates; and announcement by us or our competitors of significant acquisitions, strategic partnerships, joint ventures or capital commitments. In addition, the broader stock market has experienced significant price and volume fluctuations in recent years. This volatility has affected the market prices of securities issued by many companies for reasons unrelated to their operating performance and may adversely affect the price of our common stock. In addition, our announcements of our quarterly operating results, changes in general conditions in the economy or the financial markets and other developments affecting us, our affiliates or our competitors could cause the market price of our common stock to fluctuate substantially.</w:t>
      </w:r>
    </w:p>
    <w:p>
      <w:pPr>
        <w:spacing w:after="0" w:line="178" w:lineRule="exact"/>
        <w:rPr>
          <w:sz w:val="20"/>
          <w:szCs w:val="20"/>
          <w:color w:val="auto"/>
        </w:rPr>
      </w:pPr>
    </w:p>
    <w:p>
      <w:pPr>
        <w:ind w:right="60" w:firstLine="720"/>
        <w:spacing w:after="0" w:line="259" w:lineRule="auto"/>
        <w:rPr>
          <w:sz w:val="20"/>
          <w:szCs w:val="20"/>
          <w:color w:val="auto"/>
        </w:rPr>
      </w:pPr>
      <w:r>
        <w:rPr>
          <w:rFonts w:ascii="Arial" w:cs="Arial" w:eastAsia="Arial" w:hAnsi="Arial"/>
          <w:sz w:val="18"/>
          <w:szCs w:val="18"/>
          <w:color w:val="auto"/>
        </w:rPr>
        <w:t>In addition, the sale of substantial amounts of our common stock could adversely impact its price. As of October 31, 2005, we had outstanding 284,272,934 shares of our common stock and options to purchase 50,280,058 shares of our common stock (of which approximately 18,963,815 were exercisable as of that date). The sale or the availability for sale of a large number of shares of our common stock in the public market could cause the price of our common stock to decline.</w:t>
      </w:r>
    </w:p>
    <w:p>
      <w:pPr>
        <w:spacing w:after="0" w:line="18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firstLine="720"/>
        <w:spacing w:after="0" w:line="264" w:lineRule="auto"/>
        <w:rPr>
          <w:sz w:val="20"/>
          <w:szCs w:val="20"/>
          <w:color w:val="auto"/>
        </w:rPr>
      </w:pPr>
      <w:r>
        <w:rPr>
          <w:rFonts w:ascii="Arial" w:cs="Arial" w:eastAsia="Arial" w:hAnsi="Arial"/>
          <w:sz w:val="18"/>
          <w:szCs w:val="18"/>
          <w:color w:val="auto"/>
        </w:rPr>
        <w:t>These changes in corporate control provisions could impede a merger, takeover or other business combination involving us or make it more difficult for a third party to acquire us, even if doing so would be a benefit to our shareholders which, under certain circumstances, could reduce the market price of our common stock.</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have never paid dividends and do not anticipate paying any dividends on our common stock in the future, so any short-term return on your investment will depend on the market price of our common stock.</w:t>
      </w:r>
    </w:p>
    <w:p>
      <w:pPr>
        <w:spacing w:after="0" w:line="170" w:lineRule="exact"/>
        <w:rPr>
          <w:sz w:val="20"/>
          <w:szCs w:val="20"/>
          <w:color w:val="auto"/>
        </w:rPr>
      </w:pPr>
    </w:p>
    <w:p>
      <w:pPr>
        <w:ind w:firstLine="720"/>
        <w:spacing w:after="0" w:line="277" w:lineRule="auto"/>
        <w:rPr>
          <w:sz w:val="20"/>
          <w:szCs w:val="20"/>
          <w:color w:val="auto"/>
        </w:rPr>
      </w:pPr>
      <w:r>
        <w:rPr>
          <w:rFonts w:ascii="Arial" w:cs="Arial" w:eastAsia="Arial" w:hAnsi="Arial"/>
          <w:sz w:val="18"/>
          <w:szCs w:val="18"/>
          <w:color w:val="auto"/>
        </w:rPr>
        <w:t>We currently intend to retain any earnings to finance our operations and growth. We do not anticipate paying any dividends on our common stock in the future.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40" w:firstLine="648"/>
        <w:spacing w:after="0" w:line="288" w:lineRule="auto"/>
        <w:rPr>
          <w:sz w:val="20"/>
          <w:szCs w:val="20"/>
          <w:color w:val="auto"/>
        </w:rPr>
      </w:pPr>
      <w:r>
        <w:rPr>
          <w:rFonts w:ascii="Arial" w:cs="Arial" w:eastAsia="Arial" w:hAnsi="Arial"/>
          <w:sz w:val="16"/>
          <w:szCs w:val="16"/>
          <w:color w:val="auto"/>
        </w:rPr>
        <w:t>This prospectus and the documents incorporated by reference herein contain forward-looking statements that involve risks and uncertainties. These statements relate to future periods, future events or our future operating or financial plans or performance. These statements can often be identified by the use of forward-looking terminology such as “expects,” “believes,” “intends,” “anticipates,” “estimates,” “plans,” “may,” or “will,” or the negative of these terms, and other similar expressions. These forward-looking statements include statements in this prospectus under the caption “Risk Factors” as to: the purchasing patterns and needs of our customers; our ability to attract new customers; our ability to attract additional distributors and manufacturers’ representatives to market and support our products effectively; our devotion of a substantial amount of our limited resources to our strategic relationships; our ability to continue to transition our semiconductor products to increasingly smaller line width geometries; our expectation to continue to make acquisitions of, and investments in, business with complementary products, services and technologies; our intention to relocate the location of our U.S. subsidiary to recently acquired facilities; the ability to attract and retain highly skilled personnel; our ability to implement a variety of new and upgraded operational and financial systems, procedures and controls; our implementation of new modules of our ERP system; and the tax exempt status of income earned in Singapore.</w:t>
      </w:r>
    </w:p>
    <w:p>
      <w:pPr>
        <w:spacing w:after="0" w:line="169"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These forward-looking statements reflect our current views with respect to future events, are based on assumptions and are subject to risks and uncertainties. These risks and uncertainties could cause actual results to differ materially from those projected and include, but are not limited to, our dependence on sales to a relatively small number of customers, our ability to develop new products and enhancements to our products, our dependence upon third parties for the manufacture of our products, our ability to protect our intellectual property, and the risks set forth under “Risk Factors.” Given these risks and uncertainties, you should not place undue reliance on these forward-looking statements. Except as required by federal securities laws, we undertake no obligation to update any forward-looking statements for any reason, even if new information becomes available or other events occur in the future.</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PROCEEDS FROM THE OFFERING</w:t>
      </w:r>
    </w:p>
    <w:p>
      <w:pPr>
        <w:spacing w:after="0" w:line="229" w:lineRule="exact"/>
        <w:rPr>
          <w:sz w:val="20"/>
          <w:szCs w:val="20"/>
          <w:color w:val="auto"/>
        </w:rPr>
      </w:pPr>
    </w:p>
    <w:p>
      <w:pPr>
        <w:ind w:right="540" w:firstLine="648"/>
        <w:spacing w:after="0" w:line="277" w:lineRule="auto"/>
        <w:rPr>
          <w:sz w:val="20"/>
          <w:szCs w:val="20"/>
          <w:color w:val="auto"/>
        </w:rPr>
      </w:pPr>
      <w:r>
        <w:rPr>
          <w:rFonts w:ascii="Arial" w:cs="Arial" w:eastAsia="Arial" w:hAnsi="Arial"/>
          <w:sz w:val="18"/>
          <w:szCs w:val="18"/>
          <w:color w:val="auto"/>
        </w:rPr>
        <w:t>We will not receive any proceeds from the sale of the shares by the selling shareholder. All proceeds from the sale of the shares will be for the accounts of the selling shareholder, as described below. See “Selling Shareholder” and “Plan of Distribution.”</w:t>
      </w:r>
    </w:p>
    <w:p>
      <w:pPr>
        <w:sectPr>
          <w:pgSz w:w="11900" w:h="16838" w:orient="portrait"/>
          <w:cols w:equalWidth="0" w:num="1">
            <w:col w:w="11400"/>
          </w:cols>
          <w:pgMar w:left="240" w:top="125" w:right="259" w:bottom="0" w:gutter="0" w:footer="0" w:header="0"/>
        </w:sectPr>
      </w:pP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type w:val="continuous"/>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SELLING SHAREHOLDER</w:t>
      </w:r>
    </w:p>
    <w:p>
      <w:pPr>
        <w:spacing w:after="0" w:line="229" w:lineRule="exact"/>
        <w:rPr>
          <w:sz w:val="20"/>
          <w:szCs w:val="20"/>
          <w:color w:val="auto"/>
        </w:rPr>
      </w:pPr>
    </w:p>
    <w:p>
      <w:pPr>
        <w:ind w:right="400" w:firstLine="648"/>
        <w:spacing w:after="0" w:line="259" w:lineRule="auto"/>
        <w:rPr>
          <w:sz w:val="20"/>
          <w:szCs w:val="20"/>
          <w:color w:val="auto"/>
        </w:rPr>
      </w:pPr>
      <w:r>
        <w:rPr>
          <w:rFonts w:ascii="Arial" w:cs="Arial" w:eastAsia="Arial" w:hAnsi="Arial"/>
          <w:sz w:val="18"/>
          <w:szCs w:val="18"/>
          <w:color w:val="auto"/>
        </w:rPr>
        <w:t>The following table sets forth certain information as of November 4, 2005 regarding the beneficial ownership of common stock by the selling shareholder, QLogic Corporation, and the shares being offered by the selling shareholder. Information with respect to beneficial ownership is based upon information obtained from the selling shareholder. Information with respect to shares owned beneficially after the offering assumes the sale of all of the shares offered and no other purchases or sales of common stock.</w:t>
      </w:r>
    </w:p>
    <w:p>
      <w:pPr>
        <w:spacing w:after="0" w:line="187"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 received its shares of our common stock in connection with our acquisition of the hard disk and tape drive controller semiconductor business of the selling shareholder. The registration statement to which this prospectus relates is being filed pursuant to a registration rights agreement between us and the selling shareholder. Subject to the terms and conditions of the registration rights agreement, we agreed to file the registration statement to cover the shares of our common stock received by the selling shareholder and to keep the registration statement effective until the earlier of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 of 1933.</w:t>
      </w:r>
    </w:p>
    <w:p>
      <w:pPr>
        <w:spacing w:after="0" w:line="165"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To our knowledge, neither the selling shareholder nor any of its affiliates have held any position or office with, been employed by or otherwise has had any material relationship with us or our affiliates during the three years prior to the date of this prospectus.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84"/>
              <w:spacing w:after="0"/>
              <w:rPr>
                <w:sz w:val="20"/>
                <w:szCs w:val="20"/>
                <w:color w:val="auto"/>
              </w:rPr>
            </w:pPr>
            <w:r>
              <w:rPr>
                <w:rFonts w:ascii="Arial" w:cs="Arial" w:eastAsia="Arial" w:hAnsi="Arial"/>
                <w:sz w:val="14"/>
                <w:szCs w:val="14"/>
                <w:b w:val="1"/>
                <w:bCs w:val="1"/>
                <w:color w:val="auto"/>
                <w:w w:val="91"/>
              </w:rPr>
              <w:t>Shares Beneficially Owned</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Number of</w:t>
            </w:r>
          </w:p>
        </w:tc>
        <w:tc>
          <w:tcPr>
            <w:tcW w:w="30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1"/>
              </w:rPr>
              <w:t>Shares Beneficially Owned</w:t>
            </w:r>
          </w:p>
        </w:tc>
      </w:tr>
      <w:tr>
        <w:trPr>
          <w:trHeight w:val="17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64"/>
              <w:spacing w:after="0"/>
              <w:rPr>
                <w:sz w:val="20"/>
                <w:szCs w:val="20"/>
                <w:color w:val="auto"/>
              </w:rPr>
            </w:pPr>
            <w:r>
              <w:rPr>
                <w:rFonts w:ascii="Arial" w:cs="Arial" w:eastAsia="Arial" w:hAnsi="Arial"/>
                <w:sz w:val="14"/>
                <w:szCs w:val="14"/>
                <w:b w:val="1"/>
                <w:bCs w:val="1"/>
                <w:color w:val="auto"/>
                <w:w w:val="97"/>
              </w:rPr>
              <w:t>Prior to Offering(1)</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Shares Being</w:t>
            </w:r>
          </w:p>
        </w:tc>
        <w:tc>
          <w:tcPr>
            <w:tcW w:w="300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8"/>
              </w:rPr>
              <w:t>After Offering(1)</w:t>
            </w:r>
          </w:p>
        </w:tc>
      </w:tr>
      <w:tr>
        <w:trPr>
          <w:trHeight w:val="142"/>
        </w:trPr>
        <w:tc>
          <w:tcPr>
            <w:tcW w:w="38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Name of Selling Shareholder</w:t>
            </w:r>
          </w:p>
        </w:tc>
        <w:tc>
          <w:tcPr>
            <w:tcW w:w="152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020" w:type="dxa"/>
            <w:vAlign w:val="bottom"/>
            <w:tcBorders>
              <w:top w:val="single" w:sz="8" w:color="auto"/>
            </w:tcBorders>
          </w:tcPr>
          <w:p>
            <w:pPr>
              <w:ind w:left="400"/>
              <w:spacing w:after="0" w:line="142" w:lineRule="exact"/>
              <w:rPr>
                <w:sz w:val="20"/>
                <w:szCs w:val="20"/>
                <w:color w:val="auto"/>
              </w:rPr>
            </w:pPr>
            <w:r>
              <w:rPr>
                <w:rFonts w:ascii="Arial" w:cs="Arial" w:eastAsia="Arial" w:hAnsi="Arial"/>
                <w:sz w:val="14"/>
                <w:szCs w:val="14"/>
                <w:b w:val="1"/>
                <w:bCs w:val="1"/>
                <w:color w:val="auto"/>
              </w:rPr>
              <w:t>Percent</w:t>
            </w:r>
          </w:p>
        </w:tc>
        <w:tc>
          <w:tcPr>
            <w:tcW w:w="260" w:type="dxa"/>
            <w:vAlign w:val="bottom"/>
            <w:tcBorders>
              <w:top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1500" w:type="dxa"/>
            <w:vAlign w:val="bottom"/>
            <w:gridSpan w:val="2"/>
          </w:tcPr>
          <w:p>
            <w:pPr>
              <w:jc w:val="center"/>
              <w:ind w:right="220"/>
              <w:spacing w:after="0" w:line="142" w:lineRule="exact"/>
              <w:rPr>
                <w:sz w:val="20"/>
                <w:szCs w:val="20"/>
                <w:color w:val="auto"/>
              </w:rPr>
            </w:pPr>
            <w:r>
              <w:rPr>
                <w:rFonts w:ascii="Arial" w:cs="Arial" w:eastAsia="Arial" w:hAnsi="Arial"/>
                <w:sz w:val="14"/>
                <w:szCs w:val="14"/>
                <w:b w:val="1"/>
                <w:bCs w:val="1"/>
                <w:color w:val="auto"/>
                <w:w w:val="96"/>
              </w:rPr>
              <w:t>Offered</w:t>
            </w:r>
          </w:p>
        </w:tc>
        <w:tc>
          <w:tcPr>
            <w:tcW w:w="150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280" w:type="dxa"/>
            <w:vAlign w:val="bottom"/>
            <w:tcBorders>
              <w:top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r>
      <w:tr>
        <w:trPr>
          <w:trHeight w:val="210"/>
        </w:trPr>
        <w:tc>
          <w:tcPr>
            <w:tcW w:w="288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388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QLogic Corporation</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r>
      <w:tr>
        <w:trPr>
          <w:trHeight w:val="95"/>
        </w:trPr>
        <w:tc>
          <w:tcPr>
            <w:tcW w:w="2880" w:type="dxa"/>
            <w:vAlign w:val="bottom"/>
            <w:tcBorders>
              <w:bottom w:val="single" w:sz="8" w:color="auto"/>
            </w:tcBorders>
          </w:tcPr>
          <w:p>
            <w:pPr>
              <w:spacing w:after="0"/>
              <w:rPr>
                <w:sz w:val="8"/>
                <w:szCs w:val="8"/>
                <w:color w:val="auto"/>
              </w:rPr>
            </w:pPr>
          </w:p>
        </w:tc>
        <w:tc>
          <w:tcPr>
            <w:tcW w:w="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r>
    </w:tbl>
    <w:p>
      <w:pPr>
        <w:spacing w:after="0" w:line="67" w:lineRule="exact"/>
        <w:rPr>
          <w:sz w:val="20"/>
          <w:szCs w:val="20"/>
          <w:color w:val="auto"/>
        </w:rPr>
      </w:pPr>
    </w:p>
    <w:p>
      <w:pPr>
        <w:spacing w:after="0"/>
        <w:rPr>
          <w:sz w:val="20"/>
          <w:szCs w:val="20"/>
          <w:color w:val="auto"/>
        </w:rPr>
      </w:pPr>
      <w:r>
        <w:rPr>
          <w:rFonts w:ascii="Arial" w:cs="Arial" w:eastAsia="Arial" w:hAnsi="Arial"/>
          <w:sz w:val="18"/>
          <w:szCs w:val="18"/>
          <w:color w:val="auto"/>
        </w:rPr>
        <w:t>*Represents less than 1%.</w:t>
      </w:r>
    </w:p>
    <w:p>
      <w:pPr>
        <w:spacing w:after="0" w:line="117" w:lineRule="exact"/>
        <w:rPr>
          <w:sz w:val="20"/>
          <w:szCs w:val="20"/>
          <w:color w:val="auto"/>
        </w:rPr>
      </w:pPr>
    </w:p>
    <w:p>
      <w:pPr>
        <w:jc w:val="both"/>
        <w:ind w:left="500" w:right="800" w:hanging="485"/>
        <w:spacing w:after="0" w:line="277" w:lineRule="auto"/>
        <w:tabs>
          <w:tab w:leader="none" w:pos="480" w:val="left"/>
        </w:tabs>
        <w:rPr>
          <w:sz w:val="20"/>
          <w:szCs w:val="20"/>
          <w:color w:val="auto"/>
        </w:rPr>
      </w:pPr>
      <w:r>
        <w:rPr>
          <w:rFonts w:ascii="Arial" w:cs="Arial" w:eastAsia="Arial" w:hAnsi="Arial"/>
          <w:sz w:val="18"/>
          <w:szCs w:val="18"/>
          <w:color w:val="auto"/>
        </w:rPr>
        <w:t>(1 )</w:t>
        <w:tab/>
        <w:t>To our knowledge, the person named in the table has sole voting and investment power with respect to all shares of common stock shown as beneficially owned by it.</w:t>
      </w: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us in making decisions with respect to the timing, manner and size of each sale. The shares may be sold by or for the account of the selling shareholders in transactions on the Nasdaq National Market, the over-the-counter market, or otherwise. These sales may be made at fixed prices, at prevailing market prices at the time of sale, at varying prices determined at the time of the sale, or at negotiated prices. The shares may be sold by means of one or more of the following methods:</w:t>
      </w:r>
    </w:p>
    <w:p>
      <w:pPr>
        <w:spacing w:after="0" w:line="192" w:lineRule="exact"/>
        <w:rPr>
          <w:sz w:val="20"/>
          <w:szCs w:val="20"/>
          <w:color w:val="auto"/>
        </w:rPr>
      </w:pPr>
    </w:p>
    <w:p>
      <w:pPr>
        <w:ind w:left="980" w:right="120" w:hanging="324"/>
        <w:spacing w:after="0" w:line="232" w:lineRule="auto"/>
        <w:tabs>
          <w:tab w:leader="none" w:pos="975" w:val="left"/>
        </w:tabs>
        <w:numPr>
          <w:ilvl w:val="0"/>
          <w:numId w:val="11"/>
        </w:numPr>
        <w:rPr>
          <w:rFonts w:ascii="Arial" w:cs="Arial" w:eastAsia="Arial" w:hAnsi="Arial"/>
          <w:sz w:val="22"/>
          <w:szCs w:val="22"/>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ordinary brokerage transactions in which the broker solicits purchasers;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 connection with short sales, in which the shares are redelivered to close out short positions;</w:t>
      </w:r>
    </w:p>
    <w:p>
      <w:pPr>
        <w:spacing w:after="0" w:line="228" w:lineRule="exact"/>
        <w:rPr>
          <w:rFonts w:ascii="Arial" w:cs="Arial" w:eastAsia="Arial" w:hAnsi="Arial"/>
          <w:sz w:val="22"/>
          <w:szCs w:val="22"/>
          <w:color w:val="auto"/>
        </w:rPr>
      </w:pPr>
    </w:p>
    <w:p>
      <w:pPr>
        <w:ind w:left="980" w:right="380" w:hanging="324"/>
        <w:spacing w:after="0" w:line="232" w:lineRule="auto"/>
        <w:tabs>
          <w:tab w:leader="none" w:pos="975"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30" w:lineRule="exact"/>
        <w:rPr>
          <w:rFonts w:ascii="Arial" w:cs="Arial" w:eastAsia="Arial" w:hAnsi="Arial"/>
          <w:sz w:val="22"/>
          <w:szCs w:val="22"/>
          <w:color w:val="auto"/>
        </w:rPr>
      </w:pPr>
    </w:p>
    <w:p>
      <w:pPr>
        <w:ind w:left="980" w:right="260" w:hanging="324"/>
        <w:spacing w:after="0" w:line="232" w:lineRule="auto"/>
        <w:tabs>
          <w:tab w:leader="none" w:pos="975"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privately negotiated transactions;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 a combination of any of the above methods.</w:t>
      </w:r>
    </w:p>
    <w:p>
      <w:pPr>
        <w:spacing w:after="0" w:line="20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25"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188" w:lineRule="exact"/>
        <w:rPr>
          <w:sz w:val="20"/>
          <w:szCs w:val="20"/>
          <w:color w:val="auto"/>
        </w:rPr>
      </w:pPr>
    </w:p>
    <w:p>
      <w:pPr>
        <w:ind w:right="40" w:firstLine="648"/>
        <w:spacing w:after="0" w:line="297" w:lineRule="auto"/>
        <w:rPr>
          <w:sz w:val="20"/>
          <w:szCs w:val="20"/>
          <w:color w:val="auto"/>
        </w:rPr>
      </w:pPr>
      <w:r>
        <w:rPr>
          <w:rFonts w:ascii="Arial" w:cs="Arial" w:eastAsia="Arial" w:hAnsi="Arial"/>
          <w:sz w:val="16"/>
          <w:szCs w:val="16"/>
          <w:color w:val="auto"/>
        </w:rPr>
        <w:t>The selling shareholders also may resell all or a portion of the shares covered by this prospectus that qualify for sale under Rule 144 of the Securities Act in open market transactions in reliance upon Rule 144 under the Securities Act. 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ectPr>
          <w:pgSz w:w="11900" w:h="16838" w:orient="portrait"/>
          <w:cols w:equalWidth="0" w:num="1">
            <w:col w:w="11420"/>
          </w:cols>
          <w:pgMar w:left="240" w:top="580" w:right="239" w:bottom="0" w:gutter="0" w:footer="0" w:header="0"/>
        </w:sectPr>
      </w:pPr>
    </w:p>
    <w:bookmarkStart w:id="13" w:name="page14"/>
    <w:bookmarkEnd w:id="13"/>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name of the participating broker-dealer(s) or underwriters;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number of shares involved;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the price(s) at which the shares were sold;</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660"/>
        <w:spacing w:after="0"/>
        <w:tabs>
          <w:tab w:leader="none" w:pos="960" w:val="left"/>
          <w:tab w:leader="none" w:pos="8320" w:val="left"/>
        </w:tabs>
        <w:rPr>
          <w:sz w:val="20"/>
          <w:szCs w:val="20"/>
          <w:color w:val="auto"/>
        </w:rPr>
      </w:pPr>
      <w:r>
        <w:rPr>
          <w:rFonts w:ascii="Arial" w:cs="Arial" w:eastAsia="Arial" w:hAnsi="Arial"/>
          <w:sz w:val="22"/>
          <w:szCs w:val="22"/>
          <w:color w:val="auto"/>
        </w:rPr>
        <w:t>•</w:t>
      </w:r>
      <w:r>
        <w:rPr>
          <w:sz w:val="20"/>
          <w:szCs w:val="20"/>
          <w:color w:val="auto"/>
        </w:rPr>
        <w:tab/>
      </w:r>
      <w:r>
        <w:rPr>
          <w:rFonts w:ascii="Arial" w:cs="Arial" w:eastAsia="Arial" w:hAnsi="Arial"/>
          <w:sz w:val="18"/>
          <w:szCs w:val="18"/>
          <w:color w:val="auto"/>
        </w:rPr>
        <w:t>the commissions paid or discounts or concessions allowed by the selling shareholders to the broker-</w:t>
      </w:r>
      <w:r>
        <w:rPr>
          <w:sz w:val="20"/>
          <w:szCs w:val="20"/>
          <w:color w:val="auto"/>
        </w:rPr>
        <w:tab/>
      </w:r>
      <w:r>
        <w:rPr>
          <w:rFonts w:ascii="Arial" w:cs="Arial" w:eastAsia="Arial" w:hAnsi="Arial"/>
          <w:sz w:val="16"/>
          <w:szCs w:val="16"/>
          <w:color w:val="auto"/>
        </w:rPr>
        <w:t>dealers or underwriters, if any; and</w:t>
      </w:r>
    </w:p>
    <w:p>
      <w:pPr>
        <w:spacing w:after="0" w:line="240"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other information material to the transaction.</w:t>
      </w:r>
    </w:p>
    <w:p>
      <w:pPr>
        <w:spacing w:after="0" w:line="202"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The selling shareholders and any broker-dealers, agents or underwriters that participate with the selling shareholders in the distribution of the shares may be deemed to be “underwriters” within the meaning of the Securities Act. Any commissions paid or any discounts or concessions allowed to any of those persons, and any profits received on the resale of the shares purchased by them, may be deemed to be underwriting commissions or discounts under the Securities Act. Because the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178"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The selling shareholders may agree to indemnify any agent, broker or dealer that participates in sales of common stock against liabilities arising under the Securities Act from sales of common stock.</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We will not receive any proceeds from the sale of the shares by the selling shareholders.</w:t>
      </w:r>
    </w:p>
    <w:p>
      <w:pPr>
        <w:spacing w:after="0" w:line="225"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borne by the selling shareholders selling those shares.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There can be no assurances that the selling shareholders will sell all or any of the shares of common stock offered under this prospectus.</w:t>
      </w:r>
    </w:p>
    <w:p>
      <w:pPr>
        <w:spacing w:after="0" w:line="237"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color w:val="auto"/>
        </w:rPr>
        <w:t>The registration statement to which this prospectus relates is being filed pursuant to a registration rights agreement between Marvell and QLogic Corporation. The registration rights agreement provides that we will indemnify the selling shareholders against certain liabilities, including liabilities under the Securities Act, and that the selling shareholders will indemnify us against certain liabilities, including liabilities under the Securities Act. Subject to the terms and conditions of the registration rights agreement, we agreed to file the registration statement to cover the shares of our common stock received by QLogic in our acquisition of its hard disk and tape drive controller semiconductor business and to keep the registration statement effective until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Appleby Spurling Hunter, Bermuda, will pass on the validity of common stock offered by this prospectus.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The financial statements and management’s assessment of the effectiveness of internal control over financial reporting (which is included in Management’s Report on Internal Control over Financial Reporting) incorporated in this Prospectus by reference to the Annual Report on Form 10-K for the year ended January 31, 2005 have been so incorporated in reliance on the report of PricewaterhouseCoopers LLP, an independent registered public accounting firm, given on the authority of said firm as experts in auditing and accounting.</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We file annual, quarterly and special reports, proxy statements, and other information with the Securities and Exchange Commission. You may read and copy any materials we file with the Commission at the Commission’s public reference room at 100 F Street, N.E., Washington, D.C. 20549. Please call the Commission at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1-800-SEC-0330 for more information on its public reference room. The Commission also maintains an Internet Web site at http://www.sec.gov that contains reports, proxy and information statements, and other information regarding issuers that file electronically with the Commission.</w:t>
      </w:r>
    </w:p>
    <w:p>
      <w:pPr>
        <w:spacing w:after="0" w:line="147" w:lineRule="exact"/>
        <w:rPr>
          <w:sz w:val="20"/>
          <w:szCs w:val="20"/>
          <w:color w:val="auto"/>
        </w:rPr>
      </w:pPr>
    </w:p>
    <w:p>
      <w:pPr>
        <w:ind w:firstLine="648"/>
        <w:spacing w:after="0" w:line="264" w:lineRule="auto"/>
        <w:rPr>
          <w:sz w:val="20"/>
          <w:szCs w:val="20"/>
          <w:color w:val="auto"/>
        </w:rPr>
      </w:pPr>
      <w:r>
        <w:rPr>
          <w:rFonts w:ascii="Arial" w:cs="Arial" w:eastAsia="Arial" w:hAnsi="Arial"/>
          <w:sz w:val="18"/>
          <w:szCs w:val="18"/>
          <w:color w:val="auto"/>
        </w:rPr>
        <w:t>Our Web site is http://www.marvell.com. We make available free of charge, on or through our Web site, our annual, quarterly and current reports, and any amendments to those reports, as soon as reasonably practicable after electronically filing such reports with the Commission. Information contained on our Web site is not part of this registration statement.</w:t>
      </w:r>
    </w:p>
    <w:p>
      <w:pPr>
        <w:spacing w:after="0" w:line="181"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We have filed with the Commission a registration statement, which contains this prospectus, on Form S-3 under the Securities Act of 1933. The registration statement relates to the common stock offered by the selling shareholder. This prospectus does not contain all of the information set forth in the registration statement and the exhibits and schedules to the registration statement. Please refer to the registration statement and its exhibits and schedules for further information with respect to us and our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Commission, as described in the preceding paragraph.</w:t>
      </w:r>
    </w:p>
    <w:p>
      <w:pPr>
        <w:sectPr>
          <w:pgSz w:w="11900" w:h="16838" w:orient="portrait"/>
          <w:cols w:equalWidth="0" w:num="1">
            <w:col w:w="11420"/>
          </w:cols>
          <w:pgMar w:left="240" w:top="130" w:right="239" w:bottom="0" w:gutter="0" w:footer="0" w:header="0"/>
        </w:sectPr>
      </w:pPr>
    </w:p>
    <w:bookmarkStart w:id="14" w:name="page15"/>
    <w:bookmarkEnd w:id="14"/>
    <w:p>
      <w:pPr>
        <w:jc w:val="center"/>
        <w:ind w:right="-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firstLine="648"/>
        <w:spacing w:after="0" w:line="297" w:lineRule="auto"/>
        <w:rPr>
          <w:sz w:val="20"/>
          <w:szCs w:val="20"/>
          <w:color w:val="auto"/>
        </w:rPr>
      </w:pPr>
      <w:r>
        <w:rPr>
          <w:rFonts w:ascii="Arial" w:cs="Arial" w:eastAsia="Arial" w:hAnsi="Arial"/>
          <w:sz w:val="16"/>
          <w:szCs w:val="16"/>
          <w:color w:val="auto"/>
        </w:rPr>
        <w:t>The Commission allows us to “incorporate by reference” the information we file with them, which means that we can disclose important information to you by referring you to those documents. The information incorporated by reference is considered to be a part of this prospectus, and later information that we file with the Commission will automatically update and supersede this information. We incorporate by reference the documents listed below and any future filings we make with the Commission under Section 13(a), 13(c), 14 or 15(d) of the Securities Exchange Act of 1934 (excluding any portions thereof furnished under Item 2.02 or 7.01 of Form 8-K) until this offering is completed. The documents we incorporate by reference are:</w:t>
      </w:r>
    </w:p>
    <w:p>
      <w:pPr>
        <w:spacing w:after="0" w:line="163" w:lineRule="exact"/>
        <w:rPr>
          <w:sz w:val="20"/>
          <w:szCs w:val="20"/>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Our Annual Report on Form 10-K for the fiscal year ended January 31, 2005.</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Our Quarterly Reports on Form 10-Q for the fiscal quarters ended April 30, 2005 and July 30, 2005.</w:t>
      </w:r>
    </w:p>
    <w:p>
      <w:pPr>
        <w:spacing w:after="0" w:line="228" w:lineRule="exact"/>
        <w:rPr>
          <w:rFonts w:ascii="Arial" w:cs="Arial" w:eastAsia="Arial" w:hAnsi="Arial"/>
          <w:sz w:val="22"/>
          <w:szCs w:val="22"/>
          <w:color w:val="auto"/>
        </w:rPr>
      </w:pPr>
    </w:p>
    <w:p>
      <w:pPr>
        <w:ind w:left="980" w:right="760" w:hanging="324"/>
        <w:spacing w:after="0" w:line="232" w:lineRule="auto"/>
        <w:tabs>
          <w:tab w:leader="none" w:pos="975" w:val="left"/>
        </w:tabs>
        <w:numPr>
          <w:ilvl w:val="0"/>
          <w:numId w:val="14"/>
        </w:numPr>
        <w:rPr>
          <w:rFonts w:ascii="Arial" w:cs="Arial" w:eastAsia="Arial" w:hAnsi="Arial"/>
          <w:sz w:val="22"/>
          <w:szCs w:val="22"/>
          <w:color w:val="auto"/>
        </w:rPr>
      </w:pPr>
      <w:r>
        <w:rPr>
          <w:rFonts w:ascii="Arial" w:cs="Arial" w:eastAsia="Arial" w:hAnsi="Arial"/>
          <w:sz w:val="18"/>
          <w:szCs w:val="18"/>
          <w:color w:val="auto"/>
        </w:rPr>
        <w:t>Our current reports on Form 8-K filed with the Commission on February 24, April 13, June 10, August 10, August 11, August 29, and November 4, 2005.</w:t>
      </w:r>
    </w:p>
    <w:p>
      <w:pPr>
        <w:spacing w:after="0" w:line="230" w:lineRule="exact"/>
        <w:rPr>
          <w:rFonts w:ascii="Arial" w:cs="Arial" w:eastAsia="Arial" w:hAnsi="Arial"/>
          <w:sz w:val="22"/>
          <w:szCs w:val="22"/>
          <w:color w:val="auto"/>
        </w:rPr>
      </w:pPr>
    </w:p>
    <w:p>
      <w:pPr>
        <w:ind w:left="980" w:right="460" w:hanging="324"/>
        <w:spacing w:after="0" w:line="232" w:lineRule="auto"/>
        <w:tabs>
          <w:tab w:leader="none" w:pos="975" w:val="left"/>
        </w:tabs>
        <w:numPr>
          <w:ilvl w:val="0"/>
          <w:numId w:val="14"/>
        </w:numPr>
        <w:rPr>
          <w:rFonts w:ascii="Arial" w:cs="Arial" w:eastAsia="Arial" w:hAnsi="Arial"/>
          <w:sz w:val="22"/>
          <w:szCs w:val="22"/>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0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may request a copy of these filings, at no cost, by writing or telephoning us at the following address and number: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700 First Avenue</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Sunnyvale, California 94089</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Telephone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142875</wp:posOffset>
            </wp:positionV>
            <wp:extent cx="182689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right="140" w:firstLine="648"/>
        <w:spacing w:after="0" w:line="279" w:lineRule="auto"/>
        <w:rPr>
          <w:sz w:val="20"/>
          <w:szCs w:val="20"/>
          <w:color w:val="auto"/>
        </w:rPr>
      </w:pPr>
      <w:r>
        <w:rPr>
          <w:rFonts w:ascii="Arial" w:cs="Arial" w:eastAsia="Arial" w:hAnsi="Arial"/>
          <w:sz w:val="17"/>
          <w:szCs w:val="17"/>
          <w:color w:val="auto"/>
        </w:rPr>
        <w:t>We have not authorized anyone to provide you with information or to represent anything not contained in this prospectus. You must not rely on any unauthorized information or representations. The selling shareholder is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8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14. Other Expenses of Issuance and Distribution</w:t>
      </w:r>
    </w:p>
    <w:p>
      <w:pPr>
        <w:spacing w:after="0" w:line="229"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 All amounts are estimated except the SEC registration fee.</w:t>
      </w:r>
    </w:p>
    <w:p>
      <w:pPr>
        <w:spacing w:after="0" w:line="173" w:lineRule="exact"/>
        <w:rPr>
          <w:sz w:val="20"/>
          <w:szCs w:val="20"/>
          <w:color w:val="auto"/>
        </w:rPr>
      </w:pPr>
    </w:p>
    <w:tbl>
      <w:tblPr>
        <w:tblLayout w:type="fixed"/>
        <w:tblInd w:w="1440" w:type="dxa"/>
        <w:tblCellMar>
          <w:top w:w="0" w:type="dxa"/>
          <w:left w:w="0" w:type="dxa"/>
          <w:bottom w:w="0" w:type="dxa"/>
          <w:right w:w="0" w:type="dxa"/>
        </w:tblCellMar>
      </w:tblPr>
      <w:tr>
        <w:trPr>
          <w:trHeight w:val="186"/>
        </w:trPr>
        <w:tc>
          <w:tcPr>
            <w:tcW w:w="66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00" w:type="dxa"/>
            <w:vAlign w:val="bottom"/>
            <w:gridSpan w:val="2"/>
          </w:tcPr>
          <w:p>
            <w:pPr>
              <w:ind w:left="200"/>
              <w:spacing w:after="0"/>
              <w:rPr>
                <w:sz w:val="20"/>
                <w:szCs w:val="20"/>
                <w:color w:val="auto"/>
              </w:rPr>
            </w:pPr>
            <w:r>
              <w:rPr>
                <w:rFonts w:ascii="Arial" w:cs="Arial" w:eastAsia="Arial" w:hAnsi="Arial"/>
                <w:sz w:val="14"/>
                <w:szCs w:val="14"/>
                <w:b w:val="1"/>
                <w:bCs w:val="1"/>
                <w:color w:val="auto"/>
              </w:rPr>
              <w:t>Amount</w:t>
            </w:r>
          </w:p>
        </w:tc>
      </w:tr>
      <w:tr>
        <w:trPr>
          <w:trHeight w:val="201"/>
        </w:trPr>
        <w:tc>
          <w:tcPr>
            <w:tcW w:w="6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SEC registration fee</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5,707</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Pr>
          <w:p>
            <w:pPr>
              <w:ind w:left="20"/>
              <w:spacing w:after="0"/>
              <w:rPr>
                <w:sz w:val="20"/>
                <w:szCs w:val="20"/>
                <w:color w:val="auto"/>
              </w:rPr>
            </w:pPr>
            <w:r>
              <w:rPr>
                <w:rFonts w:ascii="Arial" w:cs="Arial" w:eastAsia="Arial" w:hAnsi="Arial"/>
                <w:sz w:val="18"/>
                <w:szCs w:val="18"/>
                <w:color w:val="auto"/>
              </w:rPr>
              <w:t>Accounting fees and expenses</w:t>
            </w:r>
          </w:p>
        </w:tc>
        <w:tc>
          <w:tcPr>
            <w:tcW w:w="32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18,000</w:t>
            </w:r>
          </w:p>
        </w:tc>
        <w:tc>
          <w:tcPr>
            <w:tcW w:w="360" w:type="dxa"/>
            <w:vAlign w:val="bottom"/>
          </w:tcPr>
          <w:p>
            <w:pPr>
              <w:spacing w:after="0"/>
              <w:rPr>
                <w:sz w:val="18"/>
                <w:szCs w:val="18"/>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fees and expenses</w:t>
            </w:r>
          </w:p>
        </w:tc>
        <w:tc>
          <w:tcPr>
            <w:tcW w:w="32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Miscellaneous fees and expenses</w:t>
            </w:r>
          </w:p>
        </w:tc>
        <w:tc>
          <w:tcPr>
            <w:tcW w:w="32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10,293</w:t>
            </w:r>
          </w:p>
        </w:tc>
        <w:tc>
          <w:tcPr>
            <w:tcW w:w="360" w:type="dxa"/>
            <w:vAlign w:val="bottom"/>
            <w:tcBorders>
              <w:bottom w:val="single" w:sz="8" w:color="CCEEFF"/>
            </w:tcBorders>
          </w:tcPr>
          <w:p>
            <w:pPr>
              <w:spacing w:after="0"/>
              <w:rPr>
                <w:sz w:val="18"/>
                <w:szCs w:val="18"/>
                <w:color w:val="auto"/>
              </w:rPr>
            </w:pPr>
          </w:p>
        </w:tc>
      </w:tr>
      <w:tr>
        <w:trPr>
          <w:trHeight w:val="210"/>
        </w:trPr>
        <w:tc>
          <w:tcPr>
            <w:tcW w:w="66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Total</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49,000</w:t>
            </w:r>
          </w:p>
        </w:tc>
        <w:tc>
          <w:tcPr>
            <w:tcW w:w="360" w:type="dxa"/>
            <w:vAlign w:val="bottom"/>
            <w:shd w:val="clear" w:color="auto" w:fill="CCEEFF"/>
          </w:tcPr>
          <w:p>
            <w:pPr>
              <w:spacing w:after="0"/>
              <w:rPr>
                <w:sz w:val="18"/>
                <w:szCs w:val="18"/>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15. Indemnification of Directors and Officers</w:t>
      </w:r>
    </w:p>
    <w:p>
      <w:pPr>
        <w:spacing w:after="0" w:line="229" w:lineRule="exact"/>
        <w:rPr>
          <w:sz w:val="20"/>
          <w:szCs w:val="20"/>
          <w:color w:val="auto"/>
        </w:rPr>
      </w:pPr>
    </w:p>
    <w:p>
      <w:pPr>
        <w:ind w:right="80" w:firstLine="693"/>
        <w:spacing w:after="0" w:line="302"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the Registrant’s Memorandum of Association, as presently in effect (the “Memorandum of Association”), and the Registrant’s Bye-laws (the “Bye-laws”), as such provisions relate to the indemnification of the directors and officers of the Registrant. This description is intended only as a summary and is qualified in its entirety by reference to the applicable provisions of the Companies Act, the Memorandum of Association and the Bye-laws, which are incorporated herein by reference.</w:t>
      </w:r>
    </w:p>
    <w:p>
      <w:pPr>
        <w:spacing w:after="0" w:line="154" w:lineRule="exact"/>
        <w:rPr>
          <w:sz w:val="20"/>
          <w:szCs w:val="20"/>
          <w:color w:val="auto"/>
        </w:rPr>
      </w:pPr>
    </w:p>
    <w:p>
      <w:pPr>
        <w:jc w:val="both"/>
        <w:ind w:right="340" w:firstLine="648"/>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own fraud or dishonesty.</w:t>
      </w:r>
    </w:p>
    <w:p>
      <w:pPr>
        <w:spacing w:after="0" w:line="181" w:lineRule="exact"/>
        <w:rPr>
          <w:sz w:val="20"/>
          <w:szCs w:val="20"/>
          <w:color w:val="auto"/>
        </w:rPr>
      </w:pPr>
    </w:p>
    <w:p>
      <w:pPr>
        <w:ind w:right="240" w:firstLine="648"/>
        <w:spacing w:after="0" w:line="308"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the Registrant be indemnified against any liabilities, loss, damage or expense incurred or suffered in such capacity, subject to limitations imposed in the Companies Act.</w:t>
      </w:r>
    </w:p>
    <w:p>
      <w:pPr>
        <w:spacing w:after="0" w:line="147" w:lineRule="exact"/>
        <w:rPr>
          <w:sz w:val="20"/>
          <w:szCs w:val="20"/>
          <w:color w:val="auto"/>
        </w:rPr>
      </w:pPr>
    </w:p>
    <w:p>
      <w:pPr>
        <w:ind w:right="180" w:firstLine="648"/>
        <w:spacing w:after="0" w:line="259" w:lineRule="auto"/>
        <w:rPr>
          <w:sz w:val="20"/>
          <w:szCs w:val="20"/>
          <w:color w:val="auto"/>
        </w:rPr>
      </w:pPr>
      <w:r>
        <w:rPr>
          <w:rFonts w:ascii="Arial" w:cs="Arial" w:eastAsia="Arial" w:hAnsi="Arial"/>
          <w:sz w:val="18"/>
          <w:szCs w:val="18"/>
          <w:color w:val="auto"/>
        </w:rPr>
        <w:t>The Bye-laws further provide that each shareholder and the Registrant agree to waive any claim or right of action against any director or officer, in respect of any failure to act or any action taken by such director or officer in the performance of his duties with or for the Registrant. The waiver does not extend to claims arising under United States federal securities laws or any claims or rights of action arising from the fraud or dishonesty of the director or officer.</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16. Exhibits</w:t>
      </w:r>
    </w:p>
    <w:p>
      <w:pPr>
        <w:sectPr>
          <w:pgSz w:w="11900" w:h="16838" w:orient="portrait"/>
          <w:cols w:equalWidth="0" w:num="1">
            <w:col w:w="11400"/>
          </w:cols>
          <w:pgMar w:left="240" w:top="121" w:right="259" w:bottom="0" w:gutter="0" w:footer="0" w:header="0"/>
        </w:sectPr>
      </w:pPr>
    </w:p>
    <w:bookmarkStart w:id="15" w:name="page16"/>
    <w:bookmarkEnd w:id="15"/>
    <w:tbl>
      <w:tblPr>
        <w:tblLayout w:type="fixed"/>
        <w:tblInd w:w="660" w:type="dxa"/>
        <w:tblCellMar>
          <w:top w:w="0" w:type="dxa"/>
          <w:left w:w="0" w:type="dxa"/>
          <w:bottom w:w="0" w:type="dxa"/>
          <w:right w:w="0" w:type="dxa"/>
        </w:tblCellMar>
      </w:tblPr>
      <w:tr>
        <w:trPr>
          <w:trHeight w:val="161"/>
        </w:trPr>
        <w:tc>
          <w:tcPr>
            <w:tcW w:w="28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860" w:type="dxa"/>
            <w:vAlign w:val="bottom"/>
            <w:vMerge w:val="restart"/>
          </w:tcPr>
          <w:p>
            <w:pPr>
              <w:ind w:left="2320"/>
              <w:spacing w:after="0"/>
              <w:rPr>
                <w:sz w:val="20"/>
                <w:szCs w:val="20"/>
                <w:color w:val="auto"/>
              </w:rPr>
            </w:pPr>
            <w:r>
              <w:rPr>
                <w:rFonts w:ascii="Arial" w:cs="Arial" w:eastAsia="Arial" w:hAnsi="Arial"/>
                <w:sz w:val="14"/>
                <w:szCs w:val="14"/>
                <w:b w:val="1"/>
                <w:bCs w:val="1"/>
                <w:color w:val="auto"/>
                <w:w w:val="91"/>
              </w:rPr>
              <w:t>Description of Document</w:t>
            </w:r>
          </w:p>
        </w:tc>
        <w:tc>
          <w:tcPr>
            <w:tcW w:w="0" w:type="dxa"/>
            <w:vAlign w:val="bottom"/>
          </w:tcPr>
          <w:p>
            <w:pPr>
              <w:spacing w:after="0"/>
              <w:rPr>
                <w:sz w:val="1"/>
                <w:szCs w:val="1"/>
                <w:color w:val="auto"/>
              </w:rPr>
            </w:pPr>
          </w:p>
        </w:tc>
      </w:tr>
      <w:tr>
        <w:trPr>
          <w:trHeight w:val="186"/>
        </w:trPr>
        <w:tc>
          <w:tcPr>
            <w:tcW w:w="282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3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-8890</wp:posOffset>
            </wp:positionV>
            <wp:extent cx="673227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732270" cy="8890"/>
                    </a:xfrm>
                    <a:prstGeom prst="rect">
                      <a:avLst/>
                    </a:prstGeom>
                    <a:noFill/>
                  </pic:spPr>
                </pic:pic>
              </a:graphicData>
            </a:graphic>
          </wp:anchor>
        </w:drawing>
      </w:r>
    </w:p>
    <w:p>
      <w:pPr>
        <w:spacing w:after="0" w:line="180" w:lineRule="exact"/>
        <w:rPr>
          <w:sz w:val="20"/>
          <w:szCs w:val="20"/>
          <w:color w:val="auto"/>
        </w:rPr>
      </w:pPr>
    </w:p>
    <w:p>
      <w:pPr>
        <w:ind w:left="1260"/>
        <w:spacing w:after="0"/>
        <w:tabs>
          <w:tab w:leader="none" w:pos="1860" w:val="left"/>
        </w:tabs>
        <w:rPr>
          <w:sz w:val="20"/>
          <w:szCs w:val="20"/>
          <w:color w:val="auto"/>
        </w:rPr>
      </w:pPr>
      <w:r>
        <w:rPr>
          <w:rFonts w:ascii="Arial" w:cs="Arial" w:eastAsia="Arial" w:hAnsi="Arial"/>
          <w:sz w:val="18"/>
          <w:szCs w:val="18"/>
          <w:color w:val="auto"/>
        </w:rPr>
        <w:t>5.1 *</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6"/>
          <w:szCs w:val="16"/>
          <w:color w:val="auto"/>
        </w:rPr>
        <w:t>Power of Attorney (see page 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74930</wp:posOffset>
            </wp:positionV>
            <wp:extent cx="182689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To be filed by amendment.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17. Undertakings</w:t>
      </w:r>
    </w:p>
    <w:p>
      <w:pPr>
        <w:spacing w:after="0" w:line="229" w:lineRule="exact"/>
        <w:rPr>
          <w:sz w:val="20"/>
          <w:szCs w:val="20"/>
          <w:color w:val="auto"/>
        </w:rPr>
      </w:pPr>
    </w:p>
    <w:p>
      <w:pPr>
        <w:ind w:firstLine="648"/>
        <w:spacing w:after="0" w:line="291" w:lineRule="auto"/>
        <w:rPr>
          <w:sz w:val="20"/>
          <w:szCs w:val="20"/>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6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undersigned Registrant hereby undertakes:</w:t>
      </w:r>
    </w:p>
    <w:p>
      <w:pPr>
        <w:spacing w:after="0" w:line="225" w:lineRule="exact"/>
        <w:rPr>
          <w:sz w:val="20"/>
          <w:szCs w:val="20"/>
          <w:color w:val="auto"/>
        </w:rPr>
      </w:pPr>
    </w:p>
    <w:p>
      <w:pPr>
        <w:ind w:left="2000" w:hanging="695"/>
        <w:spacing w:after="0"/>
        <w:tabs>
          <w:tab w:leader="none" w:pos="2000" w:val="left"/>
        </w:tabs>
        <w:numPr>
          <w:ilvl w:val="0"/>
          <w:numId w:val="15"/>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the Registration Statement:</w:t>
      </w:r>
    </w:p>
    <w:p>
      <w:pPr>
        <w:spacing w:after="0" w:line="236" w:lineRule="exact"/>
        <w:rPr>
          <w:rFonts w:ascii="Arial" w:cs="Arial" w:eastAsia="Arial" w:hAnsi="Arial"/>
          <w:sz w:val="17"/>
          <w:szCs w:val="17"/>
          <w:color w:val="auto"/>
        </w:rPr>
      </w:pPr>
    </w:p>
    <w:p>
      <w:pPr>
        <w:ind w:left="2660" w:hanging="707"/>
        <w:spacing w:after="0"/>
        <w:tabs>
          <w:tab w:leader="none" w:pos="26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25" w:lineRule="exact"/>
        <w:rPr>
          <w:rFonts w:ascii="Arial" w:cs="Arial" w:eastAsia="Arial" w:hAnsi="Arial"/>
          <w:sz w:val="18"/>
          <w:szCs w:val="18"/>
          <w:color w:val="auto"/>
        </w:rPr>
      </w:pPr>
    </w:p>
    <w:p>
      <w:pPr>
        <w:ind w:left="1300" w:right="160" w:firstLine="653"/>
        <w:spacing w:after="0" w:line="264" w:lineRule="auto"/>
        <w:tabs>
          <w:tab w:leader="none" w:pos="2663"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and</w:t>
      </w:r>
    </w:p>
    <w:p>
      <w:pPr>
        <w:spacing w:after="0" w:line="181" w:lineRule="exact"/>
        <w:rPr>
          <w:rFonts w:ascii="Arial" w:cs="Arial" w:eastAsia="Arial" w:hAnsi="Arial"/>
          <w:sz w:val="18"/>
          <w:szCs w:val="18"/>
          <w:color w:val="auto"/>
        </w:rPr>
      </w:pPr>
    </w:p>
    <w:p>
      <w:pPr>
        <w:ind w:left="1300" w:right="180" w:firstLine="653"/>
        <w:spacing w:after="0" w:line="277" w:lineRule="auto"/>
        <w:tabs>
          <w:tab w:leader="none" w:pos="2668"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jc w:val="both"/>
        <w:ind w:right="540" w:firstLine="648"/>
        <w:spacing w:after="0" w:line="264" w:lineRule="auto"/>
        <w:rPr>
          <w:sz w:val="20"/>
          <w:szCs w:val="20"/>
          <w:color w:val="auto"/>
        </w:rPr>
      </w:pPr>
      <w:r>
        <w:rPr>
          <w:rFonts w:ascii="Arial" w:cs="Arial" w:eastAsia="Arial" w:hAnsi="Arial"/>
          <w:sz w:val="18"/>
          <w:szCs w:val="18"/>
          <w:color w:val="auto"/>
        </w:rPr>
        <w:t>Provided, however, that paragraphs (i) and (ii) do not apply if the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181" w:lineRule="exact"/>
        <w:rPr>
          <w:sz w:val="20"/>
          <w:szCs w:val="20"/>
          <w:color w:val="auto"/>
        </w:rPr>
      </w:pPr>
    </w:p>
    <w:p>
      <w:pPr>
        <w:ind w:left="660" w:firstLine="645"/>
        <w:spacing w:after="0" w:line="264" w:lineRule="auto"/>
        <w:tabs>
          <w:tab w:leader="none" w:pos="2013"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1" w:lineRule="exact"/>
        <w:rPr>
          <w:rFonts w:ascii="Arial" w:cs="Arial" w:eastAsia="Arial" w:hAnsi="Arial"/>
          <w:sz w:val="18"/>
          <w:szCs w:val="18"/>
          <w:color w:val="auto"/>
        </w:rPr>
      </w:pPr>
    </w:p>
    <w:p>
      <w:pPr>
        <w:ind w:left="660" w:right="160" w:firstLine="645"/>
        <w:spacing w:after="0" w:line="277" w:lineRule="auto"/>
        <w:tabs>
          <w:tab w:leader="none" w:pos="2013" w:val="left"/>
        </w:tabs>
        <w:numPr>
          <w:ilvl w:val="0"/>
          <w:numId w:val="16"/>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660" w:right="220" w:firstLine="645"/>
        <w:spacing w:after="0" w:line="259" w:lineRule="auto"/>
        <w:tabs>
          <w:tab w:leader="none" w:pos="2013"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color w:val="auto"/>
        </w:rPr>
        <w:t>Pursuant to the requirements of the Securities Act, the Registrant certifies that it has reasonable grounds to believe that it meets all of the requirements for filing on Form S-3, and has duly caused this Registration Statement to be signed on its behalf by the undersigned, thereunto duly authorized, in the City of Sunnyvale, State of California, on November 18, 2005.</w:t>
      </w:r>
    </w:p>
    <w:p>
      <w:pPr>
        <w:spacing w:after="0" w:line="181"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6180" w:type="dxa"/>
        <w:tblCellMar>
          <w:top w:w="0" w:type="dxa"/>
          <w:left w:w="0" w:type="dxa"/>
          <w:bottom w:w="0" w:type="dxa"/>
          <w:right w:w="0" w:type="dxa"/>
        </w:tblCellMar>
      </w:tblPr>
      <w:tr>
        <w:trPr>
          <w:trHeight w:val="230"/>
        </w:trPr>
        <w:tc>
          <w:tcPr>
            <w:tcW w:w="440" w:type="dxa"/>
            <w:vAlign w:val="bottom"/>
          </w:tcPr>
          <w:p>
            <w:pPr>
              <w:spacing w:after="0"/>
              <w:rPr>
                <w:sz w:val="20"/>
                <w:szCs w:val="20"/>
                <w:color w:val="auto"/>
              </w:rPr>
            </w:pPr>
            <w:r>
              <w:rPr>
                <w:rFonts w:ascii="Arial" w:cs="Arial" w:eastAsia="Arial" w:hAnsi="Arial"/>
                <w:sz w:val="18"/>
                <w:szCs w:val="18"/>
                <w:color w:val="auto"/>
              </w:rPr>
              <w:t>By</w:t>
            </w:r>
          </w:p>
        </w:tc>
        <w:tc>
          <w:tcPr>
            <w:tcW w:w="48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195"/>
        </w:trPr>
        <w:tc>
          <w:tcPr>
            <w:tcW w:w="440" w:type="dxa"/>
            <w:vAlign w:val="bottom"/>
          </w:tcPr>
          <w:p>
            <w:pPr>
              <w:spacing w:after="0"/>
              <w:rPr>
                <w:sz w:val="16"/>
                <w:szCs w:val="16"/>
                <w:color w:val="auto"/>
              </w:rPr>
            </w:pPr>
          </w:p>
        </w:tc>
        <w:tc>
          <w:tcPr>
            <w:tcW w:w="4800" w:type="dxa"/>
            <w:vAlign w:val="bottom"/>
          </w:tcPr>
          <w:p>
            <w:pPr>
              <w:jc w:val="center"/>
              <w:spacing w:after="0" w:line="195" w:lineRule="exact"/>
              <w:rPr>
                <w:sz w:val="20"/>
                <w:szCs w:val="20"/>
                <w:color w:val="auto"/>
              </w:rPr>
            </w:pPr>
            <w:r>
              <w:rPr>
                <w:rFonts w:ascii="Arial" w:cs="Arial" w:eastAsia="Arial" w:hAnsi="Arial"/>
                <w:sz w:val="18"/>
                <w:szCs w:val="18"/>
                <w:color w:val="auto"/>
                <w:w w:val="89"/>
              </w:rPr>
              <w:t>Dr. Sehat Sutardja</w:t>
            </w:r>
          </w:p>
        </w:tc>
      </w:tr>
      <w:tr>
        <w:trPr>
          <w:trHeight w:val="230"/>
        </w:trPr>
        <w:tc>
          <w:tcPr>
            <w:tcW w:w="440" w:type="dxa"/>
            <w:vAlign w:val="bottom"/>
          </w:tcPr>
          <w:p>
            <w:pPr>
              <w:spacing w:after="0"/>
              <w:rPr>
                <w:sz w:val="20"/>
                <w:szCs w:val="20"/>
                <w:color w:val="auto"/>
              </w:rPr>
            </w:pPr>
          </w:p>
        </w:tc>
        <w:tc>
          <w:tcPr>
            <w:tcW w:w="480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ectPr>
          <w:pgSz w:w="11900" w:h="16838" w:orient="portrait"/>
          <w:cols w:equalWidth="0" w:num="1">
            <w:col w:w="11420"/>
          </w:cols>
          <w:pgMar w:left="240" w:top="104" w:right="239" w:bottom="198" w:gutter="0" w:footer="0" w:header="0"/>
        </w:sectPr>
      </w:pPr>
    </w:p>
    <w:bookmarkStart w:id="16" w:name="page17"/>
    <w:bookmarkEnd w:id="16"/>
    <w:p>
      <w:pPr>
        <w:ind w:right="20" w:firstLine="648"/>
        <w:spacing w:after="0" w:line="272" w:lineRule="auto"/>
        <w:rPr>
          <w:sz w:val="20"/>
          <w:szCs w:val="20"/>
          <w:color w:val="auto"/>
        </w:rPr>
      </w:pPr>
      <w:r>
        <w:rPr>
          <w:rFonts w:ascii="Arial" w:cs="Arial" w:eastAsia="Arial" w:hAnsi="Arial"/>
          <w:sz w:val="17"/>
          <w:szCs w:val="17"/>
          <w:color w:val="auto"/>
        </w:rPr>
        <w:t>KNOW ALL MEN BY THESE PRESENTS, that each person whose signature appears below constitutes and appoints Sehat Sutardja and George Hervey, and each of them, his or her true and lawful attorneys-in-fact and agents, each with full power of substitution and resubstitution, for him or her and in his or her name, place and stead, in any and all capacities, to sign any and all amendments, including post-effective amendments, to this Registration Statement,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or she might or could do in person, hereby ratifying and confirming all that each of said attorneys-in-fact and agents or their substitute or substitutes may lawfully do or cause to be done by virtue hereof.</w:t>
      </w:r>
    </w:p>
    <w:p>
      <w:pPr>
        <w:spacing w:after="0" w:line="178"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Pursuant to the requirements of the Securities Act, this Registration Statement has been signed below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Name</w:t>
            </w:r>
          </w:p>
        </w:tc>
        <w:tc>
          <w:tcPr>
            <w:tcW w:w="300" w:type="dxa"/>
            <w:vAlign w:val="bottom"/>
          </w:tcPr>
          <w:p>
            <w:pPr>
              <w:spacing w:after="0"/>
              <w:rPr>
                <w:sz w:val="14"/>
                <w:szCs w:val="14"/>
                <w:color w:val="auto"/>
              </w:rPr>
            </w:pPr>
          </w:p>
        </w:tc>
        <w:tc>
          <w:tcPr>
            <w:tcW w:w="5860" w:type="dxa"/>
            <w:vAlign w:val="bottom"/>
            <w:tcBorders>
              <w:bottom w:val="single" w:sz="8" w:color="auto"/>
            </w:tcBorders>
          </w:tcPr>
          <w:p>
            <w:pPr>
              <w:ind w:left="2780"/>
              <w:spacing w:after="0"/>
              <w:rPr>
                <w:sz w:val="20"/>
                <w:szCs w:val="20"/>
                <w:color w:val="auto"/>
              </w:rPr>
            </w:pPr>
            <w:r>
              <w:rPr>
                <w:rFonts w:ascii="Arial" w:cs="Arial" w:eastAsia="Arial" w:hAnsi="Arial"/>
                <w:sz w:val="14"/>
                <w:szCs w:val="14"/>
                <w:b w:val="1"/>
                <w:bCs w:val="1"/>
                <w:color w:val="auto"/>
              </w:rPr>
              <w:t>Title</w:t>
            </w:r>
          </w:p>
        </w:tc>
        <w:tc>
          <w:tcPr>
            <w:tcW w:w="280" w:type="dxa"/>
            <w:vAlign w:val="bottom"/>
          </w:tcPr>
          <w:p>
            <w:pPr>
              <w:spacing w:after="0"/>
              <w:rPr>
                <w:sz w:val="14"/>
                <w:szCs w:val="14"/>
                <w:color w:val="auto"/>
              </w:rPr>
            </w:pPr>
          </w:p>
        </w:tc>
        <w:tc>
          <w:tcPr>
            <w:tcW w:w="2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r>
      <w:tr>
        <w:trPr>
          <w:trHeight w:val="426"/>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Chairman of the Board, President and Chief</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Executive Officer (Principal Executive Officer)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Weili Dai</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Executive Vice President, Secretary and</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George Hervey</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Vice President and Chief Financial Officer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0"/>
              </w:rPr>
              <w:t>George Hervey</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(Principal Financial and Accounting Officer)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6"/>
              </w:rPr>
              <w:t>/s/ Pantas Sutardja</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Chief Technology Officer and 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Herbert Chang</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John M. Cioffi</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6"/>
              </w:rPr>
              <w:t>Dr. John M. Cioffi</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Paul R. Gray</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0"/>
              </w:rPr>
              <w:t>Dr. Paul R. Gray</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Douglas King</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3"/>
              </w:rPr>
              <w:t>Douglas King</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Arturo Krueger</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November 18,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4"/>
              </w:rPr>
              <w:t>Arturo Krueger</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bl>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0060" w:type="dxa"/>
            <w:vAlign w:val="bottom"/>
            <w:gridSpan w:val="2"/>
          </w:tcPr>
          <w:p>
            <w:pPr>
              <w:jc w:val="center"/>
              <w:ind w:right="1400"/>
              <w:spacing w:after="0"/>
              <w:rPr>
                <w:sz w:val="20"/>
                <w:szCs w:val="20"/>
                <w:color w:val="auto"/>
              </w:rPr>
            </w:pPr>
            <w:r>
              <w:rPr>
                <w:rFonts w:ascii="Arial" w:cs="Arial" w:eastAsia="Arial" w:hAnsi="Arial"/>
                <w:sz w:val="18"/>
                <w:szCs w:val="18"/>
                <w:color w:val="auto"/>
                <w:w w:val="99"/>
              </w:rPr>
              <w:t>II-3</w:t>
            </w:r>
          </w:p>
        </w:tc>
        <w:tc>
          <w:tcPr>
            <w:tcW w:w="0" w:type="dxa"/>
            <w:vAlign w:val="bottom"/>
          </w:tcPr>
          <w:p>
            <w:pPr>
              <w:spacing w:after="0"/>
              <w:rPr>
                <w:sz w:val="1"/>
                <w:szCs w:val="1"/>
                <w:color w:val="auto"/>
              </w:rPr>
            </w:pPr>
          </w:p>
        </w:tc>
      </w:tr>
      <w:tr>
        <w:trPr>
          <w:trHeight w:val="118"/>
        </w:trPr>
        <w:tc>
          <w:tcPr>
            <w:tcW w:w="92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982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780"/>
        </w:trPr>
        <w:tc>
          <w:tcPr>
            <w:tcW w:w="9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60" w:type="dxa"/>
            <w:vAlign w:val="bottom"/>
            <w:gridSpan w:val="2"/>
          </w:tcPr>
          <w:p>
            <w:pPr>
              <w:jc w:val="center"/>
              <w:ind w:right="138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42"/>
        </w:trPr>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9820" w:type="dxa"/>
            <w:vAlign w:val="bottom"/>
            <w:vMerge w:val="restart"/>
          </w:tcPr>
          <w:p>
            <w:pPr>
              <w:ind w:left="4140"/>
              <w:spacing w:after="0"/>
              <w:rPr>
                <w:sz w:val="20"/>
                <w:szCs w:val="20"/>
                <w:color w:val="auto"/>
              </w:rPr>
            </w:pPr>
            <w:r>
              <w:rPr>
                <w:rFonts w:ascii="Arial" w:cs="Arial" w:eastAsia="Arial" w:hAnsi="Arial"/>
                <w:sz w:val="14"/>
                <w:szCs w:val="14"/>
                <w:b w:val="1"/>
                <w:bCs w:val="1"/>
                <w:color w:val="auto"/>
              </w:rPr>
              <w:t>Description of Document</w:t>
            </w:r>
          </w:p>
        </w:tc>
        <w:tc>
          <w:tcPr>
            <w:tcW w:w="2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9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Number</w:t>
            </w:r>
          </w:p>
        </w:tc>
        <w:tc>
          <w:tcPr>
            <w:tcW w:w="460" w:type="dxa"/>
            <w:vAlign w:val="bottom"/>
          </w:tcPr>
          <w:p>
            <w:pPr>
              <w:spacing w:after="0"/>
              <w:rPr>
                <w:sz w:val="14"/>
                <w:szCs w:val="14"/>
                <w:color w:val="auto"/>
              </w:rPr>
            </w:pPr>
          </w:p>
        </w:tc>
        <w:tc>
          <w:tcPr>
            <w:tcW w:w="9820" w:type="dxa"/>
            <w:vAlign w:val="bottom"/>
            <w:tcBorders>
              <w:bottom w:val="single" w:sz="8" w:color="auto"/>
            </w:tcBorders>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-843915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-843915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2" w:lineRule="exact"/>
        <w:rPr>
          <w:sz w:val="20"/>
          <w:szCs w:val="20"/>
          <w:color w:val="auto"/>
        </w:rPr>
      </w:pPr>
    </w:p>
    <w:p>
      <w:pPr>
        <w:ind w:left="680"/>
        <w:spacing w:after="0"/>
        <w:tabs>
          <w:tab w:leader="none" w:pos="1380" w:val="left"/>
        </w:tabs>
        <w:rPr>
          <w:sz w:val="20"/>
          <w:szCs w:val="20"/>
          <w:color w:val="auto"/>
        </w:rPr>
      </w:pPr>
      <w:r>
        <w:rPr>
          <w:rFonts w:ascii="Arial" w:cs="Arial" w:eastAsia="Arial" w:hAnsi="Arial"/>
          <w:sz w:val="18"/>
          <w:szCs w:val="18"/>
          <w:color w:val="auto"/>
        </w:rPr>
        <w:t>5.1 *</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6"/>
          <w:szCs w:val="16"/>
          <w:color w:val="auto"/>
        </w:rPr>
        <w:t>Power of Attorney (see page 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74930</wp:posOffset>
            </wp:positionV>
            <wp:extent cx="182689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To be filed by amendment.</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II-4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40"/>
          </w:cols>
          <w:pgMar w:left="240" w:top="125" w:right="219" w:bottom="1440" w:gutter="0" w:footer="0" w:header="0"/>
        </w:sectPr>
      </w:pPr>
    </w:p>
    <w:bookmarkStart w:id="17" w:name="page18"/>
    <w:bookmarkEnd w:id="17"/>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00" w:lineRule="exact"/>
        <w:rPr>
          <w:sz w:val="20"/>
          <w:szCs w:val="20"/>
          <w:color w:val="auto"/>
        </w:rPr>
      </w:pPr>
    </w:p>
    <w:p>
      <w:pPr>
        <w:spacing w:after="0" w:line="245"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S-3 of our report dated April 14, 2005 relating to the financial statements, management’s assessment of the effectiveness of internal control over financial reporting and the effectiveness of internal control over financial reporting, which appears in Marvell Technology Group Ltd.’s Annual Report on Form 10-K for the year ended January 31, 2005. We also consent to the reference to us under the heading “Experts” in such Registration Statement.</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20"/>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ind w:left="20"/>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November 18,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200660</wp:posOffset>
            </wp:positionV>
            <wp:extent cx="7267575"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33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15F007C"/>
    <w:multiLevelType w:val="hybridMultilevel"/>
    <w:lvl w:ilvl="0">
      <w:lvlJc w:val="left"/>
      <w:lvlText w:val="(%1)"/>
      <w:numFmt w:val="decimal"/>
      <w:start w:val="1"/>
    </w:lvl>
  </w:abstractNum>
  <w:abstractNum w:abstractNumId="1">
    <w:nsid w:val="5BD062C2"/>
    <w:multiLevelType w:val="hybridMultilevel"/>
    <w:lvl w:ilvl="0">
      <w:lvlJc w:val="left"/>
      <w:lvlText w:val="•"/>
      <w:numFmt w:val="bullet"/>
      <w:start w:val="1"/>
    </w:lvl>
  </w:abstractNum>
  <w:abstractNum w:abstractNumId="2">
    <w:nsid w:val="12200854"/>
    <w:multiLevelType w:val="hybridMultilevel"/>
    <w:lvl w:ilvl="0">
      <w:lvlJc w:val="left"/>
      <w:lvlText w:val="•"/>
      <w:numFmt w:val="bullet"/>
      <w:start w:val="1"/>
    </w:lvl>
  </w:abstractNum>
  <w:abstractNum w:abstractNumId="3">
    <w:nsid w:val="4DB127F8"/>
    <w:multiLevelType w:val="hybridMultilevel"/>
    <w:lvl w:ilvl="0">
      <w:lvlJc w:val="left"/>
      <w:lvlText w:val="•"/>
      <w:numFmt w:val="bullet"/>
      <w:start w:val="1"/>
    </w:lvl>
  </w:abstractNum>
  <w:abstractNum w:abstractNumId="4">
    <w:nsid w:val="216231B"/>
    <w:multiLevelType w:val="hybridMultilevel"/>
    <w:lvl w:ilvl="0">
      <w:lvlJc w:val="left"/>
      <w:lvlText w:val="•"/>
      <w:numFmt w:val="bullet"/>
      <w:start w:val="1"/>
    </w:lvl>
  </w:abstractNum>
  <w:abstractNum w:abstractNumId="5">
    <w:nsid w:val="1F16E9E8"/>
    <w:multiLevelType w:val="hybridMultilevel"/>
    <w:lvl w:ilvl="0">
      <w:lvlJc w:val="left"/>
      <w:lvlText w:val="•"/>
      <w:numFmt w:val="bullet"/>
      <w:start w:val="1"/>
    </w:lvl>
  </w:abstractNum>
  <w:abstractNum w:abstractNumId="6">
    <w:nsid w:val="1190CDE7"/>
    <w:multiLevelType w:val="hybridMultilevel"/>
    <w:lvl w:ilvl="0">
      <w:lvlJc w:val="left"/>
      <w:lvlText w:val="•"/>
      <w:numFmt w:val="bullet"/>
      <w:start w:val="1"/>
    </w:lvl>
  </w:abstractNum>
  <w:abstractNum w:abstractNumId="7">
    <w:nsid w:val="66EF438D"/>
    <w:multiLevelType w:val="hybridMultilevel"/>
    <w:lvl w:ilvl="0">
      <w:lvlJc w:val="left"/>
      <w:lvlText w:val="(%1)"/>
      <w:numFmt w:val="decimal"/>
      <w:start w:val="2"/>
    </w:lvl>
  </w:abstractNum>
  <w:abstractNum w:abstractNumId="8">
    <w:nsid w:val="140E0F76"/>
    <w:multiLevelType w:val="hybridMultilevel"/>
    <w:lvl w:ilvl="0">
      <w:lvlJc w:val="left"/>
      <w:lvlText w:val="•"/>
      <w:numFmt w:val="bullet"/>
      <w:start w:val="1"/>
    </w:lvl>
  </w:abstractNum>
  <w:abstractNum w:abstractNumId="9">
    <w:nsid w:val="3352255A"/>
    <w:multiLevelType w:val="hybridMultilevel"/>
    <w:lvl w:ilvl="0">
      <w:lvlJc w:val="left"/>
      <w:lvlText w:val="•"/>
      <w:numFmt w:val="bullet"/>
      <w:start w:val="1"/>
    </w:lvl>
  </w:abstractNum>
  <w:abstractNum w:abstractNumId="10">
    <w:nsid w:val="109CF92E"/>
    <w:multiLevelType w:val="hybridMultilevel"/>
    <w:lvl w:ilvl="0">
      <w:lvlJc w:val="left"/>
      <w:lvlText w:val="•"/>
      <w:numFmt w:val="bullet"/>
      <w:start w:val="1"/>
    </w:lvl>
  </w:abstractNum>
  <w:abstractNum w:abstractNumId="11">
    <w:nsid w:val="DED7263"/>
    <w:multiLevelType w:val="hybridMultilevel"/>
    <w:lvl w:ilvl="0">
      <w:lvlJc w:val="left"/>
      <w:lvlText w:val="•"/>
      <w:numFmt w:val="bullet"/>
      <w:start w:val="1"/>
    </w:lvl>
  </w:abstractNum>
  <w:abstractNum w:abstractNumId="12">
    <w:nsid w:val="7FDCC233"/>
    <w:multiLevelType w:val="hybridMultilevel"/>
    <w:lvl w:ilvl="0">
      <w:lvlJc w:val="left"/>
      <w:lvlText w:val="•"/>
      <w:numFmt w:val="bullet"/>
      <w:start w:val="1"/>
    </w:lvl>
  </w:abstractNum>
  <w:abstractNum w:abstractNumId="13">
    <w:nsid w:val="1BEFD79F"/>
    <w:multiLevelType w:val="hybridMultilevel"/>
    <w:lvl w:ilvl="0">
      <w:lvlJc w:val="left"/>
      <w:lvlText w:val="•"/>
      <w:numFmt w:val="bullet"/>
      <w:start w:val="1"/>
    </w:lvl>
  </w:abstractNum>
  <w:abstractNum w:abstractNumId="14">
    <w:nsid w:val="41A7C4C9"/>
    <w:multiLevelType w:val="hybridMultilevel"/>
    <w:lvl w:ilvl="0">
      <w:lvlJc w:val="left"/>
      <w:lvlText w:val="(%1)"/>
      <w:numFmt w:val="decimal"/>
      <w:start w:val="1"/>
    </w:lvl>
    <w:lvl w:ilvl="1">
      <w:lvlJc w:val="left"/>
      <w:lvlText w:val="(%2)"/>
      <w:numFmt w:val="lowerRoman"/>
      <w:start w:val="1"/>
    </w:lvl>
  </w:abstractNum>
  <w:abstractNum w:abstractNumId="15">
    <w:nsid w:val="6B68079A"/>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2019-12-14T20:22:57Z</dcterms:created>
  <dcterms:modified xsi:type="dcterms:W3CDTF">2019-12-14T20:22:57Z</dcterms:modified>
</cp:coreProperties>
</file>