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222" w:lineRule="exact"/>
        <w:rPr>
          <w:sz w:val="24"/>
          <w:szCs w:val="24"/>
          <w:color w:val="auto"/>
        </w:rPr>
      </w:pPr>
    </w:p>
    <w:p>
      <w:pPr>
        <w:jc w:val="center"/>
        <w:ind w:right="-39"/>
        <w:spacing w:after="0"/>
        <w:tabs>
          <w:tab w:leader="none" w:pos="160" w:val="left"/>
        </w:tabs>
        <w:rPr>
          <w:sz w:val="20"/>
          <w:szCs w:val="20"/>
          <w:color w:val="auto"/>
        </w:rPr>
      </w:pPr>
      <w:r>
        <w:rPr>
          <w:rFonts w:ascii="Arial" w:cs="Arial" w:eastAsia="Arial" w:hAnsi="Arial"/>
          <w:sz w:val="18"/>
          <w:szCs w:val="18"/>
          <w:color w:val="auto"/>
        </w:rPr>
        <w:t>Date of Report (Date of Earliest Event Reported):</w:t>
      </w:r>
      <w:r>
        <w:rPr>
          <w:sz w:val="20"/>
          <w:szCs w:val="20"/>
          <w:color w:val="auto"/>
        </w:rPr>
        <w:tab/>
      </w:r>
      <w:r>
        <w:rPr>
          <w:rFonts w:ascii="Arial" w:cs="Arial" w:eastAsia="Arial" w:hAnsi="Arial"/>
          <w:sz w:val="16"/>
          <w:szCs w:val="16"/>
          <w:color w:val="auto"/>
        </w:rPr>
        <w:t>February 23, 2006</w:t>
      </w:r>
    </w:p>
    <w:p>
      <w:pPr>
        <w:spacing w:after="0" w:line="19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368" w:right="279" w:bottom="23" w:gutter="0" w:footer="0" w:header="0"/>
        </w:sectPr>
      </w:pPr>
    </w:p>
    <w:p>
      <w:pPr>
        <w:spacing w:after="0" w:line="205" w:lineRule="exact"/>
        <w:rPr>
          <w:sz w:val="24"/>
          <w:szCs w:val="24"/>
          <w:color w:val="auto"/>
        </w:rPr>
      </w:pPr>
    </w:p>
    <w:p>
      <w:pPr>
        <w:jc w:val="center"/>
        <w:ind w:left="14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left="1440"/>
        <w:spacing w:after="0"/>
        <w:rPr>
          <w:sz w:val="20"/>
          <w:szCs w:val="20"/>
          <w:color w:val="auto"/>
        </w:rPr>
      </w:pPr>
      <w:r>
        <w:rPr>
          <w:rFonts w:ascii="Arial" w:cs="Arial" w:eastAsia="Arial" w:hAnsi="Arial"/>
          <w:sz w:val="16"/>
          <w:szCs w:val="16"/>
          <w:color w:val="auto"/>
        </w:rPr>
        <w:t>(State or Other Jurisdiction of</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3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320"/>
        <w:spacing w:after="0"/>
        <w:rPr>
          <w:sz w:val="20"/>
          <w:szCs w:val="20"/>
          <w:color w:val="auto"/>
        </w:rPr>
      </w:pPr>
      <w:r>
        <w:rPr>
          <w:rFonts w:ascii="Arial" w:cs="Arial" w:eastAsia="Arial" w:hAnsi="Arial"/>
          <w:sz w:val="17"/>
          <w:szCs w:val="17"/>
          <w:color w:val="auto"/>
        </w:rPr>
        <w:t>(I.R.S. Employer Identification No.)</w:t>
      </w:r>
    </w:p>
    <w:p>
      <w:pPr>
        <w:spacing w:after="0" w:line="21" w:lineRule="exact"/>
        <w:rPr>
          <w:sz w:val="24"/>
          <w:szCs w:val="24"/>
          <w:color w:val="auto"/>
        </w:rPr>
      </w:pPr>
    </w:p>
    <w:p>
      <w:pPr>
        <w:sectPr>
          <w:pgSz w:w="11900" w:h="16838" w:orient="portrait"/>
          <w:cols w:equalWidth="0" w:num="3">
            <w:col w:w="4060" w:space="720"/>
            <w:col w:w="1980" w:space="680"/>
            <w:col w:w="3940"/>
          </w:cols>
          <w:pgMar w:left="240" w:top="368" w:right="279" w:bottom="23" w:gutter="0" w:footer="0" w:header="0"/>
          <w:type w:val="continuous"/>
        </w:sectPr>
      </w:pPr>
    </w:p>
    <w:p>
      <w:pPr>
        <w:ind w:left="2220"/>
        <w:spacing w:after="0"/>
        <w:rPr>
          <w:sz w:val="20"/>
          <w:szCs w:val="20"/>
          <w:color w:val="auto"/>
        </w:rPr>
      </w:pPr>
      <w:r>
        <w:rPr>
          <w:rFonts w:ascii="Arial" w:cs="Arial" w:eastAsia="Arial" w:hAnsi="Arial"/>
          <w:sz w:val="18"/>
          <w:szCs w:val="18"/>
          <w:color w:val="auto"/>
        </w:rPr>
        <w:t>Incorporation)</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368" w:right="279" w:bottom="23" w:gutter="0" w:footer="0" w:header="0"/>
          <w:type w:val="continuous"/>
        </w:sectPr>
      </w:pP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500" w:hanging="480"/>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500" w:hanging="480"/>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500" w:hanging="480"/>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8" w:lineRule="exact"/>
        <w:rPr>
          <w:rFonts w:ascii="Arial" w:cs="Arial" w:eastAsia="Arial" w:hAnsi="Arial"/>
          <w:sz w:val="18"/>
          <w:szCs w:val="18"/>
          <w:color w:val="auto"/>
        </w:rPr>
      </w:pPr>
    </w:p>
    <w:p>
      <w:pPr>
        <w:ind w:left="500" w:hanging="480"/>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w:t>
      </w:r>
      <w:r>
        <w:rPr>
          <w:rFonts w:ascii="Arial" w:cs="Arial" w:eastAsia="Arial" w:hAnsi="Arial"/>
          <w:sz w:val="21"/>
          <w:szCs w:val="21"/>
          <w:color w:val="auto"/>
        </w:rPr>
        <w:t>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263525</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7" w:lineRule="exact"/>
        <w:rPr>
          <w:sz w:val="24"/>
          <w:szCs w:val="24"/>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200" w:lineRule="exact"/>
        <w:rPr>
          <w:sz w:val="24"/>
          <w:szCs w:val="24"/>
          <w:color w:val="auto"/>
        </w:rPr>
      </w:pPr>
    </w:p>
    <w:p>
      <w:pPr>
        <w:spacing w:after="0" w:line="259" w:lineRule="exact"/>
        <w:rPr>
          <w:sz w:val="24"/>
          <w:szCs w:val="24"/>
          <w:color w:val="auto"/>
        </w:rPr>
      </w:pPr>
    </w:p>
    <w:p>
      <w:pPr>
        <w:ind w:right="6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180" w:firstLine="648"/>
        <w:spacing w:after="0" w:line="277" w:lineRule="auto"/>
        <w:rPr>
          <w:sz w:val="20"/>
          <w:szCs w:val="20"/>
          <w:color w:val="auto"/>
        </w:rPr>
      </w:pPr>
      <w:r>
        <w:rPr>
          <w:rFonts w:ascii="Arial" w:cs="Arial" w:eastAsia="Arial" w:hAnsi="Arial"/>
          <w:sz w:val="18"/>
          <w:szCs w:val="18"/>
          <w:color w:val="auto"/>
        </w:rPr>
        <w:t>On February 23, 2006, Marvell Technology Group Ltd. (“Marvell”) issued a press release regarding its financial results for its fourth fiscal quarter and fiscal year ended January 28, 2006. The full text of Marvell’s press release is furnished herewith as Exhibit 99.1.</w:t>
      </w:r>
    </w:p>
    <w:p>
      <w:pPr>
        <w:spacing w:after="0" w:line="170" w:lineRule="exact"/>
        <w:rPr>
          <w:sz w:val="24"/>
          <w:szCs w:val="24"/>
          <w:color w:val="auto"/>
        </w:rPr>
      </w:pPr>
    </w:p>
    <w:p>
      <w:pPr>
        <w:jc w:val="both"/>
        <w:ind w:right="160" w:firstLine="648"/>
        <w:spacing w:after="0" w:line="312" w:lineRule="auto"/>
        <w:rPr>
          <w:sz w:val="20"/>
          <w:szCs w:val="20"/>
          <w:color w:val="auto"/>
        </w:rPr>
      </w:pPr>
      <w:r>
        <w:rPr>
          <w:rFonts w:ascii="Arial" w:cs="Arial" w:eastAsia="Arial" w:hAnsi="Arial"/>
          <w:sz w:val="16"/>
          <w:szCs w:val="16"/>
          <w:color w:val="auto"/>
        </w:rPr>
        <w:t>The following non-GAAP financial measures are included in the press release: pro forma non-GAAP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47" w:lineRule="exact"/>
        <w:rPr>
          <w:sz w:val="24"/>
          <w:szCs w:val="24"/>
          <w:color w:val="auto"/>
        </w:rPr>
      </w:pPr>
    </w:p>
    <w:p>
      <w:pPr>
        <w:jc w:val="both"/>
        <w:ind w:right="40" w:firstLine="648"/>
        <w:spacing w:after="0" w:line="259" w:lineRule="auto"/>
        <w:rPr>
          <w:sz w:val="20"/>
          <w:szCs w:val="20"/>
          <w:color w:val="auto"/>
        </w:rPr>
      </w:pPr>
      <w:r>
        <w:rPr>
          <w:rFonts w:ascii="Arial" w:cs="Arial" w:eastAsia="Arial" w:hAnsi="Arial"/>
          <w:sz w:val="18"/>
          <w:szCs w:val="18"/>
          <w:color w:val="auto"/>
        </w:rPr>
        <w:t>Marvell’s management believes this non-GAAP information is useful because it can enhance the understanding of the company’s ongoing economic performance, and Marvell therefore uses pro forma non-GAAP reporting internally to evaluate and manage the company’s operations. Marvell has chosen to provide this information to investors to enable them to perform comparisons of operating results in a manner similar to how company management analyzes operating results.</w:t>
      </w:r>
    </w:p>
    <w:p>
      <w:pPr>
        <w:spacing w:after="0" w:line="399" w:lineRule="exact"/>
        <w:rPr>
          <w:sz w:val="24"/>
          <w:szCs w:val="24"/>
          <w:color w:val="auto"/>
        </w:rPr>
      </w:pPr>
    </w:p>
    <w:p>
      <w:pPr>
        <w:spacing w:after="0"/>
        <w:tabs>
          <w:tab w:leader="none" w:pos="10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ectPr>
          <w:pgSz w:w="11900" w:h="16838" w:orient="portrait"/>
          <w:cols w:equalWidth="0" w:num="1">
            <w:col w:w="11380"/>
          </w:cols>
          <w:pgMar w:left="240" w:top="368" w:right="279" w:bottom="23" w:gutter="0" w:footer="0" w:header="0"/>
          <w:type w:val="continuous"/>
        </w:sectPr>
      </w:pPr>
    </w:p>
    <w:bookmarkStart w:id="1" w:name="page2"/>
    <w:bookmarkEnd w:id="1"/>
    <w:p>
      <w:pPr>
        <w:ind w:left="660"/>
        <w:spacing w:after="0"/>
        <w:rPr>
          <w:sz w:val="20"/>
          <w:szCs w:val="20"/>
          <w:color w:val="auto"/>
        </w:rPr>
      </w:pPr>
      <w:r>
        <w:rPr>
          <w:rFonts w:ascii="Arial" w:cs="Arial" w:eastAsia="Arial" w:hAnsi="Arial"/>
          <w:sz w:val="18"/>
          <w:szCs w:val="18"/>
          <w:b w:val="1"/>
          <w:bCs w:val="1"/>
          <w:color w:val="auto"/>
        </w:rPr>
        <w:t>(d) Exhibits</w:t>
      </w:r>
    </w:p>
    <w:p>
      <w:pPr>
        <w:spacing w:after="0" w:line="221"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400" w:type="dxa"/>
            <w:vAlign w:val="bottom"/>
            <w:gridSpan w:val="2"/>
          </w:tcPr>
          <w:p>
            <w:pPr>
              <w:jc w:val="center"/>
              <w:ind w:right="1300"/>
              <w:spacing w:after="0"/>
              <w:rPr>
                <w:sz w:val="20"/>
                <w:szCs w:val="20"/>
                <w:color w:val="auto"/>
              </w:rPr>
            </w:pPr>
            <w:r>
              <w:rPr>
                <w:rFonts w:ascii="Arial" w:cs="Arial" w:eastAsia="Arial" w:hAnsi="Arial"/>
                <w:sz w:val="14"/>
                <w:szCs w:val="14"/>
                <w:b w:val="1"/>
                <w:bCs w:val="1"/>
                <w:color w:val="auto"/>
                <w:w w:val="95"/>
              </w:rPr>
              <w:t>Exhibit No.</w:t>
            </w:r>
          </w:p>
        </w:tc>
        <w:tc>
          <w:tcPr>
            <w:tcW w:w="5180" w:type="dxa"/>
            <w:vAlign w:val="bottom"/>
          </w:tcPr>
          <w:p>
            <w:pPr>
              <w:ind w:left="20"/>
              <w:spacing w:after="0"/>
              <w:rPr>
                <w:sz w:val="20"/>
                <w:szCs w:val="20"/>
                <w:color w:val="auto"/>
              </w:rPr>
            </w:pPr>
            <w:r>
              <w:rPr>
                <w:rFonts w:ascii="Arial" w:cs="Arial" w:eastAsia="Arial" w:hAnsi="Arial"/>
                <w:sz w:val="14"/>
                <w:szCs w:val="14"/>
                <w:b w:val="1"/>
                <w:bCs w:val="1"/>
                <w:color w:val="auto"/>
              </w:rPr>
              <w:t>Description</w:t>
            </w:r>
          </w:p>
        </w:tc>
      </w:tr>
      <w:tr>
        <w:trPr>
          <w:trHeight w:val="426"/>
        </w:trPr>
        <w:tc>
          <w:tcPr>
            <w:tcW w:w="1100" w:type="dxa"/>
            <w:vAlign w:val="bottom"/>
            <w:tcBorders>
              <w:top w:val="single" w:sz="8" w:color="auto"/>
            </w:tcBorders>
          </w:tcPr>
          <w:p>
            <w:pPr>
              <w:jc w:val="right"/>
              <w:ind w:right="319"/>
              <w:spacing w:after="0"/>
              <w:rPr>
                <w:sz w:val="20"/>
                <w:szCs w:val="20"/>
                <w:color w:val="auto"/>
              </w:rPr>
            </w:pPr>
            <w:r>
              <w:rPr>
                <w:rFonts w:ascii="Arial" w:cs="Arial" w:eastAsia="Arial" w:hAnsi="Arial"/>
                <w:sz w:val="18"/>
                <w:szCs w:val="18"/>
                <w:color w:val="auto"/>
              </w:rPr>
              <w:t>99.1</w:t>
            </w:r>
          </w:p>
        </w:tc>
        <w:tc>
          <w:tcPr>
            <w:tcW w:w="1300" w:type="dxa"/>
            <w:vAlign w:val="bottom"/>
          </w:tcPr>
          <w:p>
            <w:pPr>
              <w:spacing w:after="0"/>
              <w:rPr>
                <w:sz w:val="24"/>
                <w:szCs w:val="24"/>
                <w:color w:val="auto"/>
              </w:rPr>
            </w:pPr>
          </w:p>
        </w:tc>
        <w:tc>
          <w:tcPr>
            <w:tcW w:w="518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Press Release dated February 23, 2006.</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7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23, 2006</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5140"/>
        <w:spacing w:after="0"/>
        <w:tabs>
          <w:tab w:leader="none" w:pos="55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3538220</wp:posOffset>
            </wp:positionH>
            <wp:positionV relativeFrom="paragraph">
              <wp:posOffset>-130810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 w:lineRule="exact"/>
        <w:rPr>
          <w:sz w:val="20"/>
          <w:szCs w:val="20"/>
          <w:color w:val="auto"/>
        </w:rPr>
      </w:pPr>
    </w:p>
    <w:p>
      <w:pPr>
        <w:jc w:val="center"/>
        <w:ind w:left="204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204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4740" w:type="dxa"/>
            <w:vAlign w:val="bottom"/>
          </w:tcPr>
          <w:p>
            <w:pPr>
              <w:jc w:val="right"/>
              <w:ind w:right="1954"/>
              <w:spacing w:after="0"/>
              <w:rPr>
                <w:sz w:val="20"/>
                <w:szCs w:val="20"/>
                <w:color w:val="auto"/>
              </w:rPr>
            </w:pPr>
            <w:r>
              <w:rPr>
                <w:rFonts w:ascii="Arial" w:cs="Arial" w:eastAsia="Arial" w:hAnsi="Arial"/>
                <w:sz w:val="18"/>
                <w:szCs w:val="18"/>
                <w:color w:val="auto"/>
              </w:rPr>
              <w:t>3</w:t>
            </w:r>
          </w:p>
        </w:tc>
        <w:tc>
          <w:tcPr>
            <w:tcW w:w="3640" w:type="dxa"/>
            <w:vAlign w:val="bottom"/>
          </w:tcPr>
          <w:p>
            <w:pPr>
              <w:spacing w:after="0"/>
              <w:rPr>
                <w:sz w:val="20"/>
                <w:szCs w:val="20"/>
                <w:color w:val="auto"/>
              </w:rPr>
            </w:pPr>
          </w:p>
        </w:tc>
      </w:tr>
      <w:tr>
        <w:trPr>
          <w:trHeight w:val="118"/>
        </w:trPr>
        <w:tc>
          <w:tcPr>
            <w:tcW w:w="66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c>
          <w:tcPr>
            <w:tcW w:w="4740" w:type="dxa"/>
            <w:vAlign w:val="bottom"/>
            <w:tcBorders>
              <w:bottom w:val="single" w:sz="8" w:color="808080"/>
            </w:tcBorders>
          </w:tcPr>
          <w:p>
            <w:pPr>
              <w:spacing w:after="0"/>
              <w:rPr>
                <w:sz w:val="10"/>
                <w:szCs w:val="10"/>
                <w:color w:val="auto"/>
              </w:rPr>
            </w:pPr>
          </w:p>
        </w:tc>
        <w:tc>
          <w:tcPr>
            <w:tcW w:w="3640" w:type="dxa"/>
            <w:vAlign w:val="bottom"/>
            <w:tcBorders>
              <w:bottom w:val="single" w:sz="8" w:color="808080"/>
            </w:tcBorders>
          </w:tcPr>
          <w:p>
            <w:pPr>
              <w:spacing w:after="0"/>
              <w:rPr>
                <w:sz w:val="10"/>
                <w:szCs w:val="10"/>
                <w:color w:val="auto"/>
              </w:rPr>
            </w:pPr>
          </w:p>
        </w:tc>
      </w:tr>
      <w:tr>
        <w:trPr>
          <w:trHeight w:val="564"/>
        </w:trPr>
        <w:tc>
          <w:tcPr>
            <w:tcW w:w="6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8380" w:type="dxa"/>
            <w:vAlign w:val="bottom"/>
            <w:gridSpan w:val="2"/>
          </w:tcPr>
          <w:p>
            <w:pPr>
              <w:jc w:val="center"/>
              <w:ind w:right="3080"/>
              <w:spacing w:after="0"/>
              <w:rPr>
                <w:sz w:val="20"/>
                <w:szCs w:val="20"/>
                <w:color w:val="auto"/>
              </w:rPr>
            </w:pPr>
            <w:r>
              <w:rPr>
                <w:rFonts w:ascii="Arial" w:cs="Arial" w:eastAsia="Arial" w:hAnsi="Arial"/>
                <w:sz w:val="18"/>
                <w:szCs w:val="18"/>
                <w:b w:val="1"/>
                <w:bCs w:val="1"/>
                <w:color w:val="auto"/>
                <w:w w:val="94"/>
              </w:rPr>
              <w:t>Exhibit Index</w:t>
            </w:r>
          </w:p>
        </w:tc>
      </w:tr>
      <w:tr>
        <w:trPr>
          <w:trHeight w:val="392"/>
        </w:trPr>
        <w:tc>
          <w:tcPr>
            <w:tcW w:w="660" w:type="dxa"/>
            <w:vAlign w:val="bottom"/>
          </w:tcPr>
          <w:p>
            <w:pPr>
              <w:spacing w:after="0"/>
              <w:rPr>
                <w:sz w:val="24"/>
                <w:szCs w:val="24"/>
                <w:color w:val="auto"/>
              </w:rPr>
            </w:pPr>
          </w:p>
        </w:tc>
        <w:tc>
          <w:tcPr>
            <w:tcW w:w="1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1300" w:type="dxa"/>
            <w:vAlign w:val="bottom"/>
          </w:tcPr>
          <w:p>
            <w:pPr>
              <w:spacing w:after="0"/>
              <w:rPr>
                <w:sz w:val="24"/>
                <w:szCs w:val="24"/>
                <w:color w:val="auto"/>
              </w:rPr>
            </w:pPr>
          </w:p>
        </w:tc>
        <w:tc>
          <w:tcPr>
            <w:tcW w:w="474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Description</w:t>
            </w:r>
          </w:p>
        </w:tc>
        <w:tc>
          <w:tcPr>
            <w:tcW w:w="3640" w:type="dxa"/>
            <w:vAlign w:val="bottom"/>
          </w:tcPr>
          <w:p>
            <w:pPr>
              <w:spacing w:after="0"/>
              <w:rPr>
                <w:sz w:val="24"/>
                <w:szCs w:val="24"/>
                <w:color w:val="auto"/>
              </w:rPr>
            </w:pPr>
          </w:p>
        </w:tc>
      </w:tr>
      <w:tr>
        <w:trPr>
          <w:trHeight w:val="426"/>
        </w:trPr>
        <w:tc>
          <w:tcPr>
            <w:tcW w:w="1760" w:type="dxa"/>
            <w:vAlign w:val="bottom"/>
            <w:gridSpan w:val="2"/>
          </w:tcPr>
          <w:p>
            <w:pPr>
              <w:jc w:val="right"/>
              <w:ind w:right="328"/>
              <w:spacing w:after="0"/>
              <w:rPr>
                <w:sz w:val="20"/>
                <w:szCs w:val="20"/>
                <w:color w:val="auto"/>
              </w:rPr>
            </w:pPr>
            <w:r>
              <w:rPr>
                <w:rFonts w:ascii="Arial" w:cs="Arial" w:eastAsia="Arial" w:hAnsi="Arial"/>
                <w:sz w:val="18"/>
                <w:szCs w:val="18"/>
                <w:color w:val="auto"/>
              </w:rPr>
              <w:t>99.1</w:t>
            </w:r>
          </w:p>
        </w:tc>
        <w:tc>
          <w:tcPr>
            <w:tcW w:w="1300" w:type="dxa"/>
            <w:vAlign w:val="bottom"/>
          </w:tcPr>
          <w:p>
            <w:pPr>
              <w:spacing w:after="0"/>
              <w:rPr>
                <w:sz w:val="24"/>
                <w:szCs w:val="24"/>
                <w:color w:val="auto"/>
              </w:rPr>
            </w:pPr>
          </w:p>
        </w:tc>
        <w:tc>
          <w:tcPr>
            <w:tcW w:w="8380" w:type="dxa"/>
            <w:vAlign w:val="bottom"/>
            <w:gridSpan w:val="2"/>
          </w:tcPr>
          <w:p>
            <w:pPr>
              <w:ind w:left="20"/>
              <w:spacing w:after="0"/>
              <w:rPr>
                <w:sz w:val="20"/>
                <w:szCs w:val="20"/>
                <w:color w:val="auto"/>
              </w:rPr>
            </w:pPr>
            <w:r>
              <w:rPr>
                <w:rFonts w:ascii="Arial" w:cs="Arial" w:eastAsia="Arial" w:hAnsi="Arial"/>
                <w:sz w:val="18"/>
                <w:szCs w:val="18"/>
                <w:color w:val="auto"/>
              </w:rPr>
              <w:t>Press Release dated February 23, 2006.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-904240</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-904240</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NEWS RELEASE</w:t>
      </w:r>
    </w:p>
    <w:p>
      <w:pPr>
        <w:spacing w:after="0" w:line="373"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Marvell</w:t>
      </w:r>
      <w:r>
        <w:rPr>
          <w:rFonts w:ascii="Arial" w:cs="Arial" w:eastAsia="Arial" w:hAnsi="Arial"/>
          <w:sz w:val="30"/>
          <w:szCs w:val="30"/>
          <w:b w:val="1"/>
          <w:bCs w:val="1"/>
          <w:color w:val="auto"/>
          <w:vertAlign w:val="superscript"/>
        </w:rPr>
        <w:t>®</w:t>
      </w:r>
      <w:r>
        <w:rPr>
          <w:rFonts w:ascii="Arial" w:cs="Arial" w:eastAsia="Arial" w:hAnsi="Arial"/>
          <w:sz w:val="18"/>
          <w:szCs w:val="18"/>
          <w:b w:val="1"/>
          <w:bCs w:val="1"/>
          <w:color w:val="auto"/>
        </w:rPr>
        <w:t xml:space="preserve"> Technology Group Ltd. Reports</w:t>
      </w:r>
    </w:p>
    <w:p>
      <w:pPr>
        <w:ind w:left="4060"/>
        <w:spacing w:after="0"/>
        <w:rPr>
          <w:sz w:val="20"/>
          <w:szCs w:val="20"/>
          <w:color w:val="auto"/>
        </w:rPr>
      </w:pPr>
      <w:r>
        <w:rPr>
          <w:rFonts w:ascii="Arial" w:cs="Arial" w:eastAsia="Arial" w:hAnsi="Arial"/>
          <w:sz w:val="18"/>
          <w:szCs w:val="18"/>
          <w:b w:val="1"/>
          <w:bCs w:val="1"/>
          <w:color w:val="auto"/>
        </w:rPr>
        <w:t>Record Fourth Quarter Fiscal 2006 Results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Marvell’s Board Approves a 2 for 1 Stock Split</w:t>
      </w:r>
    </w:p>
    <w:p>
      <w:pPr>
        <w:spacing w:after="0" w:line="229" w:lineRule="exact"/>
        <w:rPr>
          <w:sz w:val="20"/>
          <w:szCs w:val="20"/>
          <w:color w:val="auto"/>
        </w:rPr>
      </w:pPr>
    </w:p>
    <w:p>
      <w:pPr>
        <w:ind w:right="160"/>
        <w:spacing w:after="0" w:line="224" w:lineRule="auto"/>
        <w:rPr>
          <w:sz w:val="20"/>
          <w:szCs w:val="20"/>
          <w:color w:val="auto"/>
        </w:rPr>
      </w:pPr>
      <w:r>
        <w:rPr>
          <w:rFonts w:ascii="Arial" w:cs="Arial" w:eastAsia="Arial" w:hAnsi="Arial"/>
          <w:sz w:val="17"/>
          <w:szCs w:val="17"/>
          <w:color w:val="auto"/>
        </w:rPr>
        <w:t xml:space="preserve">Santa Clara, CA. (February 23, 2006) </w:t>
      </w:r>
      <w:r>
        <w:rPr>
          <w:rFonts w:ascii="Arial" w:cs="Arial" w:eastAsia="Arial" w:hAnsi="Arial"/>
          <w:sz w:val="17"/>
          <w:szCs w:val="17"/>
          <w:b w:val="1"/>
          <w:bCs w:val="1"/>
          <w:color w:val="auto"/>
        </w:rPr>
        <w:t>—</w:t>
      </w:r>
      <w:r>
        <w:rPr>
          <w:rFonts w:ascii="Arial" w:cs="Arial" w:eastAsia="Arial" w:hAnsi="Arial"/>
          <w:sz w:val="17"/>
          <w:szCs w:val="17"/>
          <w:color w:val="auto"/>
        </w:rPr>
        <w:t xml:space="preserve"> Marvell</w:t>
      </w:r>
      <w:r>
        <w:rPr>
          <w:rFonts w:ascii="Arial" w:cs="Arial" w:eastAsia="Arial" w:hAnsi="Arial"/>
          <w:sz w:val="28"/>
          <w:szCs w:val="28"/>
          <w:color w:val="auto"/>
          <w:vertAlign w:val="superscript"/>
        </w:rPr>
        <w:t>®</w:t>
      </w:r>
      <w:r>
        <w:rPr>
          <w:rFonts w:ascii="Arial" w:cs="Arial" w:eastAsia="Arial" w:hAnsi="Arial"/>
          <w:sz w:val="17"/>
          <w:szCs w:val="17"/>
          <w:color w:val="auto"/>
        </w:rPr>
        <w:t xml:space="preserve"> Technology Group Ltd. (NASDAQ: MRVL), the leader in development of storage, communications, and consumer silicon solutions, today reported financial results for its fourth fiscal quarter and year ended January 28, 2006.</w:t>
      </w:r>
    </w:p>
    <w:p>
      <w:pPr>
        <w:spacing w:after="0" w:line="202"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Net revenue for the fourth quarter of fiscal 2006 was a record $489.0 million, an increase of 43.7% over net revenue of $340.3 million for the fourth quarter of fiscal 2005 and a 14.8% sequential increase from net revenue of $426.0 million for the third quarter of fiscal 2006. Net income under generally accepted accounting principles (GAAP) was $97.5 million, or $0.30 per share (diluted), for the fourth quarter of fiscal 2006, compared with a net income under GAAP of $54.9 million, or $0.18 per share (diluted), for the fourth quarter of fiscal 2005.</w:t>
      </w:r>
    </w:p>
    <w:p>
      <w:pPr>
        <w:spacing w:after="0" w:line="187" w:lineRule="exact"/>
        <w:rPr>
          <w:sz w:val="20"/>
          <w:szCs w:val="20"/>
          <w:color w:val="auto"/>
        </w:rPr>
      </w:pPr>
    </w:p>
    <w:p>
      <w:pPr>
        <w:jc w:val="both"/>
        <w:ind w:right="120"/>
        <w:spacing w:after="0" w:line="264" w:lineRule="auto"/>
        <w:rPr>
          <w:sz w:val="20"/>
          <w:szCs w:val="20"/>
          <w:color w:val="auto"/>
        </w:rPr>
      </w:pPr>
      <w:r>
        <w:rPr>
          <w:rFonts w:ascii="Arial" w:cs="Arial" w:eastAsia="Arial" w:hAnsi="Arial"/>
          <w:sz w:val="18"/>
          <w:szCs w:val="18"/>
          <w:color w:val="auto"/>
        </w:rPr>
        <w:t>Net revenue for the year ended January 28, 2006 was $1,670.3 million, an increase of 36.4% over net revenue of $1,224.6 million for the year ended January 29, 2005. Net income under GAAP was $331.4 million, or $1.05 per share (diluted), for the year ended January 28, 2006, compared with a net income under GAAP of $141.7 million, or $0.47 per share (diluted), for the year ended January 29, 2005.</w:t>
      </w:r>
    </w:p>
    <w:p>
      <w:pPr>
        <w:spacing w:after="0" w:line="181" w:lineRule="exact"/>
        <w:rPr>
          <w:sz w:val="20"/>
          <w:szCs w:val="20"/>
          <w:color w:val="auto"/>
        </w:rPr>
      </w:pPr>
    </w:p>
    <w:p>
      <w:pPr>
        <w:ind w:right="200"/>
        <w:spacing w:after="0" w:line="273" w:lineRule="auto"/>
        <w:rPr>
          <w:sz w:val="20"/>
          <w:szCs w:val="20"/>
          <w:color w:val="auto"/>
        </w:rPr>
      </w:pPr>
      <w:r>
        <w:rPr>
          <w:rFonts w:ascii="Arial" w:cs="Arial" w:eastAsia="Arial" w:hAnsi="Arial"/>
          <w:sz w:val="17"/>
          <w:szCs w:val="17"/>
          <w:color w:val="auto"/>
        </w:rPr>
        <w:t>Marvell reports net income and basic and diluted net income per share in accordance with GAAP and additionally on a non-GAAP basis, referred to as pro forma non-GAAP. Pro forma non-GAAP net income, where applicable, excludes the effect of amortization and write-off of acquired intangible assets and other, acquisition related charges and amortization of stock-based compensation. Pro forma non-GAAP net income was $134.6 million, or $0.42 per share (diluted), for the fourth quarter of fiscal 2006, compared with pro forma non-GAAP net income of $75.2 million, or $0.24 per share (diluted), for the fourth quarter of fiscal 2005. Shares used to compute GAAP and pro forma non-GAAP net income per share for the fourth quarter ended January 28, 2006 increased to 322.6 million, compared with 308.3 million for the fourth quarter ended January 29, 2005.</w:t>
      </w:r>
    </w:p>
    <w:p>
      <w:pPr>
        <w:spacing w:after="0" w:line="178"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Pro forma non-GAAP net income was $429.6 million, or $1.36 per share (diluted), for the year ended January 28, 2006, compared with pro forma non-GAAP net income of $250.6 million, or $0.84 per share (diluted), for the year ended January 29, 2005. Shares used in computing GAAP and pro forma non-GAAP net income per share for the year ended January 28, 2006 increased to 315.7 million, compared with 299.5 million for the year ended January 29, 2005.</w:t>
      </w:r>
    </w:p>
    <w:p>
      <w:pPr>
        <w:spacing w:after="0" w:line="147"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These non-GAAP measures should be considered in addition to, and not as a substitute for, the results prepared in accordance with GAAP. A reconciliation of GAAP net income to pro forma non-GAAP net income is included in the financial statements portion of this release as well as on our website in the Investors section at www.marvell.com.</w:t>
      </w:r>
    </w:p>
    <w:p>
      <w:pPr>
        <w:spacing w:after="0" w:line="181" w:lineRule="exact"/>
        <w:rPr>
          <w:sz w:val="20"/>
          <w:szCs w:val="20"/>
          <w:color w:val="auto"/>
        </w:rPr>
      </w:pPr>
    </w:p>
    <w:p>
      <w:pPr>
        <w:ind w:right="60"/>
        <w:spacing w:after="0" w:line="312"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168910</wp:posOffset>
            </wp:positionV>
            <wp:extent cx="7267575"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both"/>
        <w:ind w:right="80"/>
        <w:spacing w:after="0" w:line="312" w:lineRule="auto"/>
        <w:rPr>
          <w:sz w:val="20"/>
          <w:szCs w:val="20"/>
          <w:color w:val="auto"/>
        </w:rPr>
      </w:pPr>
      <w:r>
        <w:rPr>
          <w:rFonts w:ascii="Arial" w:cs="Arial" w:eastAsia="Arial" w:hAnsi="Arial"/>
          <w:sz w:val="16"/>
          <w:szCs w:val="16"/>
          <w:color w:val="auto"/>
        </w:rPr>
        <w:t>“We are pleased to report the results of another outstanding year and fourth quarter for Marvell” stated Dr. Sehat Sutardja, Marvell’s President and CEO. “As we begin fiscal 2007, we have positioned the company to enjoy continued strong growth and success alongside our customers. We also remain very focused on continuing to expand upon our leadership position as we broaden our world class technology and solutions for both the enterprise and consumer markets.”</w:t>
      </w:r>
    </w:p>
    <w:p>
      <w:pPr>
        <w:spacing w:after="0" w:line="150" w:lineRule="exact"/>
        <w:rPr>
          <w:sz w:val="20"/>
          <w:szCs w:val="20"/>
          <w:color w:val="auto"/>
        </w:rPr>
      </w:pPr>
    </w:p>
    <w:p>
      <w:pPr>
        <w:ind w:right="180"/>
        <w:spacing w:after="0" w:line="227" w:lineRule="auto"/>
        <w:rPr>
          <w:sz w:val="20"/>
          <w:szCs w:val="20"/>
          <w:color w:val="auto"/>
        </w:rPr>
      </w:pPr>
      <w:r>
        <w:rPr>
          <w:rFonts w:ascii="Arial" w:cs="Arial" w:eastAsia="Arial" w:hAnsi="Arial"/>
          <w:sz w:val="18"/>
          <w:szCs w:val="18"/>
          <w:color w:val="auto"/>
        </w:rPr>
        <w:t>Revenue for the fourth quarter and fiscal 2006 were both records for Marvell and the quarterly revenue increase represented the 33</w:t>
      </w:r>
      <w:r>
        <w:rPr>
          <w:rFonts w:ascii="Arial" w:cs="Arial" w:eastAsia="Arial" w:hAnsi="Arial"/>
          <w:sz w:val="30"/>
          <w:szCs w:val="30"/>
          <w:color w:val="auto"/>
          <w:vertAlign w:val="superscript"/>
        </w:rPr>
        <w:t>rd</w:t>
      </w:r>
      <w:r>
        <w:rPr>
          <w:rFonts w:ascii="Arial" w:cs="Arial" w:eastAsia="Arial" w:hAnsi="Arial"/>
          <w:sz w:val="18"/>
          <w:szCs w:val="18"/>
          <w:color w:val="auto"/>
        </w:rPr>
        <w:t xml:space="preserve"> consecutive quarter of sequential revenue growth. During the quarter, Marvell continued to generate strong positive cash flows and reported its highest level of cash, cash equivalents and short-term investments with a balance of $921.0 million. The following is a review of some of the recent highlights that occurred since last quarter’s earnings release:</w:t>
      </w:r>
    </w:p>
    <w:p>
      <w:pPr>
        <w:spacing w:after="0" w:line="204" w:lineRule="exact"/>
        <w:rPr>
          <w:sz w:val="20"/>
          <w:szCs w:val="20"/>
          <w:color w:val="auto"/>
        </w:rPr>
      </w:pPr>
    </w:p>
    <w:p>
      <w:pPr>
        <w:ind w:left="980" w:right="80" w:hanging="324"/>
        <w:spacing w:after="0" w:line="297" w:lineRule="auto"/>
        <w:tabs>
          <w:tab w:leader="none" w:pos="984" w:val="left"/>
        </w:tabs>
        <w:numPr>
          <w:ilvl w:val="0"/>
          <w:numId w:val="2"/>
        </w:numPr>
        <w:rPr>
          <w:rFonts w:ascii="Arial" w:cs="Arial" w:eastAsia="Arial" w:hAnsi="Arial"/>
          <w:sz w:val="16"/>
          <w:szCs w:val="16"/>
          <w:color w:val="auto"/>
        </w:rPr>
      </w:pPr>
      <w:r>
        <w:rPr>
          <w:rFonts w:ascii="Arial" w:cs="Arial" w:eastAsia="Arial" w:hAnsi="Arial"/>
          <w:sz w:val="16"/>
          <w:szCs w:val="16"/>
          <w:color w:val="auto"/>
        </w:rPr>
        <w:t>In January at the Consumer Electronics Show (CES) in Las Vegas, Marvell demonstrated its latest high performance wireless local area networking (WLAN) chipset which is fully compliant to the IEEE 802.11n draft specification. The Marvell 88W836X family leverages the Marvell Total System Solution for the industry’s highest TCP/IP and layer 3 throughput with special optimizations for high reliability video and media transport. This first to market family allows scaleable gateway and access point solutions delivering data rates between 300 to 600 Mbps and incorporates Marvell’s proprietary Feroceon™ ARM CPU architecture to maximize performance and minimize power usage.</w:t>
      </w:r>
    </w:p>
    <w:p>
      <w:pPr>
        <w:spacing w:after="0" w:line="158" w:lineRule="exact"/>
        <w:rPr>
          <w:rFonts w:ascii="Arial" w:cs="Arial" w:eastAsia="Arial" w:hAnsi="Arial"/>
          <w:sz w:val="16"/>
          <w:szCs w:val="16"/>
          <w:color w:val="auto"/>
        </w:rPr>
      </w:pPr>
    </w:p>
    <w:p>
      <w:pPr>
        <w:ind w:left="980" w:right="40" w:hanging="324"/>
        <w:spacing w:after="0" w:line="255" w:lineRule="auto"/>
        <w:tabs>
          <w:tab w:leader="none" w:pos="984" w:val="left"/>
        </w:tabs>
        <w:numPr>
          <w:ilvl w:val="0"/>
          <w:numId w:val="2"/>
        </w:numPr>
        <w:rPr>
          <w:rFonts w:ascii="Arial" w:cs="Arial" w:eastAsia="Arial" w:hAnsi="Arial"/>
          <w:sz w:val="18"/>
          <w:szCs w:val="18"/>
          <w:color w:val="auto"/>
        </w:rPr>
      </w:pPr>
      <w:r>
        <w:rPr>
          <w:rFonts w:ascii="Arial" w:cs="Arial" w:eastAsia="Arial" w:hAnsi="Arial"/>
          <w:sz w:val="18"/>
          <w:szCs w:val="18"/>
          <w:color w:val="auto"/>
        </w:rPr>
        <w:t>Also at CES in January, Marvell announced the Marvell Orion product family which powers a range of media vault platforms, each capable of delivering simultaneous streams of rich, multimedia content seamlessly across wired and wireless networks. Orion based media vault platforms allow users to instantly access rich multimedia and data content throughout the home including multiple streams of HDTV. With an outstanding price/performance advantage, the scalable storage, networking and smart media processing architecture of Orion is targeted at standalone home storage appliances, integrated storage appliances such as access points and digital video recorders and also next generation broadband service provider applications.</w:t>
      </w:r>
    </w:p>
    <w:p>
      <w:pPr>
        <w:spacing w:after="0" w:line="193" w:lineRule="exact"/>
        <w:rPr>
          <w:rFonts w:ascii="Arial" w:cs="Arial" w:eastAsia="Arial" w:hAnsi="Arial"/>
          <w:sz w:val="18"/>
          <w:szCs w:val="18"/>
          <w:color w:val="auto"/>
        </w:rPr>
      </w:pPr>
    </w:p>
    <w:p>
      <w:pPr>
        <w:ind w:left="980" w:right="300" w:hanging="324"/>
        <w:spacing w:after="0" w:line="277" w:lineRule="auto"/>
        <w:tabs>
          <w:tab w:leader="none" w:pos="984" w:val="left"/>
        </w:tabs>
        <w:numPr>
          <w:ilvl w:val="0"/>
          <w:numId w:val="2"/>
        </w:numPr>
        <w:rPr>
          <w:rFonts w:ascii="Arial" w:cs="Arial" w:eastAsia="Arial" w:hAnsi="Arial"/>
          <w:sz w:val="18"/>
          <w:szCs w:val="18"/>
          <w:color w:val="auto"/>
        </w:rPr>
      </w:pPr>
      <w:r>
        <w:rPr>
          <w:rFonts w:ascii="Arial" w:cs="Arial" w:eastAsia="Arial" w:hAnsi="Arial"/>
          <w:sz w:val="18"/>
          <w:szCs w:val="18"/>
          <w:color w:val="auto"/>
        </w:rPr>
        <w:t>In December, Marvell was honored to be recognized at the Fabless Semiconductor Association’s annual awards dinner with three prestigious awards, including the Most Respected Public Fabless Company award.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Marvell’s Board Approves a 2 for 1 Stock Split</w:t>
      </w:r>
    </w:p>
    <w:p>
      <w:pPr>
        <w:spacing w:after="0" w:line="225"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Additionally, Marvell’s Board of Directors has approved a 2 for 1 stock split of the Company’s common stock, to be effected pursuant to the issuance of additional shares. The stock split is subject to shareholder approval of an increase in the Company’s authorized share capital at the Company’s 2006 Annual General Meeting tentatively scheduled for June 2006. If approved by Marvell’s shareholders, Marvell expects the declaration and payment of the additional shares to occur within 30 days following the Annual General Meeting.</w:t>
      </w:r>
    </w:p>
    <w:p>
      <w:pPr>
        <w:sectPr>
          <w:pgSz w:w="11900" w:h="16838" w:orient="portrait"/>
          <w:cols w:equalWidth="0" w:num="1">
            <w:col w:w="11420"/>
          </w:cols>
          <w:pgMar w:left="240" w:top="121" w:right="239" w:bottom="0" w:gutter="0" w:footer="0" w:header="0"/>
        </w:sectPr>
      </w:pPr>
    </w:p>
    <w:bookmarkStart w:id="3" w:name="page4"/>
    <w:bookmarkEnd w:id="3"/>
    <w:p>
      <w:pPr>
        <w:ind w:right="220"/>
        <w:spacing w:after="0" w:line="279" w:lineRule="auto"/>
        <w:rPr>
          <w:sz w:val="20"/>
          <w:szCs w:val="20"/>
          <w:color w:val="auto"/>
        </w:rPr>
      </w:pPr>
      <w:r>
        <w:rPr>
          <w:rFonts w:ascii="Arial" w:cs="Arial" w:eastAsia="Arial" w:hAnsi="Arial"/>
          <w:sz w:val="17"/>
          <w:szCs w:val="17"/>
          <w:color w:val="auto"/>
        </w:rPr>
        <w:t>Marvell will be conducting a conference call today at 1:45 p.m. PST to discuss its fourth quarter financial results. To listen to the conference call, investors can dial (706) 679-0800 approximately ten minutes prior to the initiation of the teleconference and refer to conference code 4145587. Replay of the conference call will be available until March 2, 2006 at midnight PST by dialing (706) 645-9291. The conference call will also be available via the web at www.marvell.com. Please visit the Investor Events section. Replay on the Internet will be available until February 23,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184785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7" w:lineRule="exact"/>
        <w:rPr>
          <w:sz w:val="20"/>
          <w:szCs w:val="20"/>
          <w:color w:val="auto"/>
        </w:rPr>
      </w:pPr>
    </w:p>
    <w:p>
      <w:pPr>
        <w:ind w:right="160"/>
        <w:spacing w:after="0" w:line="252" w:lineRule="auto"/>
        <w:rPr>
          <w:sz w:val="20"/>
          <w:szCs w:val="20"/>
          <w:color w:val="auto"/>
        </w:rPr>
      </w:pPr>
      <w:r>
        <w:rPr>
          <w:rFonts w:ascii="Arial" w:cs="Arial" w:eastAsia="Arial" w:hAnsi="Arial"/>
          <w:sz w:val="18"/>
          <w:szCs w:val="18"/>
          <w:color w:val="auto"/>
        </w:rPr>
        <w:t>Marvell (NASDAQ: MRVL) is the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www.marvell.com.</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7"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continued growth and success, our leadership position, continued growth and expansion of our solutions for enterprise and consumer markets and the anticipated stock split in the form of a stock dividend. Statements that refer to, or are based on projections, uncertain events or assumptions also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cost and successful completion of development and volume production of the Company’s products, end-customer qualification and adoption, the timing, pricing, rescheduling, or cancellation of orders, the Company’s ability to complete, integrate effectively and obtain the expected benefits of its recent and pending acquisitions, and the approval of shareholders of the increase in authorized share capital. For other factors that could cause Marvell’s results to vary from expectations, please see the sections titled “Additional Factors That May Affect Future Results” in Marvell’s quarterly report on Form 10-Q for the fiscal quarter ended October 29, 2005 and other factors detailed from time to time in Marvell’s filings with the Securities and Exchange Commission. We undertake no obligation to revise or update publicly any forward-looking statements.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0"/>
          <w:szCs w:val="30"/>
          <w:i w:val="1"/>
          <w:iCs w:val="1"/>
          <w:color w:val="auto"/>
          <w:vertAlign w:val="superscript"/>
        </w:rPr>
        <w:t>®</w:t>
      </w:r>
      <w:r>
        <w:rPr>
          <w:rFonts w:ascii="Arial" w:cs="Arial" w:eastAsia="Arial" w:hAnsi="Arial"/>
          <w:sz w:val="18"/>
          <w:szCs w:val="18"/>
          <w:i w:val="1"/>
          <w:iCs w:val="1"/>
          <w:color w:val="auto"/>
        </w:rPr>
        <w:t xml:space="preserve">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154305</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Statements of Income</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580" w:type="dxa"/>
            <w:vAlign w:val="bottom"/>
            <w:gridSpan w:val="5"/>
          </w:tcPr>
          <w:p>
            <w:pPr>
              <w:ind w:left="8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000" w:type="dxa"/>
            <w:vAlign w:val="bottom"/>
            <w:gridSpan w:val="3"/>
          </w:tcPr>
          <w:p>
            <w:pPr>
              <w:jc w:val="right"/>
              <w:ind w:right="30"/>
              <w:spacing w:after="0"/>
              <w:rPr>
                <w:sz w:val="20"/>
                <w:szCs w:val="20"/>
                <w:color w:val="auto"/>
              </w:rPr>
            </w:pPr>
            <w:r>
              <w:rPr>
                <w:rFonts w:ascii="Arial" w:cs="Arial" w:eastAsia="Arial" w:hAnsi="Arial"/>
                <w:sz w:val="14"/>
                <w:szCs w:val="14"/>
                <w:b w:val="1"/>
                <w:bCs w:val="1"/>
                <w:color w:val="auto"/>
              </w:rPr>
              <w:t>Year Ended</w:t>
            </w:r>
          </w:p>
        </w:tc>
        <w:tc>
          <w:tcPr>
            <w:tcW w:w="1320" w:type="dxa"/>
            <w:vAlign w:val="bottom"/>
          </w:tcPr>
          <w:p>
            <w:pPr>
              <w:spacing w:after="0"/>
              <w:rPr>
                <w:sz w:val="14"/>
                <w:szCs w:val="14"/>
                <w:color w:val="auto"/>
              </w:rPr>
            </w:pPr>
          </w:p>
        </w:tc>
        <w:tc>
          <w:tcPr>
            <w:tcW w:w="300" w:type="dxa"/>
            <w:vAlign w:val="bottom"/>
          </w:tcPr>
          <w:p>
            <w:pPr>
              <w:spacing w:after="0"/>
              <w:rPr>
                <w:sz w:val="14"/>
                <w:szCs w:val="14"/>
                <w:color w:val="auto"/>
              </w:rPr>
            </w:pPr>
          </w:p>
        </w:tc>
      </w:tr>
      <w:tr>
        <w:trPr>
          <w:trHeight w:val="119"/>
        </w:trPr>
        <w:tc>
          <w:tcPr>
            <w:tcW w:w="20" w:type="dxa"/>
            <w:vAlign w:val="bottom"/>
          </w:tcPr>
          <w:p>
            <w:pPr>
              <w:spacing w:after="0"/>
              <w:rPr>
                <w:sz w:val="10"/>
                <w:szCs w:val="10"/>
                <w:color w:val="auto"/>
              </w:rPr>
            </w:pPr>
          </w:p>
        </w:tc>
        <w:tc>
          <w:tcPr>
            <w:tcW w:w="3640" w:type="dxa"/>
            <w:vAlign w:val="bottom"/>
          </w:tcPr>
          <w:p>
            <w:pPr>
              <w:spacing w:after="0"/>
              <w:rPr>
                <w:sz w:val="10"/>
                <w:szCs w:val="10"/>
                <w:color w:val="auto"/>
              </w:rPr>
            </w:pPr>
          </w:p>
        </w:tc>
        <w:tc>
          <w:tcPr>
            <w:tcW w:w="300" w:type="dxa"/>
            <w:vAlign w:val="bottom"/>
            <w:tcBorders>
              <w:top w:val="single" w:sz="8" w:color="auto"/>
            </w:tcBorders>
          </w:tcPr>
          <w:p>
            <w:pPr>
              <w:spacing w:after="0"/>
              <w:rPr>
                <w:sz w:val="10"/>
                <w:szCs w:val="10"/>
                <w:color w:val="auto"/>
              </w:rPr>
            </w:pPr>
          </w:p>
        </w:tc>
        <w:tc>
          <w:tcPr>
            <w:tcW w:w="1640" w:type="dxa"/>
            <w:vAlign w:val="bottom"/>
            <w:tcBorders>
              <w:top w:val="single" w:sz="8" w:color="auto"/>
            </w:tcBorders>
            <w:gridSpan w:val="2"/>
          </w:tcPr>
          <w:p>
            <w:pPr>
              <w:ind w:left="180"/>
              <w:spacing w:after="0" w:line="119" w:lineRule="exact"/>
              <w:rPr>
                <w:sz w:val="20"/>
                <w:szCs w:val="20"/>
                <w:color w:val="auto"/>
              </w:rPr>
            </w:pPr>
            <w:r>
              <w:rPr>
                <w:rFonts w:ascii="Arial" w:cs="Arial" w:eastAsia="Arial" w:hAnsi="Arial"/>
                <w:sz w:val="13"/>
                <w:szCs w:val="13"/>
                <w:b w:val="1"/>
                <w:bCs w:val="1"/>
                <w:color w:val="auto"/>
              </w:rPr>
              <w:t>January 28,</w:t>
            </w:r>
          </w:p>
        </w:tc>
        <w:tc>
          <w:tcPr>
            <w:tcW w:w="280" w:type="dxa"/>
            <w:vAlign w:val="bottom"/>
            <w:tcBorders>
              <w:top w:val="single" w:sz="8" w:color="auto"/>
            </w:tcBorders>
          </w:tcPr>
          <w:p>
            <w:pPr>
              <w:spacing w:after="0"/>
              <w:rPr>
                <w:sz w:val="10"/>
                <w:szCs w:val="10"/>
                <w:color w:val="auto"/>
              </w:rPr>
            </w:pPr>
          </w:p>
        </w:tc>
        <w:tc>
          <w:tcPr>
            <w:tcW w:w="1360" w:type="dxa"/>
            <w:vAlign w:val="bottom"/>
            <w:tcBorders>
              <w:top w:val="single" w:sz="8" w:color="auto"/>
            </w:tcBorders>
          </w:tcPr>
          <w:p>
            <w:pPr>
              <w:jc w:val="right"/>
              <w:ind w:right="372"/>
              <w:spacing w:after="0" w:line="119" w:lineRule="exact"/>
              <w:rPr>
                <w:sz w:val="20"/>
                <w:szCs w:val="20"/>
                <w:color w:val="auto"/>
              </w:rPr>
            </w:pPr>
            <w:r>
              <w:rPr>
                <w:rFonts w:ascii="Arial" w:cs="Arial" w:eastAsia="Arial" w:hAnsi="Arial"/>
                <w:sz w:val="13"/>
                <w:szCs w:val="13"/>
                <w:b w:val="1"/>
                <w:bCs w:val="1"/>
                <w:color w:val="auto"/>
              </w:rPr>
              <w:t>January 29,</w:t>
            </w:r>
          </w:p>
        </w:tc>
        <w:tc>
          <w:tcPr>
            <w:tcW w:w="30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660" w:type="dxa"/>
            <w:vAlign w:val="bottom"/>
            <w:tcBorders>
              <w:top w:val="single" w:sz="8" w:color="auto"/>
            </w:tcBorders>
            <w:gridSpan w:val="2"/>
          </w:tcPr>
          <w:p>
            <w:pPr>
              <w:ind w:left="180"/>
              <w:spacing w:after="0" w:line="119" w:lineRule="exact"/>
              <w:rPr>
                <w:sz w:val="20"/>
                <w:szCs w:val="20"/>
                <w:color w:val="auto"/>
              </w:rPr>
            </w:pPr>
            <w:r>
              <w:rPr>
                <w:rFonts w:ascii="Arial" w:cs="Arial" w:eastAsia="Arial" w:hAnsi="Arial"/>
                <w:sz w:val="13"/>
                <w:szCs w:val="13"/>
                <w:b w:val="1"/>
                <w:bCs w:val="1"/>
                <w:color w:val="auto"/>
              </w:rPr>
              <w:t>January 28,</w:t>
            </w:r>
          </w:p>
        </w:tc>
        <w:tc>
          <w:tcPr>
            <w:tcW w:w="34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right"/>
              <w:ind w:right="372"/>
              <w:spacing w:after="0" w:line="119" w:lineRule="exact"/>
              <w:rPr>
                <w:sz w:val="20"/>
                <w:szCs w:val="20"/>
                <w:color w:val="auto"/>
              </w:rPr>
            </w:pPr>
            <w:r>
              <w:rPr>
                <w:rFonts w:ascii="Arial" w:cs="Arial" w:eastAsia="Arial" w:hAnsi="Arial"/>
                <w:sz w:val="13"/>
                <w:szCs w:val="13"/>
                <w:b w:val="1"/>
                <w:bCs w:val="1"/>
                <w:color w:val="auto"/>
              </w:rPr>
              <w:t>January 29,</w:t>
            </w:r>
          </w:p>
        </w:tc>
        <w:tc>
          <w:tcPr>
            <w:tcW w:w="3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tcPr>
          <w:p>
            <w:pPr>
              <w:jc w:val="right"/>
              <w:ind w:right="59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tcPr>
          <w:p>
            <w:pPr>
              <w:jc w:val="right"/>
              <w:ind w:right="592"/>
              <w:spacing w:after="0"/>
              <w:rPr>
                <w:sz w:val="20"/>
                <w:szCs w:val="20"/>
                <w:color w:val="auto"/>
              </w:rPr>
            </w:pPr>
            <w:r>
              <w:rPr>
                <w:rFonts w:ascii="Arial" w:cs="Arial" w:eastAsia="Arial" w:hAnsi="Arial"/>
                <w:sz w:val="14"/>
                <w:szCs w:val="14"/>
                <w:b w:val="1"/>
                <w:bCs w:val="1"/>
                <w:color w:val="auto"/>
              </w:rPr>
              <w:t>2005</w:t>
            </w:r>
          </w:p>
        </w:tc>
        <w:tc>
          <w:tcPr>
            <w:tcW w:w="30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tcPr>
          <w:p>
            <w:pPr>
              <w:jc w:val="right"/>
              <w:ind w:right="59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tcPr>
          <w:p>
            <w:pPr>
              <w:jc w:val="right"/>
              <w:ind w:right="592"/>
              <w:spacing w:after="0"/>
              <w:rPr>
                <w:sz w:val="20"/>
                <w:szCs w:val="20"/>
                <w:color w:val="auto"/>
              </w:rPr>
            </w:pPr>
            <w:r>
              <w:rPr>
                <w:rFonts w:ascii="Arial" w:cs="Arial" w:eastAsia="Arial" w:hAnsi="Arial"/>
                <w:sz w:val="14"/>
                <w:szCs w:val="14"/>
                <w:b w:val="1"/>
                <w:bCs w:val="1"/>
                <w:color w:val="auto"/>
              </w:rPr>
              <w:t>2005</w:t>
            </w:r>
          </w:p>
        </w:tc>
        <w:tc>
          <w:tcPr>
            <w:tcW w:w="3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3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489,016</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340,266</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1,670,266</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1,224,580</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220,666</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162,756</w:t>
            </w:r>
          </w:p>
        </w:tc>
        <w:tc>
          <w:tcPr>
            <w:tcW w:w="30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776,633</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581,757</w:t>
            </w:r>
          </w:p>
        </w:tc>
        <w:tc>
          <w:tcPr>
            <w:tcW w:w="3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268,350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177,510</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893,633</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642,823</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Research and development</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88,747</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69,575</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311,498</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263,261</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200"/>
              <w:spacing w:after="0"/>
              <w:rPr>
                <w:sz w:val="20"/>
                <w:szCs w:val="20"/>
                <w:color w:val="auto"/>
              </w:rPr>
            </w:pPr>
            <w:r>
              <w:rPr>
                <w:rFonts w:ascii="Arial" w:cs="Arial" w:eastAsia="Arial" w:hAnsi="Arial"/>
                <w:sz w:val="18"/>
                <w:szCs w:val="18"/>
                <w:color w:val="auto"/>
              </w:rPr>
              <w:t>Selling and marketing</w:t>
            </w:r>
          </w:p>
        </w:tc>
        <w:tc>
          <w:tcPr>
            <w:tcW w:w="3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24,924</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18,604</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88,822</w:t>
            </w: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76,570</w:t>
            </w:r>
          </w:p>
        </w:tc>
        <w:tc>
          <w:tcPr>
            <w:tcW w:w="3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General and administrative</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8,391</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35,397</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32,220</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200"/>
              <w:spacing w:after="0"/>
              <w:rPr>
                <w:sz w:val="20"/>
                <w:szCs w:val="20"/>
                <w:color w:val="auto"/>
              </w:rPr>
            </w:pPr>
            <w:r>
              <w:rPr>
                <w:rFonts w:ascii="Arial" w:cs="Arial" w:eastAsia="Arial" w:hAnsi="Arial"/>
                <w:sz w:val="18"/>
                <w:szCs w:val="18"/>
                <w:color w:val="auto"/>
              </w:rPr>
              <w:t>Amortization of stock-based compensation</w:t>
            </w:r>
          </w:p>
        </w:tc>
        <w:tc>
          <w:tcPr>
            <w:tcW w:w="3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303</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480</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2,156</w:t>
            </w: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3,977</w:t>
            </w:r>
          </w:p>
        </w:tc>
        <w:tc>
          <w:tcPr>
            <w:tcW w:w="300" w:type="dxa"/>
            <w:vAlign w:val="bottom"/>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640" w:type="dxa"/>
            <w:vAlign w:val="bottom"/>
            <w:shd w:val="clear" w:color="auto" w:fill="CCEEFF"/>
          </w:tcPr>
          <w:p>
            <w:pPr>
              <w:ind w:left="200"/>
              <w:spacing w:after="0" w:line="201" w:lineRule="exact"/>
              <w:rPr>
                <w:sz w:val="20"/>
                <w:szCs w:val="20"/>
                <w:color w:val="auto"/>
              </w:rPr>
            </w:pPr>
            <w:r>
              <w:rPr>
                <w:rFonts w:ascii="Arial" w:cs="Arial" w:eastAsia="Arial" w:hAnsi="Arial"/>
                <w:sz w:val="18"/>
                <w:szCs w:val="18"/>
                <w:color w:val="auto"/>
              </w:rPr>
              <w:t>Amortization/write-off of acquired</w:t>
            </w:r>
          </w:p>
        </w:tc>
        <w:tc>
          <w:tcPr>
            <w:tcW w:w="300" w:type="dxa"/>
            <w:vAlign w:val="bottom"/>
            <w:shd w:val="clear" w:color="auto" w:fill="CCEEFF"/>
          </w:tcPr>
          <w:p>
            <w:pPr>
              <w:spacing w:after="0"/>
              <w:rPr>
                <w:sz w:val="17"/>
                <w:szCs w:val="17"/>
                <w:color w:val="auto"/>
              </w:rPr>
            </w:pPr>
          </w:p>
        </w:tc>
        <w:tc>
          <w:tcPr>
            <w:tcW w:w="13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6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intangible assets and other</w:t>
            </w:r>
          </w:p>
        </w:tc>
        <w:tc>
          <w:tcPr>
            <w:tcW w:w="300" w:type="dxa"/>
            <w:vAlign w:val="bottom"/>
            <w:shd w:val="clear" w:color="auto" w:fill="CCEEFF"/>
          </w:tcPr>
          <w:p>
            <w:pPr>
              <w:spacing w:after="0"/>
              <w:rPr>
                <w:sz w:val="20"/>
                <w:szCs w:val="20"/>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32,480</w:t>
            </w:r>
          </w:p>
        </w:tc>
        <w:tc>
          <w:tcPr>
            <w:tcW w:w="2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3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91,738</w:t>
            </w: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102,534</w:t>
            </w:r>
          </w:p>
        </w:tc>
        <w:tc>
          <w:tcPr>
            <w:tcW w:w="300" w:type="dxa"/>
            <w:vAlign w:val="bottom"/>
            <w:shd w:val="clear" w:color="auto" w:fill="CCEEFF"/>
          </w:tcPr>
          <w:p>
            <w:pPr>
              <w:spacing w:after="0"/>
              <w:rPr>
                <w:sz w:val="20"/>
                <w:szCs w:val="20"/>
                <w:color w:val="auto"/>
              </w:rPr>
            </w:pPr>
          </w:p>
        </w:tc>
      </w:tr>
      <w:tr>
        <w:trPr>
          <w:trHeight w:val="202"/>
        </w:trPr>
        <w:tc>
          <w:tcPr>
            <w:tcW w:w="20" w:type="dxa"/>
            <w:vAlign w:val="bottom"/>
          </w:tcPr>
          <w:p>
            <w:pPr>
              <w:spacing w:after="0"/>
              <w:rPr>
                <w:sz w:val="17"/>
                <w:szCs w:val="17"/>
                <w:color w:val="auto"/>
              </w:rPr>
            </w:pPr>
          </w:p>
        </w:tc>
        <w:tc>
          <w:tcPr>
            <w:tcW w:w="3640" w:type="dxa"/>
            <w:vAlign w:val="bottom"/>
          </w:tcPr>
          <w:p>
            <w:pPr>
              <w:ind w:left="200"/>
              <w:spacing w:after="0" w:line="201" w:lineRule="exact"/>
              <w:rPr>
                <w:sz w:val="20"/>
                <w:szCs w:val="20"/>
                <w:color w:val="auto"/>
              </w:rPr>
            </w:pPr>
            <w:r>
              <w:rPr>
                <w:rFonts w:ascii="Arial" w:cs="Arial" w:eastAsia="Arial" w:hAnsi="Arial"/>
                <w:sz w:val="18"/>
                <w:szCs w:val="18"/>
                <w:color w:val="auto"/>
              </w:rPr>
              <w:t>Acquired in-process research and</w:t>
            </w:r>
          </w:p>
        </w:tc>
        <w:tc>
          <w:tcPr>
            <w:tcW w:w="30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0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640" w:type="dxa"/>
            <w:vAlign w:val="bottom"/>
          </w:tcPr>
          <w:p>
            <w:pPr>
              <w:ind w:left="380"/>
              <w:spacing w:after="0"/>
              <w:rPr>
                <w:sz w:val="20"/>
                <w:szCs w:val="20"/>
                <w:color w:val="auto"/>
              </w:rPr>
            </w:pPr>
            <w:r>
              <w:rPr>
                <w:rFonts w:ascii="Arial" w:cs="Arial" w:eastAsia="Arial" w:hAnsi="Arial"/>
                <w:sz w:val="18"/>
                <w:szCs w:val="18"/>
                <w:color w:val="auto"/>
              </w:rPr>
              <w:t>development</w:t>
            </w:r>
          </w:p>
        </w:tc>
        <w:tc>
          <w:tcPr>
            <w:tcW w:w="3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4,300</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6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4,300</w:t>
            </w:r>
          </w:p>
        </w:tc>
        <w:tc>
          <w:tcPr>
            <w:tcW w:w="2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Facilities consolidation charge</w:t>
            </w:r>
          </w:p>
        </w:tc>
        <w:tc>
          <w:tcPr>
            <w:tcW w:w="3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6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6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30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64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operating expenses</w:t>
            </w:r>
          </w:p>
        </w:tc>
        <w:tc>
          <w:tcPr>
            <w:tcW w:w="300" w:type="dxa"/>
            <w:vAlign w:val="bottom"/>
            <w:tcBorders>
              <w:top w:val="single" w:sz="8" w:color="auto"/>
              <w:bottom w:val="single" w:sz="8" w:color="auto"/>
            </w:tcBorders>
          </w:tcPr>
          <w:p>
            <w:pPr>
              <w:spacing w:after="0"/>
              <w:rPr>
                <w:sz w:val="18"/>
                <w:szCs w:val="18"/>
                <w:color w:val="auto"/>
              </w:rPr>
            </w:pPr>
          </w:p>
        </w:tc>
        <w:tc>
          <w:tcPr>
            <w:tcW w:w="1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162,044</w:t>
            </w:r>
          </w:p>
        </w:tc>
        <w:tc>
          <w:tcPr>
            <w:tcW w:w="2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116,809</w:t>
            </w:r>
          </w:p>
        </w:tc>
        <w:tc>
          <w:tcPr>
            <w:tcW w:w="30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3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533,911</w:t>
            </w:r>
          </w:p>
        </w:tc>
        <w:tc>
          <w:tcPr>
            <w:tcW w:w="280" w:type="dxa"/>
            <w:vAlign w:val="bottom"/>
            <w:tcBorders>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480,976</w:t>
            </w:r>
          </w:p>
        </w:tc>
        <w:tc>
          <w:tcPr>
            <w:tcW w:w="3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income</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106,306</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60,701</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359,722</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161,847</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Interest and other income, net</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6,129</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2,599</w:t>
            </w:r>
          </w:p>
        </w:tc>
        <w:tc>
          <w:tcPr>
            <w:tcW w:w="30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19,369</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7,657</w:t>
            </w:r>
          </w:p>
        </w:tc>
        <w:tc>
          <w:tcPr>
            <w:tcW w:w="3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before income taxes</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112,435</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63,300</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379,091</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169,504</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for income taxes</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14,952</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8,355</w:t>
            </w:r>
          </w:p>
        </w:tc>
        <w:tc>
          <w:tcPr>
            <w:tcW w:w="30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47,728</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27,843</w:t>
            </w:r>
          </w:p>
        </w:tc>
        <w:tc>
          <w:tcPr>
            <w:tcW w:w="300" w:type="dxa"/>
            <w:vAlign w:val="bottom"/>
            <w:tcBorders>
              <w:bottom w:val="single" w:sz="8" w:color="CCEEFF"/>
            </w:tcBorders>
          </w:tcPr>
          <w:p>
            <w:pPr>
              <w:spacing w:after="0"/>
              <w:rPr>
                <w:sz w:val="18"/>
                <w:szCs w:val="18"/>
                <w:color w:val="auto"/>
              </w:rPr>
            </w:pPr>
          </w:p>
        </w:tc>
      </w:tr>
      <w:tr>
        <w:trPr>
          <w:trHeight w:val="217"/>
        </w:trPr>
        <w:tc>
          <w:tcPr>
            <w:tcW w:w="20" w:type="dxa"/>
            <w:vAlign w:val="bottom"/>
          </w:tcPr>
          <w:p>
            <w:pPr>
              <w:spacing w:after="0"/>
              <w:rPr>
                <w:sz w:val="18"/>
                <w:szCs w:val="18"/>
                <w:color w:val="auto"/>
              </w:rPr>
            </w:pPr>
          </w:p>
        </w:tc>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97,483</w:t>
            </w:r>
          </w:p>
        </w:tc>
        <w:tc>
          <w:tcPr>
            <w:tcW w:w="2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54,945</w:t>
            </w:r>
          </w:p>
        </w:tc>
        <w:tc>
          <w:tcPr>
            <w:tcW w:w="30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331,363</w:t>
            </w:r>
          </w:p>
        </w:tc>
        <w:tc>
          <w:tcPr>
            <w:tcW w:w="280" w:type="dxa"/>
            <w:vAlign w:val="bottom"/>
            <w:tcBorders>
              <w:bottom w:val="single" w:sz="8" w:color="CCEEFF"/>
            </w:tcBorders>
            <w:shd w:val="clear" w:color="auto" w:fill="CCEEFF"/>
          </w:tcPr>
          <w:p>
            <w:pPr>
              <w:spacing w:after="0"/>
              <w:rPr>
                <w:sz w:val="18"/>
                <w:szCs w:val="18"/>
                <w:color w:val="auto"/>
              </w:rPr>
            </w:pP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141,661</w:t>
            </w:r>
          </w:p>
        </w:tc>
        <w:tc>
          <w:tcPr>
            <w:tcW w:w="300" w:type="dxa"/>
            <w:vAlign w:val="bottom"/>
            <w:tcBorders>
              <w:bottom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36"/>
        </w:trPr>
        <w:tc>
          <w:tcPr>
            <w:tcW w:w="20" w:type="dxa"/>
            <w:vAlign w:val="bottom"/>
          </w:tcPr>
          <w:p>
            <w:pPr>
              <w:spacing w:after="0"/>
              <w:rPr>
                <w:sz w:val="20"/>
                <w:szCs w:val="20"/>
                <w:color w:val="auto"/>
              </w:rPr>
            </w:pPr>
          </w:p>
        </w:tc>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Basic net income per share</w:t>
            </w: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28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3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1.17</w:t>
            </w:r>
          </w:p>
        </w:tc>
        <w:tc>
          <w:tcPr>
            <w:tcW w:w="28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300" w:type="dxa"/>
            <w:vAlign w:val="bottom"/>
            <w:tcBorders>
              <w:bottom w:val="single" w:sz="8" w:color="CCEEFF"/>
            </w:tcBorders>
            <w:shd w:val="clear" w:color="auto" w:fill="CCEEFF"/>
          </w:tcPr>
          <w:p>
            <w:pPr>
              <w:spacing w:after="0"/>
              <w:rPr>
                <w:sz w:val="20"/>
                <w:szCs w:val="20"/>
                <w:color w:val="auto"/>
              </w:rPr>
            </w:pPr>
          </w:p>
        </w:tc>
      </w:tr>
      <w:tr>
        <w:trPr>
          <w:trHeight w:val="210"/>
        </w:trPr>
        <w:tc>
          <w:tcPr>
            <w:tcW w:w="20" w:type="dxa"/>
            <w:vAlign w:val="bottom"/>
          </w:tcPr>
          <w:p>
            <w:pPr>
              <w:spacing w:after="0"/>
              <w:rPr>
                <w:sz w:val="18"/>
                <w:szCs w:val="18"/>
                <w:color w:val="auto"/>
              </w:rPr>
            </w:pPr>
          </w:p>
        </w:tc>
        <w:tc>
          <w:tcPr>
            <w:tcW w:w="3640" w:type="dxa"/>
            <w:vAlign w:val="bottom"/>
            <w:tcBorders>
              <w:bottom w:val="single" w:sz="8" w:color="CCEEFF"/>
            </w:tcBorders>
          </w:tcPr>
          <w:p>
            <w:pPr>
              <w:ind w:left="20"/>
              <w:spacing w:after="0" w:line="203" w:lineRule="exact"/>
              <w:rPr>
                <w:sz w:val="20"/>
                <w:szCs w:val="20"/>
                <w:color w:val="auto"/>
              </w:rPr>
            </w:pPr>
            <w:r>
              <w:rPr>
                <w:rFonts w:ascii="Arial" w:cs="Arial" w:eastAsia="Arial" w:hAnsi="Arial"/>
                <w:sz w:val="18"/>
                <w:szCs w:val="18"/>
                <w:color w:val="auto"/>
              </w:rPr>
              <w:t>Diluted net income per share</w:t>
            </w:r>
          </w:p>
        </w:tc>
        <w:tc>
          <w:tcPr>
            <w:tcW w:w="300" w:type="dxa"/>
            <w:vAlign w:val="bottom"/>
            <w:tcBorders>
              <w:bottom w:val="single" w:sz="8" w:color="auto"/>
            </w:tcBorders>
          </w:tcPr>
          <w:p>
            <w:pPr>
              <w:jc w:val="right"/>
              <w:ind w:right="110"/>
              <w:spacing w:after="0" w:line="203" w:lineRule="exact"/>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0.30</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0.18</w:t>
            </w:r>
          </w:p>
        </w:tc>
        <w:tc>
          <w:tcPr>
            <w:tcW w:w="30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1.05</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jc w:val="right"/>
              <w:ind w:right="150"/>
              <w:spacing w:after="0" w:line="203" w:lineRule="exact"/>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0.47</w:t>
            </w:r>
          </w:p>
        </w:tc>
        <w:tc>
          <w:tcPr>
            <w:tcW w:w="300" w:type="dxa"/>
            <w:vAlign w:val="bottom"/>
            <w:tcBorders>
              <w:bottom w:val="single" w:sz="8" w:color="CCEEFF"/>
            </w:tcBorders>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Weighted average shares — basic</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288,376</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275,555</w:t>
            </w:r>
          </w:p>
        </w:tc>
        <w:tc>
          <w:tcPr>
            <w:tcW w:w="30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282,935</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269,687</w:t>
            </w:r>
          </w:p>
        </w:tc>
        <w:tc>
          <w:tcPr>
            <w:tcW w:w="3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 average shares — diluted</w:t>
            </w:r>
          </w:p>
        </w:tc>
        <w:tc>
          <w:tcPr>
            <w:tcW w:w="300" w:type="dxa"/>
            <w:vAlign w:val="bottom"/>
            <w:tcBorders>
              <w:bottom w:val="single" w:sz="8" w:color="auto"/>
            </w:tcBorders>
            <w:shd w:val="clear" w:color="auto" w:fill="CCEEFF"/>
          </w:tcPr>
          <w:p>
            <w:pPr>
              <w:spacing w:after="0"/>
              <w:rPr>
                <w:sz w:val="18"/>
                <w:szCs w:val="18"/>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322,573</w:t>
            </w:r>
          </w:p>
        </w:tc>
        <w:tc>
          <w:tcPr>
            <w:tcW w:w="2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308,325</w:t>
            </w:r>
          </w:p>
        </w:tc>
        <w:tc>
          <w:tcPr>
            <w:tcW w:w="30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315,658</w:t>
            </w:r>
          </w:p>
        </w:tc>
        <w:tc>
          <w:tcPr>
            <w:tcW w:w="280" w:type="dxa"/>
            <w:vAlign w:val="bottom"/>
            <w:shd w:val="clear" w:color="auto" w:fill="CCEEFF"/>
          </w:tcPr>
          <w:p>
            <w:pPr>
              <w:spacing w:after="0"/>
              <w:rPr>
                <w:sz w:val="18"/>
                <w:szCs w:val="18"/>
                <w:color w:val="auto"/>
              </w:rPr>
            </w:pPr>
          </w:p>
        </w:tc>
        <w:tc>
          <w:tcPr>
            <w:tcW w:w="340" w:type="dxa"/>
            <w:vAlign w:val="bottom"/>
            <w:tcBorders>
              <w:bottom w:val="single" w:sz="8" w:color="auto"/>
            </w:tcBorders>
            <w:shd w:val="clear" w:color="auto" w:fill="CCEEFF"/>
          </w:tcPr>
          <w:p>
            <w:pPr>
              <w:spacing w:after="0"/>
              <w:rPr>
                <w:sz w:val="18"/>
                <w:szCs w:val="18"/>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299,543</w:t>
            </w:r>
          </w:p>
        </w:tc>
        <w:tc>
          <w:tcPr>
            <w:tcW w:w="300" w:type="dxa"/>
            <w:vAlign w:val="bottom"/>
            <w:shd w:val="clear" w:color="auto" w:fill="CCEEFF"/>
          </w:tcPr>
          <w:p>
            <w:pPr>
              <w:spacing w:after="0"/>
              <w:rPr>
                <w:sz w:val="18"/>
                <w:szCs w:val="18"/>
                <w:color w:val="auto"/>
              </w:rPr>
            </w:pPr>
          </w:p>
        </w:tc>
      </w:tr>
      <w:tr>
        <w:trPr>
          <w:trHeight w:val="328"/>
        </w:trPr>
        <w:tc>
          <w:tcPr>
            <w:tcW w:w="20" w:type="dxa"/>
            <w:vAlign w:val="bottom"/>
            <w:tcBorders>
              <w:bottom w:val="single" w:sz="8" w:color="808080"/>
            </w:tcBorders>
          </w:tcPr>
          <w:p>
            <w:pPr>
              <w:spacing w:after="0"/>
              <w:rPr>
                <w:sz w:val="24"/>
                <w:szCs w:val="24"/>
                <w:color w:val="auto"/>
              </w:rPr>
            </w:pPr>
          </w:p>
        </w:tc>
        <w:tc>
          <w:tcPr>
            <w:tcW w:w="3640" w:type="dxa"/>
            <w:vAlign w:val="bottom"/>
            <w:tcBorders>
              <w:bottom w:val="single" w:sz="8" w:color="808080"/>
            </w:tcBorders>
          </w:tcPr>
          <w:p>
            <w:pPr>
              <w:spacing w:after="0"/>
              <w:rPr>
                <w:sz w:val="24"/>
                <w:szCs w:val="24"/>
                <w:color w:val="auto"/>
              </w:rPr>
            </w:pPr>
          </w:p>
        </w:tc>
        <w:tc>
          <w:tcPr>
            <w:tcW w:w="300" w:type="dxa"/>
            <w:vAlign w:val="bottom"/>
            <w:tcBorders>
              <w:bottom w:val="single" w:sz="8" w:color="808080"/>
            </w:tcBorders>
          </w:tcPr>
          <w:p>
            <w:pPr>
              <w:spacing w:after="0"/>
              <w:rPr>
                <w:sz w:val="24"/>
                <w:szCs w:val="24"/>
                <w:color w:val="auto"/>
              </w:rPr>
            </w:pPr>
          </w:p>
        </w:tc>
        <w:tc>
          <w:tcPr>
            <w:tcW w:w="136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360" w:type="dxa"/>
            <w:vAlign w:val="bottom"/>
            <w:tcBorders>
              <w:bottom w:val="single" w:sz="8" w:color="808080"/>
            </w:tcBorders>
          </w:tcPr>
          <w:p>
            <w:pPr>
              <w:spacing w:after="0"/>
              <w:rPr>
                <w:sz w:val="24"/>
                <w:szCs w:val="24"/>
                <w:color w:val="auto"/>
              </w:rPr>
            </w:pPr>
          </w:p>
        </w:tc>
        <w:tc>
          <w:tcPr>
            <w:tcW w:w="30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38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320" w:type="dxa"/>
            <w:vAlign w:val="bottom"/>
            <w:tcBorders>
              <w:bottom w:val="single" w:sz="8" w:color="808080"/>
            </w:tcBorders>
          </w:tcPr>
          <w:p>
            <w:pPr>
              <w:spacing w:after="0"/>
              <w:rPr>
                <w:sz w:val="24"/>
                <w:szCs w:val="24"/>
                <w:color w:val="auto"/>
              </w:rPr>
            </w:pPr>
          </w:p>
        </w:tc>
        <w:tc>
          <w:tcPr>
            <w:tcW w:w="3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31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ectPr>
          <w:pgSz w:w="11900" w:h="16838" w:orient="portrait"/>
          <w:cols w:equalWidth="0" w:num="1">
            <w:col w:w="11440"/>
          </w:cols>
          <w:pgMar w:left="240" w:top="341" w:right="219" w:bottom="0" w:gutter="0" w:footer="0" w:header="0"/>
        </w:sectPr>
      </w:pPr>
    </w:p>
    <w:bookmarkStart w:id="4" w:name="page5"/>
    <w:bookmarkEnd w:id="4"/>
    <w:p>
      <w:pPr>
        <w:jc w:val="center"/>
        <w:ind w:right="40"/>
        <w:spacing w:after="0"/>
        <w:rPr>
          <w:sz w:val="20"/>
          <w:szCs w:val="20"/>
          <w:color w:val="auto"/>
        </w:rPr>
      </w:pPr>
      <w:r>
        <w:rPr>
          <w:rFonts w:ascii="Arial" w:cs="Arial" w:eastAsia="Arial" w:hAnsi="Arial"/>
          <w:sz w:val="18"/>
          <w:szCs w:val="18"/>
          <w:b w:val="1"/>
          <w:bCs w:val="1"/>
          <w:color w:val="auto"/>
        </w:rPr>
        <w:t>Pro Forma Non-GAAP Condensed Consolidated Statements of Income</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580" w:type="dxa"/>
            <w:vAlign w:val="bottom"/>
            <w:gridSpan w:val="5"/>
          </w:tcPr>
          <w:p>
            <w:pPr>
              <w:ind w:left="8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000" w:type="dxa"/>
            <w:vAlign w:val="bottom"/>
            <w:gridSpan w:val="3"/>
          </w:tcPr>
          <w:p>
            <w:pPr>
              <w:jc w:val="right"/>
              <w:ind w:right="30"/>
              <w:spacing w:after="0"/>
              <w:rPr>
                <w:sz w:val="20"/>
                <w:szCs w:val="20"/>
                <w:color w:val="auto"/>
              </w:rPr>
            </w:pPr>
            <w:r>
              <w:rPr>
                <w:rFonts w:ascii="Arial" w:cs="Arial" w:eastAsia="Arial" w:hAnsi="Arial"/>
                <w:sz w:val="14"/>
                <w:szCs w:val="14"/>
                <w:b w:val="1"/>
                <w:bCs w:val="1"/>
                <w:color w:val="auto"/>
              </w:rPr>
              <w:t>Year Ended</w:t>
            </w:r>
          </w:p>
        </w:tc>
        <w:tc>
          <w:tcPr>
            <w:tcW w:w="1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40" w:type="dxa"/>
            <w:vAlign w:val="bottom"/>
          </w:tcPr>
          <w:p>
            <w:pPr>
              <w:spacing w:after="0"/>
              <w:rPr>
                <w:sz w:val="10"/>
                <w:szCs w:val="10"/>
                <w:color w:val="auto"/>
              </w:rPr>
            </w:pPr>
          </w:p>
        </w:tc>
        <w:tc>
          <w:tcPr>
            <w:tcW w:w="300" w:type="dxa"/>
            <w:vAlign w:val="bottom"/>
            <w:tcBorders>
              <w:top w:val="single" w:sz="8" w:color="auto"/>
            </w:tcBorders>
          </w:tcPr>
          <w:p>
            <w:pPr>
              <w:spacing w:after="0"/>
              <w:rPr>
                <w:sz w:val="10"/>
                <w:szCs w:val="10"/>
                <w:color w:val="auto"/>
              </w:rPr>
            </w:pPr>
          </w:p>
        </w:tc>
        <w:tc>
          <w:tcPr>
            <w:tcW w:w="1640" w:type="dxa"/>
            <w:vAlign w:val="bottom"/>
            <w:tcBorders>
              <w:top w:val="single" w:sz="8" w:color="auto"/>
            </w:tcBorders>
            <w:gridSpan w:val="2"/>
          </w:tcPr>
          <w:p>
            <w:pPr>
              <w:ind w:left="180"/>
              <w:spacing w:after="0" w:line="119" w:lineRule="exact"/>
              <w:rPr>
                <w:sz w:val="20"/>
                <w:szCs w:val="20"/>
                <w:color w:val="auto"/>
              </w:rPr>
            </w:pPr>
            <w:r>
              <w:rPr>
                <w:rFonts w:ascii="Arial" w:cs="Arial" w:eastAsia="Arial" w:hAnsi="Arial"/>
                <w:sz w:val="13"/>
                <w:szCs w:val="13"/>
                <w:b w:val="1"/>
                <w:bCs w:val="1"/>
                <w:color w:val="auto"/>
              </w:rPr>
              <w:t>January 28,</w:t>
            </w:r>
          </w:p>
        </w:tc>
        <w:tc>
          <w:tcPr>
            <w:tcW w:w="28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tcPr>
          <w:p>
            <w:pPr>
              <w:jc w:val="right"/>
              <w:ind w:right="372"/>
              <w:spacing w:after="0" w:line="119" w:lineRule="exact"/>
              <w:rPr>
                <w:sz w:val="20"/>
                <w:szCs w:val="20"/>
                <w:color w:val="auto"/>
              </w:rPr>
            </w:pPr>
            <w:r>
              <w:rPr>
                <w:rFonts w:ascii="Arial" w:cs="Arial" w:eastAsia="Arial" w:hAnsi="Arial"/>
                <w:sz w:val="13"/>
                <w:szCs w:val="13"/>
                <w:b w:val="1"/>
                <w:bCs w:val="1"/>
                <w:color w:val="auto"/>
              </w:rPr>
              <w:t>January 29,</w:t>
            </w:r>
          </w:p>
        </w:tc>
        <w:tc>
          <w:tcPr>
            <w:tcW w:w="28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660" w:type="dxa"/>
            <w:vAlign w:val="bottom"/>
            <w:tcBorders>
              <w:top w:val="single" w:sz="8" w:color="auto"/>
            </w:tcBorders>
            <w:gridSpan w:val="2"/>
          </w:tcPr>
          <w:p>
            <w:pPr>
              <w:ind w:left="180"/>
              <w:spacing w:after="0" w:line="119" w:lineRule="exact"/>
              <w:rPr>
                <w:sz w:val="20"/>
                <w:szCs w:val="20"/>
                <w:color w:val="auto"/>
              </w:rPr>
            </w:pPr>
            <w:r>
              <w:rPr>
                <w:rFonts w:ascii="Arial" w:cs="Arial" w:eastAsia="Arial" w:hAnsi="Arial"/>
                <w:sz w:val="13"/>
                <w:szCs w:val="13"/>
                <w:b w:val="1"/>
                <w:bCs w:val="1"/>
                <w:color w:val="auto"/>
              </w:rPr>
              <w:t>January 28,</w:t>
            </w:r>
          </w:p>
        </w:tc>
        <w:tc>
          <w:tcPr>
            <w:tcW w:w="34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right"/>
              <w:ind w:right="372"/>
              <w:spacing w:after="0" w:line="119" w:lineRule="exact"/>
              <w:rPr>
                <w:sz w:val="20"/>
                <w:szCs w:val="20"/>
                <w:color w:val="auto"/>
              </w:rPr>
            </w:pPr>
            <w:r>
              <w:rPr>
                <w:rFonts w:ascii="Arial" w:cs="Arial" w:eastAsia="Arial" w:hAnsi="Arial"/>
                <w:sz w:val="13"/>
                <w:szCs w:val="13"/>
                <w:b w:val="1"/>
                <w:bCs w:val="1"/>
                <w:color w:val="auto"/>
              </w:rPr>
              <w:t>January 29,</w:t>
            </w:r>
          </w:p>
        </w:tc>
        <w:tc>
          <w:tcPr>
            <w:tcW w:w="3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640" w:type="dxa"/>
            <w:vAlign w:val="bottom"/>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tcPr>
          <w:p>
            <w:pPr>
              <w:jc w:val="right"/>
              <w:ind w:right="592"/>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tcPr>
          <w:p>
            <w:pPr>
              <w:jc w:val="right"/>
              <w:ind w:right="592"/>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tcPr>
          <w:p>
            <w:pPr>
              <w:jc w:val="right"/>
              <w:ind w:right="592"/>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tcPr>
          <w:p>
            <w:pPr>
              <w:jc w:val="right"/>
              <w:ind w:right="592"/>
              <w:spacing w:after="0"/>
              <w:rPr>
                <w:sz w:val="20"/>
                <w:szCs w:val="20"/>
                <w:color w:val="auto"/>
              </w:rPr>
            </w:pPr>
            <w:r>
              <w:rPr>
                <w:rFonts w:ascii="Arial" w:cs="Arial" w:eastAsia="Arial" w:hAnsi="Arial"/>
                <w:sz w:val="14"/>
                <w:szCs w:val="14"/>
                <w:b w:val="1"/>
                <w:bCs w:val="1"/>
                <w:color w:val="auto"/>
              </w:rPr>
              <w:t>2005</w:t>
            </w: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489,016</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340,266</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1,670,266</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1,224,580</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220,666</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162,756</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776,633</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581,757</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268,350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177,510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893,633</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642,823</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Research and development</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88,747</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69,575</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311,498</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263,261</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Pr>
          <w:p>
            <w:pPr>
              <w:ind w:left="200"/>
              <w:spacing w:after="0"/>
              <w:rPr>
                <w:sz w:val="20"/>
                <w:szCs w:val="20"/>
                <w:color w:val="auto"/>
              </w:rPr>
            </w:pPr>
            <w:r>
              <w:rPr>
                <w:rFonts w:ascii="Arial" w:cs="Arial" w:eastAsia="Arial" w:hAnsi="Arial"/>
                <w:sz w:val="18"/>
                <w:szCs w:val="18"/>
                <w:color w:val="auto"/>
              </w:rPr>
              <w:t>Selling and marketing</w:t>
            </w:r>
          </w:p>
        </w:tc>
        <w:tc>
          <w:tcPr>
            <w:tcW w:w="3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24,924</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18,604</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88,822</w:t>
            </w: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76,570</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General and administrative</w:t>
            </w:r>
          </w:p>
        </w:tc>
        <w:tc>
          <w:tcPr>
            <w:tcW w:w="300" w:type="dxa"/>
            <w:vAlign w:val="bottom"/>
            <w:tcBorders>
              <w:bottom w:val="single" w:sz="8" w:color="auto"/>
            </w:tcBorders>
            <w:shd w:val="clear" w:color="auto" w:fill="CCEEFF"/>
          </w:tcPr>
          <w:p>
            <w:pPr>
              <w:spacing w:after="0"/>
              <w:rPr>
                <w:sz w:val="18"/>
                <w:szCs w:val="18"/>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11,290</w:t>
            </w:r>
          </w:p>
        </w:tc>
        <w:tc>
          <w:tcPr>
            <w:tcW w:w="2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8,391</w:t>
            </w:r>
          </w:p>
        </w:tc>
        <w:tc>
          <w:tcPr>
            <w:tcW w:w="2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35,397</w:t>
            </w:r>
          </w:p>
        </w:tc>
        <w:tc>
          <w:tcPr>
            <w:tcW w:w="280" w:type="dxa"/>
            <w:vAlign w:val="bottom"/>
            <w:shd w:val="clear" w:color="auto" w:fill="CCEEFF"/>
          </w:tcPr>
          <w:p>
            <w:pPr>
              <w:spacing w:after="0"/>
              <w:rPr>
                <w:sz w:val="18"/>
                <w:szCs w:val="18"/>
                <w:color w:val="auto"/>
              </w:rPr>
            </w:pPr>
          </w:p>
        </w:tc>
        <w:tc>
          <w:tcPr>
            <w:tcW w:w="340" w:type="dxa"/>
            <w:vAlign w:val="bottom"/>
            <w:tcBorders>
              <w:bottom w:val="single" w:sz="8" w:color="auto"/>
            </w:tcBorders>
            <w:shd w:val="clear" w:color="auto" w:fill="CCEEFF"/>
          </w:tcPr>
          <w:p>
            <w:pPr>
              <w:spacing w:after="0"/>
              <w:rPr>
                <w:sz w:val="18"/>
                <w:szCs w:val="18"/>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32,220</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4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operating expenses</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124,961</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96,570</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435,717</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372,051</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income</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143,389</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80,940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457,916</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270,772</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Interest and other income, net</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6,129</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2,599</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19,369</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7,657</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before income taxes</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149,518</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83,539</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477,285</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278,429</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for income taxes</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14,952</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8,355</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47,728</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27,843</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 forma non-GAAP net income</w:t>
            </w: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134,566</w:t>
            </w:r>
          </w:p>
        </w:tc>
        <w:tc>
          <w:tcPr>
            <w:tcW w:w="2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75,184</w:t>
            </w:r>
          </w:p>
        </w:tc>
        <w:tc>
          <w:tcPr>
            <w:tcW w:w="2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429,557</w:t>
            </w:r>
          </w:p>
        </w:tc>
        <w:tc>
          <w:tcPr>
            <w:tcW w:w="280" w:type="dxa"/>
            <w:vAlign w:val="bottom"/>
            <w:tcBorders>
              <w:bottom w:val="single" w:sz="8" w:color="CCEEFF"/>
            </w:tcBorders>
            <w:shd w:val="clear" w:color="auto" w:fill="CCEEFF"/>
          </w:tcPr>
          <w:p>
            <w:pPr>
              <w:spacing w:after="0"/>
              <w:rPr>
                <w:sz w:val="18"/>
                <w:szCs w:val="18"/>
                <w:color w:val="auto"/>
              </w:rPr>
            </w:pP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250,586</w:t>
            </w:r>
          </w:p>
        </w:tc>
        <w:tc>
          <w:tcPr>
            <w:tcW w:w="30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640" w:type="dxa"/>
            <w:vAlign w:val="bottom"/>
            <w:shd w:val="clear" w:color="auto" w:fill="CCEEFF"/>
          </w:tcPr>
          <w:p>
            <w:pPr>
              <w:ind w:left="20"/>
              <w:spacing w:after="0" w:line="201" w:lineRule="exact"/>
              <w:rPr>
                <w:sz w:val="20"/>
                <w:szCs w:val="20"/>
                <w:color w:val="auto"/>
              </w:rPr>
            </w:pPr>
            <w:r>
              <w:rPr>
                <w:rFonts w:ascii="Arial" w:cs="Arial" w:eastAsia="Arial" w:hAnsi="Arial"/>
                <w:sz w:val="18"/>
                <w:szCs w:val="18"/>
                <w:color w:val="auto"/>
              </w:rPr>
              <w:t>Basic pro forma non-GAAP net income per</w:t>
            </w:r>
          </w:p>
        </w:tc>
        <w:tc>
          <w:tcPr>
            <w:tcW w:w="300" w:type="dxa"/>
            <w:vAlign w:val="bottom"/>
            <w:vMerge w:val="restart"/>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0.47</w:t>
            </w:r>
          </w:p>
        </w:tc>
        <w:tc>
          <w:tcPr>
            <w:tcW w:w="280" w:type="dxa"/>
            <w:vAlign w:val="bottom"/>
            <w:shd w:val="clear" w:color="auto" w:fill="CCEEFF"/>
          </w:tcPr>
          <w:p>
            <w:pPr>
              <w:spacing w:after="0"/>
              <w:rPr>
                <w:sz w:val="17"/>
                <w:szCs w:val="17"/>
                <w:color w:val="auto"/>
              </w:rPr>
            </w:pPr>
          </w:p>
        </w:tc>
        <w:tc>
          <w:tcPr>
            <w:tcW w:w="280" w:type="dxa"/>
            <w:vAlign w:val="bottom"/>
            <w:vMerge w:val="restart"/>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280" w:type="dxa"/>
            <w:vAlign w:val="bottom"/>
            <w:shd w:val="clear" w:color="auto" w:fill="CCEEFF"/>
          </w:tcPr>
          <w:p>
            <w:pPr>
              <w:spacing w:after="0"/>
              <w:rPr>
                <w:sz w:val="17"/>
                <w:szCs w:val="17"/>
                <w:color w:val="auto"/>
              </w:rPr>
            </w:pPr>
          </w:p>
        </w:tc>
        <w:tc>
          <w:tcPr>
            <w:tcW w:w="280" w:type="dxa"/>
            <w:vAlign w:val="bottom"/>
            <w:vMerge w:val="restart"/>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1.52</w:t>
            </w:r>
          </w:p>
        </w:tc>
        <w:tc>
          <w:tcPr>
            <w:tcW w:w="280" w:type="dxa"/>
            <w:vAlign w:val="bottom"/>
            <w:shd w:val="clear" w:color="auto" w:fill="CCEEFF"/>
          </w:tcPr>
          <w:p>
            <w:pPr>
              <w:spacing w:after="0"/>
              <w:rPr>
                <w:sz w:val="17"/>
                <w:szCs w:val="17"/>
                <w:color w:val="auto"/>
              </w:rPr>
            </w:pPr>
          </w:p>
        </w:tc>
        <w:tc>
          <w:tcPr>
            <w:tcW w:w="340" w:type="dxa"/>
            <w:vAlign w:val="bottom"/>
            <w:vMerge w:val="restart"/>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0.93</w:t>
            </w: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share</w:t>
            </w:r>
          </w:p>
        </w:tc>
        <w:tc>
          <w:tcPr>
            <w:tcW w:w="300" w:type="dxa"/>
            <w:vAlign w:val="bottom"/>
            <w:tcBorders>
              <w:bottom w:val="single" w:sz="8" w:color="auto"/>
            </w:tcBorders>
            <w:vMerge w:val="continue"/>
            <w:shd w:val="clear" w:color="auto" w:fill="CCEEFF"/>
          </w:tcPr>
          <w:p>
            <w:pPr>
              <w:spacing w:after="0"/>
              <w:rPr>
                <w:sz w:val="20"/>
                <w:szCs w:val="20"/>
                <w:color w:val="auto"/>
              </w:rPr>
            </w:pPr>
          </w:p>
        </w:tc>
        <w:tc>
          <w:tcPr>
            <w:tcW w:w="1360" w:type="dxa"/>
            <w:vAlign w:val="bottom"/>
            <w:tcBorders>
              <w:bottom w:val="single" w:sz="8" w:color="auto"/>
            </w:tcBorders>
            <w:vMerge w:val="continue"/>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vMerge w:val="continue"/>
            <w:shd w:val="clear" w:color="auto" w:fill="CCEEFF"/>
          </w:tcPr>
          <w:p>
            <w:pPr>
              <w:spacing w:after="0"/>
              <w:rPr>
                <w:sz w:val="20"/>
                <w:szCs w:val="20"/>
                <w:color w:val="auto"/>
              </w:rPr>
            </w:pPr>
          </w:p>
        </w:tc>
        <w:tc>
          <w:tcPr>
            <w:tcW w:w="1380" w:type="dxa"/>
            <w:vAlign w:val="bottom"/>
            <w:tcBorders>
              <w:bottom w:val="single" w:sz="8" w:color="auto"/>
            </w:tcBorders>
            <w:vMerge w:val="continue"/>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vMerge w:val="continue"/>
            <w:shd w:val="clear" w:color="auto" w:fill="CCEEFF"/>
          </w:tcPr>
          <w:p>
            <w:pPr>
              <w:spacing w:after="0"/>
              <w:rPr>
                <w:sz w:val="20"/>
                <w:szCs w:val="20"/>
                <w:color w:val="auto"/>
              </w:rPr>
            </w:pPr>
          </w:p>
        </w:tc>
        <w:tc>
          <w:tcPr>
            <w:tcW w:w="1380" w:type="dxa"/>
            <w:vAlign w:val="bottom"/>
            <w:tcBorders>
              <w:bottom w:val="single" w:sz="8" w:color="auto"/>
            </w:tcBorders>
            <w:vMerge w:val="continue"/>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auto"/>
            </w:tcBorders>
            <w:vMerge w:val="continue"/>
            <w:shd w:val="clear" w:color="auto" w:fill="CCEEFF"/>
          </w:tcPr>
          <w:p>
            <w:pPr>
              <w:spacing w:after="0"/>
              <w:rPr>
                <w:sz w:val="20"/>
                <w:szCs w:val="20"/>
                <w:color w:val="auto"/>
              </w:rPr>
            </w:pPr>
          </w:p>
        </w:tc>
        <w:tc>
          <w:tcPr>
            <w:tcW w:w="1320" w:type="dxa"/>
            <w:vAlign w:val="bottom"/>
            <w:tcBorders>
              <w:bottom w:val="single" w:sz="8" w:color="auto"/>
            </w:tcBorders>
            <w:vMerge w:val="continue"/>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75"/>
        </w:trPr>
        <w:tc>
          <w:tcPr>
            <w:tcW w:w="3640" w:type="dxa"/>
            <w:vAlign w:val="bottom"/>
          </w:tcPr>
          <w:p>
            <w:pPr>
              <w:ind w:left="20"/>
              <w:spacing w:after="0" w:line="176" w:lineRule="exact"/>
              <w:rPr>
                <w:sz w:val="20"/>
                <w:szCs w:val="20"/>
                <w:color w:val="auto"/>
              </w:rPr>
            </w:pPr>
            <w:r>
              <w:rPr>
                <w:rFonts w:ascii="Arial" w:cs="Arial" w:eastAsia="Arial" w:hAnsi="Arial"/>
                <w:sz w:val="18"/>
                <w:szCs w:val="18"/>
                <w:color w:val="auto"/>
              </w:rPr>
              <w:t>Diluted pro forma non-GAAP net income per</w:t>
            </w:r>
          </w:p>
        </w:tc>
        <w:tc>
          <w:tcPr>
            <w:tcW w:w="300" w:type="dxa"/>
            <w:vAlign w:val="bottom"/>
            <w:vMerge w:val="restart"/>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vMerge w:val="restart"/>
          </w:tcPr>
          <w:p>
            <w:pPr>
              <w:jc w:val="right"/>
              <w:spacing w:after="0"/>
              <w:rPr>
                <w:sz w:val="20"/>
                <w:szCs w:val="20"/>
                <w:color w:val="auto"/>
              </w:rPr>
            </w:pPr>
            <w:r>
              <w:rPr>
                <w:rFonts w:ascii="Arial" w:cs="Arial" w:eastAsia="Arial" w:hAnsi="Arial"/>
                <w:sz w:val="18"/>
                <w:szCs w:val="18"/>
                <w:color w:val="auto"/>
              </w:rPr>
              <w:t>0.42</w:t>
            </w:r>
          </w:p>
        </w:tc>
        <w:tc>
          <w:tcPr>
            <w:tcW w:w="280" w:type="dxa"/>
            <w:vAlign w:val="bottom"/>
          </w:tcPr>
          <w:p>
            <w:pPr>
              <w:spacing w:after="0"/>
              <w:rPr>
                <w:sz w:val="15"/>
                <w:szCs w:val="15"/>
                <w:color w:val="auto"/>
              </w:rPr>
            </w:pPr>
          </w:p>
        </w:tc>
        <w:tc>
          <w:tcPr>
            <w:tcW w:w="280" w:type="dxa"/>
            <w:vAlign w:val="bottom"/>
            <w:vMerge w:val="restart"/>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vMerge w:val="restart"/>
          </w:tcPr>
          <w:p>
            <w:pPr>
              <w:jc w:val="right"/>
              <w:spacing w:after="0"/>
              <w:rPr>
                <w:sz w:val="20"/>
                <w:szCs w:val="20"/>
                <w:color w:val="auto"/>
              </w:rPr>
            </w:pPr>
            <w:r>
              <w:rPr>
                <w:rFonts w:ascii="Arial" w:cs="Arial" w:eastAsia="Arial" w:hAnsi="Arial"/>
                <w:sz w:val="18"/>
                <w:szCs w:val="18"/>
                <w:color w:val="auto"/>
              </w:rPr>
              <w:t>0.24</w:t>
            </w:r>
          </w:p>
        </w:tc>
        <w:tc>
          <w:tcPr>
            <w:tcW w:w="280" w:type="dxa"/>
            <w:vAlign w:val="bottom"/>
          </w:tcPr>
          <w:p>
            <w:pPr>
              <w:spacing w:after="0"/>
              <w:rPr>
                <w:sz w:val="15"/>
                <w:szCs w:val="15"/>
                <w:color w:val="auto"/>
              </w:rPr>
            </w:pPr>
          </w:p>
        </w:tc>
        <w:tc>
          <w:tcPr>
            <w:tcW w:w="280" w:type="dxa"/>
            <w:vAlign w:val="bottom"/>
            <w:vMerge w:val="restart"/>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vMerge w:val="restart"/>
          </w:tcPr>
          <w:p>
            <w:pPr>
              <w:jc w:val="right"/>
              <w:spacing w:after="0"/>
              <w:rPr>
                <w:sz w:val="20"/>
                <w:szCs w:val="20"/>
                <w:color w:val="auto"/>
              </w:rPr>
            </w:pPr>
            <w:r>
              <w:rPr>
                <w:rFonts w:ascii="Arial" w:cs="Arial" w:eastAsia="Arial" w:hAnsi="Arial"/>
                <w:sz w:val="18"/>
                <w:szCs w:val="18"/>
                <w:color w:val="auto"/>
              </w:rPr>
              <w:t>1.36</w:t>
            </w:r>
          </w:p>
        </w:tc>
        <w:tc>
          <w:tcPr>
            <w:tcW w:w="280" w:type="dxa"/>
            <w:vAlign w:val="bottom"/>
          </w:tcPr>
          <w:p>
            <w:pPr>
              <w:spacing w:after="0"/>
              <w:rPr>
                <w:sz w:val="15"/>
                <w:szCs w:val="15"/>
                <w:color w:val="auto"/>
              </w:rPr>
            </w:pPr>
          </w:p>
        </w:tc>
        <w:tc>
          <w:tcPr>
            <w:tcW w:w="340" w:type="dxa"/>
            <w:vAlign w:val="bottom"/>
            <w:vMerge w:val="restart"/>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vMerge w:val="restart"/>
          </w:tcPr>
          <w:p>
            <w:pPr>
              <w:jc w:val="right"/>
              <w:spacing w:after="0"/>
              <w:rPr>
                <w:sz w:val="20"/>
                <w:szCs w:val="20"/>
                <w:color w:val="auto"/>
              </w:rPr>
            </w:pPr>
            <w:r>
              <w:rPr>
                <w:rFonts w:ascii="Arial" w:cs="Arial" w:eastAsia="Arial" w:hAnsi="Arial"/>
                <w:sz w:val="18"/>
                <w:szCs w:val="18"/>
                <w:color w:val="auto"/>
              </w:rPr>
              <w:t>0.84</w:t>
            </w: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4"/>
        </w:trPr>
        <w:tc>
          <w:tcPr>
            <w:tcW w:w="364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share</w:t>
            </w:r>
          </w:p>
        </w:tc>
        <w:tc>
          <w:tcPr>
            <w:tcW w:w="300" w:type="dxa"/>
            <w:vAlign w:val="bottom"/>
            <w:tcBorders>
              <w:bottom w:val="single" w:sz="8" w:color="auto"/>
            </w:tcBorders>
            <w:vMerge w:val="continue"/>
          </w:tcPr>
          <w:p>
            <w:pPr>
              <w:spacing w:after="0"/>
              <w:rPr>
                <w:sz w:val="19"/>
                <w:szCs w:val="19"/>
                <w:color w:val="auto"/>
              </w:rPr>
            </w:pPr>
          </w:p>
        </w:tc>
        <w:tc>
          <w:tcPr>
            <w:tcW w:w="1360" w:type="dxa"/>
            <w:vAlign w:val="bottom"/>
            <w:tcBorders>
              <w:bottom w:val="single" w:sz="8" w:color="auto"/>
            </w:tcBorders>
            <w:vMerge w:val="continue"/>
          </w:tcPr>
          <w:p>
            <w:pPr>
              <w:spacing w:after="0"/>
              <w:rPr>
                <w:sz w:val="19"/>
                <w:szCs w:val="19"/>
                <w:color w:val="auto"/>
              </w:rPr>
            </w:pPr>
          </w:p>
        </w:tc>
        <w:tc>
          <w:tcPr>
            <w:tcW w:w="28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vMerge w:val="continue"/>
          </w:tcPr>
          <w:p>
            <w:pPr>
              <w:spacing w:after="0"/>
              <w:rPr>
                <w:sz w:val="19"/>
                <w:szCs w:val="19"/>
                <w:color w:val="auto"/>
              </w:rPr>
            </w:pPr>
          </w:p>
        </w:tc>
        <w:tc>
          <w:tcPr>
            <w:tcW w:w="1380" w:type="dxa"/>
            <w:vAlign w:val="bottom"/>
            <w:tcBorders>
              <w:bottom w:val="single" w:sz="8" w:color="auto"/>
            </w:tcBorders>
            <w:vMerge w:val="continue"/>
          </w:tcPr>
          <w:p>
            <w:pPr>
              <w:spacing w:after="0"/>
              <w:rPr>
                <w:sz w:val="19"/>
                <w:szCs w:val="19"/>
                <w:color w:val="auto"/>
              </w:rPr>
            </w:pPr>
          </w:p>
        </w:tc>
        <w:tc>
          <w:tcPr>
            <w:tcW w:w="28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vMerge w:val="continue"/>
          </w:tcPr>
          <w:p>
            <w:pPr>
              <w:spacing w:after="0"/>
              <w:rPr>
                <w:sz w:val="19"/>
                <w:szCs w:val="19"/>
                <w:color w:val="auto"/>
              </w:rPr>
            </w:pPr>
          </w:p>
        </w:tc>
        <w:tc>
          <w:tcPr>
            <w:tcW w:w="1380" w:type="dxa"/>
            <w:vAlign w:val="bottom"/>
            <w:tcBorders>
              <w:bottom w:val="single" w:sz="8" w:color="auto"/>
            </w:tcBorders>
            <w:vMerge w:val="continue"/>
          </w:tcPr>
          <w:p>
            <w:pPr>
              <w:spacing w:after="0"/>
              <w:rPr>
                <w:sz w:val="19"/>
                <w:szCs w:val="19"/>
                <w:color w:val="auto"/>
              </w:rPr>
            </w:pPr>
          </w:p>
        </w:tc>
        <w:tc>
          <w:tcPr>
            <w:tcW w:w="280" w:type="dxa"/>
            <w:vAlign w:val="bottom"/>
            <w:tcBorders>
              <w:bottom w:val="single" w:sz="8" w:color="CCEEFF"/>
            </w:tcBorders>
          </w:tcPr>
          <w:p>
            <w:pPr>
              <w:spacing w:after="0"/>
              <w:rPr>
                <w:sz w:val="19"/>
                <w:szCs w:val="19"/>
                <w:color w:val="auto"/>
              </w:rPr>
            </w:pPr>
          </w:p>
        </w:tc>
        <w:tc>
          <w:tcPr>
            <w:tcW w:w="340" w:type="dxa"/>
            <w:vAlign w:val="bottom"/>
            <w:tcBorders>
              <w:bottom w:val="single" w:sz="8" w:color="auto"/>
            </w:tcBorders>
            <w:vMerge w:val="continue"/>
          </w:tcPr>
          <w:p>
            <w:pPr>
              <w:spacing w:after="0"/>
              <w:rPr>
                <w:sz w:val="19"/>
                <w:szCs w:val="19"/>
                <w:color w:val="auto"/>
              </w:rPr>
            </w:pPr>
          </w:p>
        </w:tc>
        <w:tc>
          <w:tcPr>
            <w:tcW w:w="1320" w:type="dxa"/>
            <w:vAlign w:val="bottom"/>
            <w:tcBorders>
              <w:bottom w:val="single" w:sz="8" w:color="auto"/>
            </w:tcBorders>
            <w:vMerge w:val="continue"/>
          </w:tcPr>
          <w:p>
            <w:pPr>
              <w:spacing w:after="0"/>
              <w:rPr>
                <w:sz w:val="19"/>
                <w:szCs w:val="19"/>
                <w:color w:val="auto"/>
              </w:rPr>
            </w:pPr>
          </w:p>
        </w:tc>
        <w:tc>
          <w:tcPr>
            <w:tcW w:w="300" w:type="dxa"/>
            <w:vAlign w:val="bottom"/>
            <w:tcBorders>
              <w:bottom w:val="single" w:sz="8" w:color="CCEEFF"/>
            </w:tcBorders>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Weighted average shares — basic</w:t>
            </w:r>
          </w:p>
        </w:tc>
        <w:tc>
          <w:tcPr>
            <w:tcW w:w="30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288,376</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275,555</w:t>
            </w: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282,935</w:t>
            </w:r>
          </w:p>
        </w:tc>
        <w:tc>
          <w:tcPr>
            <w:tcW w:w="28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269,687</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 average shares — diluted</w:t>
            </w:r>
          </w:p>
        </w:tc>
        <w:tc>
          <w:tcPr>
            <w:tcW w:w="300" w:type="dxa"/>
            <w:vAlign w:val="bottom"/>
            <w:tcBorders>
              <w:bottom w:val="single" w:sz="8" w:color="auto"/>
            </w:tcBorders>
            <w:shd w:val="clear" w:color="auto" w:fill="CCEEFF"/>
          </w:tcPr>
          <w:p>
            <w:pPr>
              <w:spacing w:after="0"/>
              <w:rPr>
                <w:sz w:val="18"/>
                <w:szCs w:val="18"/>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322,573</w:t>
            </w:r>
          </w:p>
        </w:tc>
        <w:tc>
          <w:tcPr>
            <w:tcW w:w="2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308,325</w:t>
            </w:r>
          </w:p>
        </w:tc>
        <w:tc>
          <w:tcPr>
            <w:tcW w:w="2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315,658</w:t>
            </w:r>
          </w:p>
        </w:tc>
        <w:tc>
          <w:tcPr>
            <w:tcW w:w="280" w:type="dxa"/>
            <w:vAlign w:val="bottom"/>
            <w:shd w:val="clear" w:color="auto" w:fill="CCEEFF"/>
          </w:tcPr>
          <w:p>
            <w:pPr>
              <w:spacing w:after="0"/>
              <w:rPr>
                <w:sz w:val="18"/>
                <w:szCs w:val="18"/>
                <w:color w:val="auto"/>
              </w:rPr>
            </w:pPr>
          </w:p>
        </w:tc>
        <w:tc>
          <w:tcPr>
            <w:tcW w:w="340" w:type="dxa"/>
            <w:vAlign w:val="bottom"/>
            <w:tcBorders>
              <w:bottom w:val="single" w:sz="8" w:color="auto"/>
            </w:tcBorders>
            <w:shd w:val="clear" w:color="auto" w:fill="CCEEFF"/>
          </w:tcPr>
          <w:p>
            <w:pPr>
              <w:spacing w:after="0"/>
              <w:rPr>
                <w:sz w:val="18"/>
                <w:szCs w:val="18"/>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299,543</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3640" w:type="dxa"/>
            <w:vAlign w:val="bottom"/>
            <w:shd w:val="clear" w:color="auto" w:fill="CCEEFF"/>
          </w:tcPr>
          <w:p>
            <w:pPr>
              <w:ind w:left="20"/>
              <w:spacing w:after="0" w:line="198" w:lineRule="exact"/>
              <w:rPr>
                <w:sz w:val="20"/>
                <w:szCs w:val="20"/>
                <w:color w:val="auto"/>
              </w:rPr>
            </w:pPr>
            <w:r>
              <w:rPr>
                <w:rFonts w:ascii="Arial" w:cs="Arial" w:eastAsia="Arial" w:hAnsi="Arial"/>
                <w:sz w:val="18"/>
                <w:szCs w:val="18"/>
                <w:b w:val="1"/>
                <w:bCs w:val="1"/>
                <w:color w:val="auto"/>
              </w:rPr>
              <w:t>Reconciliation of GAAP net income to pro</w:t>
            </w:r>
          </w:p>
        </w:tc>
        <w:tc>
          <w:tcPr>
            <w:tcW w:w="300" w:type="dxa"/>
            <w:vAlign w:val="bottom"/>
            <w:shd w:val="clear" w:color="auto" w:fill="CCEEFF"/>
          </w:tcPr>
          <w:p>
            <w:pPr>
              <w:spacing w:after="0"/>
              <w:rPr>
                <w:sz w:val="17"/>
                <w:szCs w:val="17"/>
                <w:color w:val="auto"/>
              </w:rPr>
            </w:pPr>
          </w:p>
        </w:tc>
        <w:tc>
          <w:tcPr>
            <w:tcW w:w="13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forma non-GAAP net income:</w:t>
            </w:r>
          </w:p>
        </w:tc>
        <w:tc>
          <w:tcPr>
            <w:tcW w:w="300" w:type="dxa"/>
            <w:vAlign w:val="bottom"/>
            <w:shd w:val="clear" w:color="auto" w:fill="CCEEFF"/>
          </w:tcPr>
          <w:p>
            <w:pPr>
              <w:spacing w:after="0"/>
              <w:rPr>
                <w:sz w:val="20"/>
                <w:szCs w:val="20"/>
                <w:color w:val="auto"/>
              </w:rPr>
            </w:pPr>
          </w:p>
        </w:tc>
        <w:tc>
          <w:tcPr>
            <w:tcW w:w="13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3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3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32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640" w:type="dxa"/>
            <w:vAlign w:val="bottom"/>
          </w:tcPr>
          <w:p>
            <w:pPr>
              <w:ind w:left="20"/>
              <w:spacing w:after="0"/>
              <w:rPr>
                <w:sz w:val="20"/>
                <w:szCs w:val="20"/>
                <w:color w:val="auto"/>
              </w:rPr>
            </w:pPr>
            <w:r>
              <w:rPr>
                <w:rFonts w:ascii="Arial" w:cs="Arial" w:eastAsia="Arial" w:hAnsi="Arial"/>
                <w:sz w:val="18"/>
                <w:szCs w:val="18"/>
                <w:color w:val="auto"/>
              </w:rPr>
              <w:t>GAAP net income</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tcPr>
          <w:p>
            <w:pPr>
              <w:jc w:val="right"/>
              <w:spacing w:after="0"/>
              <w:rPr>
                <w:sz w:val="20"/>
                <w:szCs w:val="20"/>
                <w:color w:val="auto"/>
              </w:rPr>
            </w:pPr>
            <w:r>
              <w:rPr>
                <w:rFonts w:ascii="Arial" w:cs="Arial" w:eastAsia="Arial" w:hAnsi="Arial"/>
                <w:sz w:val="18"/>
                <w:szCs w:val="18"/>
                <w:color w:val="auto"/>
              </w:rPr>
              <w:t>97,483</w:t>
            </w:r>
          </w:p>
        </w:tc>
        <w:tc>
          <w:tcPr>
            <w:tcW w:w="280" w:type="dxa"/>
            <w:vAlign w:val="bottom"/>
          </w:tcPr>
          <w:p>
            <w:pPr>
              <w:spacing w:after="0"/>
              <w:rPr>
                <w:sz w:val="18"/>
                <w:szCs w:val="18"/>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Pr>
          <w:p>
            <w:pPr>
              <w:jc w:val="right"/>
              <w:spacing w:after="0"/>
              <w:rPr>
                <w:sz w:val="20"/>
                <w:szCs w:val="20"/>
                <w:color w:val="auto"/>
              </w:rPr>
            </w:pPr>
            <w:r>
              <w:rPr>
                <w:rFonts w:ascii="Arial" w:cs="Arial" w:eastAsia="Arial" w:hAnsi="Arial"/>
                <w:sz w:val="18"/>
                <w:szCs w:val="18"/>
                <w:color w:val="auto"/>
              </w:rPr>
              <w:t>54,945</w:t>
            </w:r>
          </w:p>
        </w:tc>
        <w:tc>
          <w:tcPr>
            <w:tcW w:w="280" w:type="dxa"/>
            <w:vAlign w:val="bottom"/>
          </w:tcPr>
          <w:p>
            <w:pPr>
              <w:spacing w:after="0"/>
              <w:rPr>
                <w:sz w:val="18"/>
                <w:szCs w:val="18"/>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Pr>
          <w:p>
            <w:pPr>
              <w:jc w:val="right"/>
              <w:spacing w:after="0"/>
              <w:rPr>
                <w:sz w:val="20"/>
                <w:szCs w:val="20"/>
                <w:color w:val="auto"/>
              </w:rPr>
            </w:pPr>
            <w:r>
              <w:rPr>
                <w:rFonts w:ascii="Arial" w:cs="Arial" w:eastAsia="Arial" w:hAnsi="Arial"/>
                <w:sz w:val="18"/>
                <w:szCs w:val="18"/>
                <w:color w:val="auto"/>
              </w:rPr>
              <w:t>331,363</w:t>
            </w:r>
          </w:p>
        </w:tc>
        <w:tc>
          <w:tcPr>
            <w:tcW w:w="280" w:type="dxa"/>
            <w:vAlign w:val="bottom"/>
          </w:tcPr>
          <w:p>
            <w:pPr>
              <w:spacing w:after="0"/>
              <w:rPr>
                <w:sz w:val="18"/>
                <w:szCs w:val="18"/>
                <w:color w:val="auto"/>
              </w:rPr>
            </w:pP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tcPr>
          <w:p>
            <w:pPr>
              <w:jc w:val="right"/>
              <w:spacing w:after="0"/>
              <w:rPr>
                <w:sz w:val="20"/>
                <w:szCs w:val="20"/>
                <w:color w:val="auto"/>
              </w:rPr>
            </w:pPr>
            <w:r>
              <w:rPr>
                <w:rFonts w:ascii="Arial" w:cs="Arial" w:eastAsia="Arial" w:hAnsi="Arial"/>
                <w:sz w:val="18"/>
                <w:szCs w:val="18"/>
                <w:color w:val="auto"/>
              </w:rPr>
              <w:t>141,661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Amortization of stock-based compensation</w:t>
            </w:r>
          </w:p>
        </w:tc>
        <w:tc>
          <w:tcPr>
            <w:tcW w:w="3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2,156</w:t>
            </w: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3,977</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640" w:type="dxa"/>
            <w:vAlign w:val="bottom"/>
          </w:tcPr>
          <w:p>
            <w:pPr>
              <w:ind w:left="20"/>
              <w:spacing w:after="0" w:line="201" w:lineRule="exact"/>
              <w:rPr>
                <w:sz w:val="20"/>
                <w:szCs w:val="20"/>
                <w:color w:val="auto"/>
              </w:rPr>
            </w:pPr>
            <w:r>
              <w:rPr>
                <w:rFonts w:ascii="Arial" w:cs="Arial" w:eastAsia="Arial" w:hAnsi="Arial"/>
                <w:sz w:val="18"/>
                <w:szCs w:val="18"/>
                <w:color w:val="auto"/>
              </w:rPr>
              <w:t>Amortization/write-off of acquired intangible</w:t>
            </w:r>
          </w:p>
        </w:tc>
        <w:tc>
          <w:tcPr>
            <w:tcW w:w="30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20"/>
              <w:spacing w:after="0"/>
              <w:rPr>
                <w:sz w:val="20"/>
                <w:szCs w:val="20"/>
                <w:color w:val="auto"/>
              </w:rPr>
            </w:pPr>
            <w:r>
              <w:rPr>
                <w:rFonts w:ascii="Arial" w:cs="Arial" w:eastAsia="Arial" w:hAnsi="Arial"/>
                <w:sz w:val="18"/>
                <w:szCs w:val="18"/>
                <w:color w:val="auto"/>
              </w:rPr>
              <w:t>assets and other</w:t>
            </w:r>
          </w:p>
        </w:tc>
        <w:tc>
          <w:tcPr>
            <w:tcW w:w="3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32,480</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19,759</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91,738</w:t>
            </w:r>
          </w:p>
        </w:tc>
        <w:tc>
          <w:tcPr>
            <w:tcW w:w="2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102,534</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640" w:type="dxa"/>
            <w:vAlign w:val="bottom"/>
            <w:shd w:val="clear" w:color="auto" w:fill="CCEEFF"/>
          </w:tcPr>
          <w:p>
            <w:pPr>
              <w:ind w:left="20"/>
              <w:spacing w:after="0" w:line="201" w:lineRule="exact"/>
              <w:rPr>
                <w:sz w:val="20"/>
                <w:szCs w:val="20"/>
                <w:color w:val="auto"/>
              </w:rPr>
            </w:pPr>
            <w:r>
              <w:rPr>
                <w:rFonts w:ascii="Arial" w:cs="Arial" w:eastAsia="Arial" w:hAnsi="Arial"/>
                <w:sz w:val="18"/>
                <w:szCs w:val="18"/>
                <w:color w:val="auto"/>
              </w:rPr>
              <w:t>Acquired in-process research and</w:t>
            </w:r>
          </w:p>
        </w:tc>
        <w:tc>
          <w:tcPr>
            <w:tcW w:w="300" w:type="dxa"/>
            <w:vAlign w:val="bottom"/>
            <w:shd w:val="clear" w:color="auto" w:fill="CCEEFF"/>
          </w:tcPr>
          <w:p>
            <w:pPr>
              <w:spacing w:after="0"/>
              <w:rPr>
                <w:sz w:val="17"/>
                <w:szCs w:val="17"/>
                <w:color w:val="auto"/>
              </w:rPr>
            </w:pPr>
          </w:p>
        </w:tc>
        <w:tc>
          <w:tcPr>
            <w:tcW w:w="13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development</w:t>
            </w:r>
          </w:p>
        </w:tc>
        <w:tc>
          <w:tcPr>
            <w:tcW w:w="300" w:type="dxa"/>
            <w:vAlign w:val="bottom"/>
            <w:shd w:val="clear" w:color="auto" w:fill="CCEEFF"/>
          </w:tcPr>
          <w:p>
            <w:pPr>
              <w:spacing w:after="0"/>
              <w:rPr>
                <w:sz w:val="20"/>
                <w:szCs w:val="20"/>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2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6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20"/>
                <w:szCs w:val="20"/>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40" w:type="dxa"/>
            <w:vAlign w:val="bottom"/>
          </w:tcPr>
          <w:p>
            <w:pPr>
              <w:ind w:left="20"/>
              <w:spacing w:after="0"/>
              <w:rPr>
                <w:sz w:val="20"/>
                <w:szCs w:val="20"/>
                <w:color w:val="auto"/>
              </w:rPr>
            </w:pPr>
            <w:r>
              <w:rPr>
                <w:rFonts w:ascii="Arial" w:cs="Arial" w:eastAsia="Arial" w:hAnsi="Arial"/>
                <w:sz w:val="18"/>
                <w:szCs w:val="18"/>
                <w:color w:val="auto"/>
              </w:rPr>
              <w:t>Facilities consolidation charge</w:t>
            </w:r>
          </w:p>
        </w:tc>
        <w:tc>
          <w:tcPr>
            <w:tcW w:w="300" w:type="dxa"/>
            <w:vAlign w:val="bottom"/>
          </w:tcPr>
          <w:p>
            <w:pPr>
              <w:spacing w:after="0"/>
              <w:rPr>
                <w:sz w:val="18"/>
                <w:szCs w:val="18"/>
                <w:color w:val="auto"/>
              </w:rPr>
            </w:pPr>
          </w:p>
        </w:tc>
        <w:tc>
          <w:tcPr>
            <w:tcW w:w="16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2,414</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36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 forma non-GAAP net income</w:t>
            </w: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3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134,566</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75,184</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429,557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340" w:type="dxa"/>
            <w:vAlign w:val="bottom"/>
            <w:tcBorders>
              <w:top w:val="single" w:sz="8" w:color="auto"/>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3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250,586</w:t>
            </w: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 w:right="400"/>
        <w:spacing w:after="0" w:line="297" w:lineRule="auto"/>
        <w:rPr>
          <w:sz w:val="20"/>
          <w:szCs w:val="20"/>
          <w:color w:val="auto"/>
        </w:rPr>
      </w:pPr>
      <w:r>
        <w:rPr>
          <w:rFonts w:ascii="Arial" w:cs="Arial" w:eastAsia="Arial" w:hAnsi="Arial"/>
          <w:sz w:val="16"/>
          <w:szCs w:val="16"/>
          <w:color w:val="auto"/>
        </w:rPr>
        <w:t>The above pro forma non-GAAP statements of income are for informational purposes only and are provided for understanding our operating results. The pro forma non-GAAP statements of income have not been prepared in accordance with GAAP, should not be considered a substitute for our historical financial information prepared in accordance with GAAP and may be different from pro forma measures used by other companies. The pro forma non-GAAP income has been derived by adjusting the net income under generally accepted accounting principles for the impact of non cash stock-based compensation charges, non-cash charges associated with purchase accounting and other write-off related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313055</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100" w:type="dxa"/>
            <w:vAlign w:val="bottom"/>
            <w:gridSpan w:val="2"/>
          </w:tcPr>
          <w:p>
            <w:pPr>
              <w:ind w:left="300"/>
              <w:spacing w:after="0"/>
              <w:rPr>
                <w:sz w:val="20"/>
                <w:szCs w:val="20"/>
                <w:color w:val="auto"/>
              </w:rPr>
            </w:pPr>
            <w:r>
              <w:rPr>
                <w:rFonts w:ascii="Arial" w:cs="Arial" w:eastAsia="Arial" w:hAnsi="Arial"/>
                <w:sz w:val="14"/>
                <w:szCs w:val="14"/>
                <w:b w:val="1"/>
                <w:bCs w:val="1"/>
                <w:color w:val="auto"/>
              </w:rPr>
              <w:t>January 28,</w:t>
            </w:r>
          </w:p>
        </w:tc>
        <w:tc>
          <w:tcPr>
            <w:tcW w:w="300" w:type="dxa"/>
            <w:vAlign w:val="bottom"/>
          </w:tcPr>
          <w:p>
            <w:pPr>
              <w:spacing w:after="0"/>
              <w:rPr>
                <w:sz w:val="14"/>
                <w:szCs w:val="14"/>
                <w:color w:val="auto"/>
              </w:rPr>
            </w:pPr>
          </w:p>
        </w:tc>
        <w:tc>
          <w:tcPr>
            <w:tcW w:w="1720" w:type="dxa"/>
            <w:vAlign w:val="bottom"/>
            <w:gridSpan w:val="2"/>
          </w:tcPr>
          <w:p>
            <w:pPr>
              <w:ind w:left="200"/>
              <w:spacing w:after="0"/>
              <w:rPr>
                <w:sz w:val="20"/>
                <w:szCs w:val="20"/>
                <w:color w:val="auto"/>
              </w:rPr>
            </w:pPr>
            <w:r>
              <w:rPr>
                <w:rFonts w:ascii="Arial" w:cs="Arial" w:eastAsia="Arial" w:hAnsi="Arial"/>
                <w:sz w:val="14"/>
                <w:szCs w:val="14"/>
                <w:b w:val="1"/>
                <w:bCs w:val="1"/>
                <w:color w:val="auto"/>
              </w:rPr>
              <w:t>January 29,</w:t>
            </w:r>
          </w:p>
        </w:tc>
      </w:tr>
      <w:tr>
        <w:trPr>
          <w:trHeight w:val="171"/>
        </w:trPr>
        <w:tc>
          <w:tcPr>
            <w:tcW w:w="6920" w:type="dxa"/>
            <w:vAlign w:val="bottom"/>
            <w:tcBorders>
              <w:bottom w:val="single" w:sz="8" w:color="CCEEFF"/>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tcPr>
          <w:p>
            <w:pPr>
              <w:jc w:val="right"/>
              <w:ind w:right="812"/>
              <w:spacing w:after="0"/>
              <w:rPr>
                <w:sz w:val="20"/>
                <w:szCs w:val="20"/>
                <w:color w:val="auto"/>
              </w:rPr>
            </w:pPr>
            <w:r>
              <w:rPr>
                <w:rFonts w:ascii="Arial" w:cs="Arial" w:eastAsia="Arial" w:hAnsi="Arial"/>
                <w:sz w:val="14"/>
                <w:szCs w:val="14"/>
                <w:b w:val="1"/>
                <w:bCs w:val="1"/>
                <w:color w:val="auto"/>
              </w:rPr>
              <w:t>2006</w:t>
            </w:r>
          </w:p>
        </w:tc>
        <w:tc>
          <w:tcPr>
            <w:tcW w:w="400" w:type="dxa"/>
            <w:vAlign w:val="bottom"/>
            <w:tcBorders>
              <w:bottom w:val="single" w:sz="8" w:color="CCEEFF"/>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tcPr>
          <w:p>
            <w:pPr>
              <w:jc w:val="right"/>
              <w:ind w:right="632"/>
              <w:spacing w:after="0"/>
              <w:rPr>
                <w:sz w:val="20"/>
                <w:szCs w:val="20"/>
                <w:color w:val="auto"/>
              </w:rPr>
            </w:pPr>
            <w:r>
              <w:rPr>
                <w:rFonts w:ascii="Arial" w:cs="Arial" w:eastAsia="Arial" w:hAnsi="Arial"/>
                <w:sz w:val="14"/>
                <w:szCs w:val="14"/>
                <w:b w:val="1"/>
                <w:bCs w:val="1"/>
                <w:color w:val="auto"/>
              </w:rPr>
              <w:t>2005</w:t>
            </w:r>
          </w:p>
        </w:tc>
        <w:tc>
          <w:tcPr>
            <w:tcW w:w="300" w:type="dxa"/>
            <w:vAlign w:val="bottom"/>
            <w:tcBorders>
              <w:bottom w:val="single" w:sz="8" w:color="CCEEFF"/>
            </w:tcBorders>
          </w:tcPr>
          <w:p>
            <w:pPr>
              <w:spacing w:after="0"/>
              <w:rPr>
                <w:sz w:val="14"/>
                <w:szCs w:val="14"/>
                <w:color w:val="auto"/>
              </w:rPr>
            </w:pPr>
          </w:p>
        </w:tc>
      </w:tr>
      <w:tr>
        <w:trPr>
          <w:trHeight w:val="196"/>
        </w:trPr>
        <w:tc>
          <w:tcPr>
            <w:tcW w:w="692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b w:val="1"/>
                <w:bCs w:val="1"/>
                <w:color w:val="auto"/>
              </w:rPr>
              <w:t>Assets</w:t>
            </w:r>
          </w:p>
        </w:tc>
        <w:tc>
          <w:tcPr>
            <w:tcW w:w="380" w:type="dxa"/>
            <w:vAlign w:val="bottom"/>
            <w:shd w:val="clear" w:color="auto" w:fill="CCEEFF"/>
          </w:tcPr>
          <w:p>
            <w:pPr>
              <w:spacing w:after="0"/>
              <w:rPr>
                <w:sz w:val="17"/>
                <w:szCs w:val="17"/>
                <w:color w:val="auto"/>
              </w:rPr>
            </w:pPr>
          </w:p>
        </w:tc>
        <w:tc>
          <w:tcPr>
            <w:tcW w:w="17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r>
      <w:tr>
        <w:trPr>
          <w:trHeight w:val="216"/>
        </w:trPr>
        <w:tc>
          <w:tcPr>
            <w:tcW w:w="69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38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Cash, cash equivalents and short-term investments</w:t>
            </w:r>
          </w:p>
        </w:tc>
        <w:tc>
          <w:tcPr>
            <w:tcW w:w="3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921,022</w:t>
            </w: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660,014</w:t>
            </w: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Pr>
          <w:p>
            <w:pPr>
              <w:ind w:left="200"/>
              <w:spacing w:after="0"/>
              <w:rPr>
                <w:sz w:val="20"/>
                <w:szCs w:val="20"/>
                <w:color w:val="auto"/>
              </w:rPr>
            </w:pPr>
            <w:r>
              <w:rPr>
                <w:rFonts w:ascii="Arial" w:cs="Arial" w:eastAsia="Arial" w:hAnsi="Arial"/>
                <w:sz w:val="18"/>
                <w:szCs w:val="18"/>
                <w:color w:val="auto"/>
              </w:rPr>
              <w:t>Accounts receivable, net</w:t>
            </w:r>
          </w:p>
        </w:tc>
        <w:tc>
          <w:tcPr>
            <w:tcW w:w="38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245,164</w:t>
            </w: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200,954</w:t>
            </w: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Inventory, net</w:t>
            </w:r>
          </w:p>
        </w:tc>
        <w:tc>
          <w:tcPr>
            <w:tcW w:w="380" w:type="dxa"/>
            <w:vAlign w:val="bottom"/>
            <w:shd w:val="clear" w:color="auto" w:fill="CCEEFF"/>
          </w:tcPr>
          <w:p>
            <w:pPr>
              <w:spacing w:after="0"/>
              <w:rPr>
                <w:sz w:val="18"/>
                <w:szCs w:val="18"/>
                <w:color w:val="auto"/>
              </w:rPr>
            </w:pP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211,374</w:t>
            </w: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128,889</w:t>
            </w: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Prepaid expenses and other current assets</w:t>
            </w:r>
          </w:p>
        </w:tc>
        <w:tc>
          <w:tcPr>
            <w:tcW w:w="380" w:type="dxa"/>
            <w:vAlign w:val="bottom"/>
            <w:tcBorders>
              <w:bottom w:val="single" w:sz="8" w:color="auto"/>
            </w:tcBorders>
          </w:tcPr>
          <w:p>
            <w:pPr>
              <w:spacing w:after="0"/>
              <w:rPr>
                <w:sz w:val="18"/>
                <w:szCs w:val="18"/>
                <w:color w:val="auto"/>
              </w:rPr>
            </w:pP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122,314</w:t>
            </w:r>
          </w:p>
        </w:tc>
        <w:tc>
          <w:tcPr>
            <w:tcW w:w="40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27,937</w:t>
            </w:r>
          </w:p>
        </w:tc>
        <w:tc>
          <w:tcPr>
            <w:tcW w:w="300" w:type="dxa"/>
            <w:vAlign w:val="bottom"/>
            <w:tcBorders>
              <w:bottom w:val="single" w:sz="8" w:color="CCEEFF"/>
            </w:tcBorders>
          </w:tcPr>
          <w:p>
            <w:pPr>
              <w:spacing w:after="0"/>
              <w:rPr>
                <w:sz w:val="18"/>
                <w:szCs w:val="18"/>
                <w:color w:val="auto"/>
              </w:rPr>
            </w:pPr>
          </w:p>
        </w:tc>
      </w:tr>
      <w:tr>
        <w:trPr>
          <w:trHeight w:val="210"/>
        </w:trPr>
        <w:tc>
          <w:tcPr>
            <w:tcW w:w="6920" w:type="dxa"/>
            <w:vAlign w:val="bottom"/>
            <w:shd w:val="clear" w:color="auto" w:fill="CCEEFF"/>
          </w:tcPr>
          <w:p>
            <w:pPr>
              <w:ind w:left="380"/>
              <w:spacing w:after="0"/>
              <w:rPr>
                <w:sz w:val="20"/>
                <w:szCs w:val="20"/>
                <w:color w:val="auto"/>
              </w:rPr>
            </w:pPr>
            <w:r>
              <w:rPr>
                <w:rFonts w:ascii="Arial" w:cs="Arial" w:eastAsia="Arial" w:hAnsi="Arial"/>
                <w:sz w:val="18"/>
                <w:szCs w:val="18"/>
                <w:color w:val="auto"/>
              </w:rPr>
              <w:t>Total current assets</w:t>
            </w:r>
          </w:p>
        </w:tc>
        <w:tc>
          <w:tcPr>
            <w:tcW w:w="380" w:type="dxa"/>
            <w:vAlign w:val="bottom"/>
            <w:shd w:val="clear" w:color="auto" w:fill="CCEEFF"/>
          </w:tcPr>
          <w:p>
            <w:pPr>
              <w:spacing w:after="0"/>
              <w:rPr>
                <w:sz w:val="18"/>
                <w:szCs w:val="18"/>
                <w:color w:val="auto"/>
              </w:rPr>
            </w:pP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1,017,794</w:t>
            </w: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38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260,921</w:t>
            </w: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161,770</w:t>
            </w: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 and acquired intangible assets</w:t>
            </w:r>
          </w:p>
        </w:tc>
        <w:tc>
          <w:tcPr>
            <w:tcW w:w="380" w:type="dxa"/>
            <w:vAlign w:val="bottom"/>
            <w:shd w:val="clear" w:color="auto" w:fill="CCEEFF"/>
          </w:tcPr>
          <w:p>
            <w:pPr>
              <w:spacing w:after="0"/>
              <w:rPr>
                <w:sz w:val="18"/>
                <w:szCs w:val="18"/>
                <w:color w:val="auto"/>
              </w:rPr>
            </w:pP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1,670,182</w:t>
            </w: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1,560,636</w:t>
            </w: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380" w:type="dxa"/>
            <w:vAlign w:val="bottom"/>
            <w:tcBorders>
              <w:bottom w:val="single" w:sz="8" w:color="auto"/>
            </w:tcBorders>
          </w:tcPr>
          <w:p>
            <w:pPr>
              <w:spacing w:after="0"/>
              <w:rPr>
                <w:sz w:val="18"/>
                <w:szCs w:val="18"/>
                <w:color w:val="auto"/>
              </w:rPr>
            </w:pP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82,312</w:t>
            </w:r>
          </w:p>
        </w:tc>
        <w:tc>
          <w:tcPr>
            <w:tcW w:w="40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48,762</w:t>
            </w:r>
          </w:p>
        </w:tc>
        <w:tc>
          <w:tcPr>
            <w:tcW w:w="300" w:type="dxa"/>
            <w:vAlign w:val="bottom"/>
            <w:tcBorders>
              <w:bottom w:val="single" w:sz="8" w:color="CCEEFF"/>
            </w:tcBorders>
          </w:tcPr>
          <w:p>
            <w:pPr>
              <w:spacing w:after="0"/>
              <w:rPr>
                <w:sz w:val="18"/>
                <w:szCs w:val="18"/>
                <w:color w:val="auto"/>
              </w:rPr>
            </w:pPr>
          </w:p>
        </w:tc>
      </w:tr>
      <w:tr>
        <w:trPr>
          <w:trHeight w:val="217"/>
        </w:trPr>
        <w:tc>
          <w:tcPr>
            <w:tcW w:w="69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 assets</w:t>
            </w:r>
          </w:p>
        </w:tc>
        <w:tc>
          <w:tcPr>
            <w:tcW w:w="38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400" w:type="dxa"/>
            <w:vAlign w:val="bottom"/>
            <w:tcBorders>
              <w:bottom w:val="single" w:sz="8" w:color="CCEEFF"/>
            </w:tcBorders>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300" w:type="dxa"/>
            <w:vAlign w:val="bottom"/>
            <w:tcBorders>
              <w:bottom w:val="single" w:sz="8" w:color="CCEEFF"/>
            </w:tcBorders>
            <w:shd w:val="clear" w:color="auto" w:fill="CCEEFF"/>
          </w:tcPr>
          <w:p>
            <w:pPr>
              <w:spacing w:after="0"/>
              <w:rPr>
                <w:sz w:val="18"/>
                <w:szCs w:val="18"/>
                <w:color w:val="auto"/>
              </w:rPr>
            </w:pPr>
          </w:p>
        </w:tc>
      </w:tr>
      <w:tr>
        <w:trPr>
          <w:trHeight w:val="216"/>
        </w:trPr>
        <w:tc>
          <w:tcPr>
            <w:tcW w:w="69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Liabilities and Shareholders’ Equity</w:t>
            </w:r>
          </w:p>
        </w:tc>
        <w:tc>
          <w:tcPr>
            <w:tcW w:w="380" w:type="dxa"/>
            <w:vAlign w:val="bottom"/>
            <w:shd w:val="clear" w:color="auto" w:fill="CCEEFF"/>
          </w:tcPr>
          <w:p>
            <w:pPr>
              <w:spacing w:after="0"/>
              <w:rPr>
                <w:sz w:val="18"/>
                <w:szCs w:val="18"/>
                <w:color w:val="auto"/>
              </w:rPr>
            </w:pPr>
          </w:p>
        </w:tc>
        <w:tc>
          <w:tcPr>
            <w:tcW w:w="1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38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Accounts payable</w:t>
            </w:r>
          </w:p>
        </w:tc>
        <w:tc>
          <w:tcPr>
            <w:tcW w:w="3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196,606</w:t>
            </w: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129,728</w:t>
            </w: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Pr>
          <w:p>
            <w:pPr>
              <w:ind w:left="200"/>
              <w:spacing w:after="0"/>
              <w:rPr>
                <w:sz w:val="20"/>
                <w:szCs w:val="20"/>
                <w:color w:val="auto"/>
              </w:rPr>
            </w:pPr>
            <w:r>
              <w:rPr>
                <w:rFonts w:ascii="Arial" w:cs="Arial" w:eastAsia="Arial" w:hAnsi="Arial"/>
                <w:sz w:val="18"/>
                <w:szCs w:val="18"/>
                <w:color w:val="auto"/>
              </w:rPr>
              <w:t>Accrued liabilities</w:t>
            </w:r>
          </w:p>
        </w:tc>
        <w:tc>
          <w:tcPr>
            <w:tcW w:w="38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86,454</w:t>
            </w: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52,740</w:t>
            </w: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Income taxes payable</w:t>
            </w:r>
          </w:p>
        </w:tc>
        <w:tc>
          <w:tcPr>
            <w:tcW w:w="380" w:type="dxa"/>
            <w:vAlign w:val="bottom"/>
            <w:shd w:val="clear" w:color="auto" w:fill="CCEEFF"/>
          </w:tcPr>
          <w:p>
            <w:pPr>
              <w:spacing w:after="0"/>
              <w:rPr>
                <w:sz w:val="18"/>
                <w:szCs w:val="18"/>
                <w:color w:val="auto"/>
              </w:rPr>
            </w:pP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3,195</w:t>
            </w:r>
          </w:p>
        </w:tc>
        <w:tc>
          <w:tcPr>
            <w:tcW w:w="300" w:type="dxa"/>
            <w:vAlign w:val="bottom"/>
            <w:shd w:val="clear" w:color="auto" w:fill="CCEEFF"/>
          </w:tcPr>
          <w:p>
            <w:pPr>
              <w:spacing w:after="0"/>
              <w:rPr>
                <w:sz w:val="18"/>
                <w:szCs w:val="18"/>
                <w:color w:val="auto"/>
              </w:rPr>
            </w:pPr>
          </w:p>
        </w:tc>
      </w:tr>
      <w:tr>
        <w:trPr>
          <w:trHeight w:val="216"/>
        </w:trPr>
        <w:tc>
          <w:tcPr>
            <w:tcW w:w="6920" w:type="dxa"/>
            <w:vAlign w:val="bottom"/>
          </w:tcPr>
          <w:p>
            <w:pPr>
              <w:ind w:left="200"/>
              <w:spacing w:after="0"/>
              <w:rPr>
                <w:sz w:val="20"/>
                <w:szCs w:val="20"/>
                <w:color w:val="auto"/>
              </w:rPr>
            </w:pPr>
            <w:r>
              <w:rPr>
                <w:rFonts w:ascii="Arial" w:cs="Arial" w:eastAsia="Arial" w:hAnsi="Arial"/>
                <w:sz w:val="18"/>
                <w:szCs w:val="18"/>
                <w:color w:val="auto"/>
              </w:rPr>
              <w:t>Deferred income</w:t>
            </w:r>
          </w:p>
        </w:tc>
        <w:tc>
          <w:tcPr>
            <w:tcW w:w="38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29,773</w:t>
            </w: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15,938</w:t>
            </w:r>
          </w:p>
        </w:tc>
        <w:tc>
          <w:tcPr>
            <w:tcW w:w="300" w:type="dxa"/>
            <w:vAlign w:val="bottom"/>
          </w:tcPr>
          <w:p>
            <w:pPr>
              <w:spacing w:after="0"/>
              <w:rPr>
                <w:sz w:val="18"/>
                <w:szCs w:val="18"/>
                <w:color w:val="auto"/>
              </w:rPr>
            </w:pPr>
          </w:p>
        </w:tc>
      </w:tr>
      <w:tr>
        <w:trPr>
          <w:trHeight w:val="216"/>
        </w:trPr>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Current portion of capital lease obligations</w:t>
            </w:r>
          </w:p>
        </w:tc>
        <w:tc>
          <w:tcPr>
            <w:tcW w:w="380" w:type="dxa"/>
            <w:vAlign w:val="bottom"/>
            <w:tcBorders>
              <w:bottom w:val="single" w:sz="8" w:color="auto"/>
            </w:tcBorders>
            <w:shd w:val="clear" w:color="auto" w:fill="CCEEFF"/>
          </w:tcPr>
          <w:p>
            <w:pPr>
              <w:spacing w:after="0"/>
              <w:rPr>
                <w:sz w:val="18"/>
                <w:szCs w:val="18"/>
                <w:color w:val="auto"/>
              </w:rPr>
            </w:pP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400" w:type="dxa"/>
            <w:vAlign w:val="bottom"/>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spacing w:after="0"/>
              <w:rPr>
                <w:sz w:val="18"/>
                <w:szCs w:val="18"/>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13,204</w:t>
            </w:r>
          </w:p>
        </w:tc>
        <w:tc>
          <w:tcPr>
            <w:tcW w:w="300" w:type="dxa"/>
            <w:vAlign w:val="bottom"/>
            <w:shd w:val="clear" w:color="auto" w:fill="CCEEFF"/>
          </w:tcPr>
          <w:p>
            <w:pPr>
              <w:spacing w:after="0"/>
              <w:rPr>
                <w:sz w:val="18"/>
                <w:szCs w:val="18"/>
                <w:color w:val="auto"/>
              </w:rPr>
            </w:pPr>
          </w:p>
        </w:tc>
      </w:tr>
    </w:tbl>
    <w:p>
      <w:pPr>
        <w:sectPr>
          <w:pgSz w:w="11900" w:h="16838" w:orient="portrait"/>
          <w:cols w:equalWidth="0" w:num="1">
            <w:col w:w="11420"/>
          </w:cols>
          <w:pgMar w:left="260" w:top="121" w:right="219" w:bottom="0" w:gutter="0" w:footer="0" w:header="0"/>
        </w:sectPr>
      </w:pPr>
    </w:p>
    <w:bookmarkStart w:id="5" w:name="page6"/>
    <w:bookmarkEnd w:id="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6920" w:type="dxa"/>
            <w:vAlign w:val="bottom"/>
          </w:tcPr>
          <w:p>
            <w:pPr>
              <w:ind w:left="380"/>
              <w:spacing w:after="0"/>
              <w:rPr>
                <w:sz w:val="20"/>
                <w:szCs w:val="20"/>
                <w:color w:val="auto"/>
              </w:rPr>
            </w:pPr>
            <w:r>
              <w:rPr>
                <w:rFonts w:ascii="Arial" w:cs="Arial" w:eastAsia="Arial" w:hAnsi="Arial"/>
                <w:sz w:val="18"/>
                <w:szCs w:val="18"/>
                <w:color w:val="auto"/>
              </w:rPr>
              <w:t>Total current liabilities</w:t>
            </w:r>
          </w:p>
        </w:tc>
        <w:tc>
          <w:tcPr>
            <w:tcW w:w="72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332,748</w:t>
            </w:r>
          </w:p>
        </w:tc>
        <w:tc>
          <w:tcPr>
            <w:tcW w:w="4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214,805</w:t>
            </w:r>
          </w:p>
        </w:tc>
        <w:tc>
          <w:tcPr>
            <w:tcW w:w="3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Capital lease obligations</w:t>
            </w:r>
          </w:p>
        </w:tc>
        <w:tc>
          <w:tcPr>
            <w:tcW w:w="72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4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11,590</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long-term liabilities</w:t>
            </w:r>
          </w:p>
        </w:tc>
        <w:tc>
          <w:tcPr>
            <w:tcW w:w="720" w:type="dxa"/>
            <w:vAlign w:val="bottom"/>
            <w:tcBorders>
              <w:bottom w:val="single" w:sz="8" w:color="auto"/>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109,997</w:t>
            </w:r>
          </w:p>
        </w:tc>
        <w:tc>
          <w:tcPr>
            <w:tcW w:w="400" w:type="dxa"/>
            <w:vAlign w:val="bottom"/>
            <w:tcBorders>
              <w:bottom w:val="single" w:sz="8" w:color="CCEEFF"/>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65,137</w:t>
            </w:r>
          </w:p>
        </w:tc>
        <w:tc>
          <w:tcPr>
            <w:tcW w:w="300" w:type="dxa"/>
            <w:vAlign w:val="bottom"/>
            <w:tcBorders>
              <w:bottom w:val="single" w:sz="8" w:color="CCEEFF"/>
            </w:tcBorders>
          </w:tcPr>
          <w:p>
            <w:pPr>
              <w:spacing w:after="0"/>
              <w:rPr>
                <w:sz w:val="18"/>
                <w:szCs w:val="18"/>
                <w:color w:val="auto"/>
              </w:rPr>
            </w:pPr>
          </w:p>
        </w:tc>
      </w:tr>
      <w:tr>
        <w:trPr>
          <w:trHeight w:val="217"/>
        </w:trPr>
        <w:tc>
          <w:tcPr>
            <w:tcW w:w="20" w:type="dxa"/>
            <w:vAlign w:val="bottom"/>
          </w:tcPr>
          <w:p>
            <w:pPr>
              <w:spacing w:after="0"/>
              <w:rPr>
                <w:sz w:val="18"/>
                <w:szCs w:val="18"/>
                <w:color w:val="auto"/>
              </w:rPr>
            </w:pPr>
          </w:p>
        </w:tc>
        <w:tc>
          <w:tcPr>
            <w:tcW w:w="69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 liabilities</w:t>
            </w:r>
          </w:p>
        </w:tc>
        <w:tc>
          <w:tcPr>
            <w:tcW w:w="720" w:type="dxa"/>
            <w:vAlign w:val="bottom"/>
            <w:tcBorders>
              <w:bottom w:val="single" w:sz="8" w:color="auto"/>
            </w:tcBorders>
            <w:shd w:val="clear" w:color="auto" w:fill="CCEEFF"/>
          </w:tcPr>
          <w:p>
            <w:pPr>
              <w:spacing w:after="0"/>
              <w:rPr>
                <w:sz w:val="18"/>
                <w:szCs w:val="18"/>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467,192</w:t>
            </w:r>
          </w:p>
        </w:tc>
        <w:tc>
          <w:tcPr>
            <w:tcW w:w="400" w:type="dxa"/>
            <w:vAlign w:val="bottom"/>
            <w:tcBorders>
              <w:bottom w:val="single" w:sz="8" w:color="CCEEFF"/>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spacing w:after="0"/>
              <w:rPr>
                <w:sz w:val="18"/>
                <w:szCs w:val="18"/>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291,532</w:t>
            </w:r>
          </w:p>
        </w:tc>
        <w:tc>
          <w:tcPr>
            <w:tcW w:w="300" w:type="dxa"/>
            <w:vAlign w:val="bottom"/>
            <w:tcBorders>
              <w:bottom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Shareholders’ equity:</w:t>
            </w:r>
          </w:p>
        </w:tc>
        <w:tc>
          <w:tcPr>
            <w:tcW w:w="72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20" w:type="dxa"/>
            <w:vAlign w:val="bottom"/>
          </w:tcPr>
          <w:p>
            <w:pPr>
              <w:ind w:left="200"/>
              <w:spacing w:after="0"/>
              <w:rPr>
                <w:sz w:val="20"/>
                <w:szCs w:val="20"/>
                <w:color w:val="auto"/>
              </w:rPr>
            </w:pPr>
            <w:r>
              <w:rPr>
                <w:rFonts w:ascii="Arial" w:cs="Arial" w:eastAsia="Arial" w:hAnsi="Arial"/>
                <w:sz w:val="18"/>
                <w:szCs w:val="18"/>
                <w:color w:val="auto"/>
              </w:rPr>
              <w:t>Common stock</w:t>
            </w:r>
          </w:p>
        </w:tc>
        <w:tc>
          <w:tcPr>
            <w:tcW w:w="72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583</w:t>
            </w: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555</w:t>
            </w:r>
          </w:p>
        </w:tc>
        <w:tc>
          <w:tcPr>
            <w:tcW w:w="3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Additional paid-in capital</w:t>
            </w:r>
          </w:p>
        </w:tc>
        <w:tc>
          <w:tcPr>
            <w:tcW w:w="72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3,250,169</w:t>
            </w:r>
          </w:p>
        </w:tc>
        <w:tc>
          <w:tcPr>
            <w:tcW w:w="4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3,035,200</w:t>
            </w:r>
          </w:p>
        </w:tc>
        <w:tc>
          <w:tcPr>
            <w:tcW w:w="3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20" w:type="dxa"/>
            <w:vAlign w:val="bottom"/>
          </w:tcPr>
          <w:p>
            <w:pPr>
              <w:ind w:left="200"/>
              <w:spacing w:after="0"/>
              <w:rPr>
                <w:sz w:val="20"/>
                <w:szCs w:val="20"/>
                <w:color w:val="auto"/>
              </w:rPr>
            </w:pPr>
            <w:r>
              <w:rPr>
                <w:rFonts w:ascii="Arial" w:cs="Arial" w:eastAsia="Arial" w:hAnsi="Arial"/>
                <w:sz w:val="18"/>
                <w:szCs w:val="18"/>
                <w:color w:val="auto"/>
              </w:rPr>
              <w:t>Deferred stock-based compensation</w:t>
            </w:r>
          </w:p>
        </w:tc>
        <w:tc>
          <w:tcPr>
            <w:tcW w:w="720" w:type="dxa"/>
            <w:vAlign w:val="bottom"/>
          </w:tcPr>
          <w:p>
            <w:pPr>
              <w:spacing w:after="0"/>
              <w:rPr>
                <w:sz w:val="18"/>
                <w:szCs w:val="18"/>
                <w:color w:val="auto"/>
              </w:rPr>
            </w:pPr>
          </w:p>
        </w:tc>
        <w:tc>
          <w:tcPr>
            <w:tcW w:w="1760" w:type="dxa"/>
            <w:vAlign w:val="bottom"/>
            <w:gridSpan w:val="2"/>
          </w:tcPr>
          <w:p>
            <w:pPr>
              <w:jc w:val="right"/>
              <w:ind w:right="320"/>
              <w:spacing w:after="0"/>
              <w:rPr>
                <w:sz w:val="20"/>
                <w:szCs w:val="20"/>
                <w:color w:val="auto"/>
              </w:rPr>
            </w:pPr>
            <w:r>
              <w:rPr>
                <w:rFonts w:ascii="Arial" w:cs="Arial" w:eastAsia="Arial" w:hAnsi="Arial"/>
                <w:sz w:val="18"/>
                <w:szCs w:val="18"/>
                <w:color w:val="auto"/>
              </w:rPr>
              <w:t>(1,141 )</w:t>
            </w:r>
          </w:p>
        </w:tc>
        <w:tc>
          <w:tcPr>
            <w:tcW w:w="54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(3,400 )</w:t>
            </w: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Accumulated other comprehensive loss</w:t>
            </w:r>
          </w:p>
        </w:tc>
        <w:tc>
          <w:tcPr>
            <w:tcW w:w="7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(1,759 )</w:t>
            </w:r>
          </w:p>
        </w:tc>
        <w:tc>
          <w:tcPr>
            <w:tcW w:w="5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(1,807 )</w:t>
            </w:r>
          </w:p>
        </w:tc>
      </w:tr>
      <w:tr>
        <w:trPr>
          <w:trHeight w:val="216"/>
        </w:trPr>
        <w:tc>
          <w:tcPr>
            <w:tcW w:w="20" w:type="dxa"/>
            <w:vAlign w:val="bottom"/>
          </w:tcPr>
          <w:p>
            <w:pPr>
              <w:spacing w:after="0"/>
              <w:rPr>
                <w:sz w:val="18"/>
                <w:szCs w:val="18"/>
                <w:color w:val="auto"/>
              </w:rPr>
            </w:pPr>
          </w:p>
        </w:tc>
        <w:tc>
          <w:tcPr>
            <w:tcW w:w="6920" w:type="dxa"/>
            <w:vAlign w:val="bottom"/>
          </w:tcPr>
          <w:p>
            <w:pPr>
              <w:ind w:left="200"/>
              <w:spacing w:after="0"/>
              <w:rPr>
                <w:sz w:val="20"/>
                <w:szCs w:val="20"/>
                <w:color w:val="auto"/>
              </w:rPr>
            </w:pPr>
            <w:r>
              <w:rPr>
                <w:rFonts w:ascii="Arial" w:cs="Arial" w:eastAsia="Arial" w:hAnsi="Arial"/>
                <w:sz w:val="18"/>
                <w:szCs w:val="18"/>
                <w:color w:val="auto"/>
              </w:rPr>
              <w:t>Accumulated deficit</w:t>
            </w:r>
          </w:p>
        </w:tc>
        <w:tc>
          <w:tcPr>
            <w:tcW w:w="720" w:type="dxa"/>
            <w:vAlign w:val="bottom"/>
          </w:tcPr>
          <w:p>
            <w:pPr>
              <w:spacing w:after="0"/>
              <w:rPr>
                <w:sz w:val="18"/>
                <w:szCs w:val="18"/>
                <w:color w:val="auto"/>
              </w:rPr>
            </w:pPr>
          </w:p>
        </w:tc>
        <w:tc>
          <w:tcPr>
            <w:tcW w:w="1760" w:type="dxa"/>
            <w:vAlign w:val="bottom"/>
            <w:gridSpan w:val="2"/>
          </w:tcPr>
          <w:p>
            <w:pPr>
              <w:jc w:val="right"/>
              <w:ind w:right="320"/>
              <w:spacing w:after="0"/>
              <w:rPr>
                <w:sz w:val="20"/>
                <w:szCs w:val="20"/>
                <w:color w:val="auto"/>
              </w:rPr>
            </w:pPr>
            <w:r>
              <w:rPr>
                <w:rFonts w:ascii="Arial" w:cs="Arial" w:eastAsia="Arial" w:hAnsi="Arial"/>
                <w:sz w:val="18"/>
                <w:szCs w:val="18"/>
                <w:color w:val="auto"/>
              </w:rPr>
              <w:t>(201,755 )</w:t>
            </w:r>
          </w:p>
        </w:tc>
        <w:tc>
          <w:tcPr>
            <w:tcW w:w="54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(533,118 )</w:t>
            </w:r>
          </w:p>
        </w:tc>
      </w:tr>
      <w:tr>
        <w:trPr>
          <w:trHeight w:val="210"/>
        </w:trPr>
        <w:tc>
          <w:tcPr>
            <w:tcW w:w="20" w:type="dxa"/>
            <w:vAlign w:val="bottom"/>
          </w:tcPr>
          <w:p>
            <w:pPr>
              <w:spacing w:after="0"/>
              <w:rPr>
                <w:sz w:val="18"/>
                <w:szCs w:val="18"/>
                <w:color w:val="auto"/>
              </w:rPr>
            </w:pPr>
          </w:p>
        </w:tc>
        <w:tc>
          <w:tcPr>
            <w:tcW w:w="6920" w:type="dxa"/>
            <w:vAlign w:val="bottom"/>
            <w:tcBorders>
              <w:top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 shareholders’ equity</w:t>
            </w:r>
          </w:p>
        </w:tc>
        <w:tc>
          <w:tcPr>
            <w:tcW w:w="720" w:type="dxa"/>
            <w:vAlign w:val="bottom"/>
            <w:tcBorders>
              <w:top w:val="single" w:sz="8" w:color="auto"/>
              <w:bottom w:val="single" w:sz="8" w:color="auto"/>
            </w:tcBorders>
            <w:shd w:val="clear" w:color="auto" w:fill="CCEEFF"/>
          </w:tcPr>
          <w:p>
            <w:pPr>
              <w:spacing w:after="0"/>
              <w:rPr>
                <w:sz w:val="18"/>
                <w:szCs w:val="18"/>
                <w:color w:val="auto"/>
              </w:rPr>
            </w:pPr>
          </w:p>
        </w:tc>
        <w:tc>
          <w:tcPr>
            <w:tcW w:w="13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3,046,097</w:t>
            </w:r>
          </w:p>
        </w:tc>
        <w:tc>
          <w:tcPr>
            <w:tcW w:w="40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2,497,430</w:t>
            </w:r>
          </w:p>
        </w:tc>
        <w:tc>
          <w:tcPr>
            <w:tcW w:w="300" w:type="dxa"/>
            <w:vAlign w:val="bottom"/>
            <w:tcBorders>
              <w:top w:val="single" w:sz="8" w:color="CCEEFF"/>
            </w:tcBorders>
            <w:shd w:val="clear" w:color="auto" w:fill="CCEEFF"/>
          </w:tcPr>
          <w:p>
            <w:pPr>
              <w:spacing w:after="0"/>
              <w:rPr>
                <w:sz w:val="18"/>
                <w:szCs w:val="18"/>
                <w:color w:val="auto"/>
              </w:rPr>
            </w:pPr>
          </w:p>
        </w:tc>
      </w:tr>
      <w:tr>
        <w:trPr>
          <w:trHeight w:val="217"/>
        </w:trPr>
        <w:tc>
          <w:tcPr>
            <w:tcW w:w="20" w:type="dxa"/>
            <w:vAlign w:val="bottom"/>
          </w:tcPr>
          <w:p>
            <w:pPr>
              <w:spacing w:after="0"/>
              <w:rPr>
                <w:sz w:val="18"/>
                <w:szCs w:val="18"/>
                <w:color w:val="auto"/>
              </w:rPr>
            </w:pPr>
          </w:p>
        </w:tc>
        <w:tc>
          <w:tcPr>
            <w:tcW w:w="6920" w:type="dxa"/>
            <w:vAlign w:val="bottom"/>
          </w:tcPr>
          <w:p>
            <w:pPr>
              <w:ind w:left="380"/>
              <w:spacing w:after="0"/>
              <w:rPr>
                <w:sz w:val="20"/>
                <w:szCs w:val="20"/>
                <w:color w:val="auto"/>
              </w:rPr>
            </w:pPr>
            <w:r>
              <w:rPr>
                <w:rFonts w:ascii="Arial" w:cs="Arial" w:eastAsia="Arial" w:hAnsi="Arial"/>
                <w:sz w:val="18"/>
                <w:szCs w:val="18"/>
                <w:color w:val="auto"/>
              </w:rPr>
              <w:t>Total liabilities and shareholders’ equity</w:t>
            </w:r>
          </w:p>
        </w:tc>
        <w:tc>
          <w:tcPr>
            <w:tcW w:w="720" w:type="dxa"/>
            <w:vAlign w:val="bottom"/>
            <w:tcBorders>
              <w:bottom w:val="single" w:sz="8" w:color="auto"/>
            </w:tcBorders>
          </w:tcPr>
          <w:p>
            <w:pPr>
              <w:jc w:val="right"/>
              <w:ind w:right="53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400" w:type="dxa"/>
            <w:vAlign w:val="bottom"/>
          </w:tcPr>
          <w:p>
            <w:pPr>
              <w:spacing w:after="0"/>
              <w:rPr>
                <w:sz w:val="18"/>
                <w:szCs w:val="18"/>
                <w:color w:val="auto"/>
              </w:rPr>
            </w:pPr>
          </w:p>
        </w:tc>
        <w:tc>
          <w:tcPr>
            <w:tcW w:w="540" w:type="dxa"/>
            <w:vAlign w:val="bottom"/>
            <w:tcBorders>
              <w:bottom w:val="single" w:sz="8" w:color="auto"/>
            </w:tcBorders>
          </w:tcPr>
          <w:p>
            <w:pPr>
              <w:jc w:val="right"/>
              <w:ind w:right="35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300" w:type="dxa"/>
            <w:vAlign w:val="bottom"/>
          </w:tcPr>
          <w:p>
            <w:pPr>
              <w:spacing w:after="0"/>
              <w:rPr>
                <w:sz w:val="18"/>
                <w:szCs w:val="18"/>
                <w:color w:val="auto"/>
              </w:rPr>
            </w:pPr>
          </w:p>
        </w:tc>
      </w:tr>
      <w:tr>
        <w:trPr>
          <w:trHeight w:val="983"/>
        </w:trPr>
        <w:tc>
          <w:tcPr>
            <w:tcW w:w="20" w:type="dxa"/>
            <w:vAlign w:val="bottom"/>
            <w:tcBorders>
              <w:bottom w:val="single" w:sz="8" w:color="808080"/>
            </w:tcBorders>
          </w:tcPr>
          <w:p>
            <w:pPr>
              <w:spacing w:after="0"/>
              <w:rPr>
                <w:sz w:val="24"/>
                <w:szCs w:val="24"/>
                <w:color w:val="auto"/>
              </w:rPr>
            </w:pPr>
          </w:p>
        </w:tc>
        <w:tc>
          <w:tcPr>
            <w:tcW w:w="6920" w:type="dxa"/>
            <w:vAlign w:val="bottom"/>
            <w:tcBorders>
              <w:bottom w:val="single" w:sz="8" w:color="808080"/>
            </w:tcBorders>
          </w:tcPr>
          <w:p>
            <w:pPr>
              <w:spacing w:after="0"/>
              <w:rPr>
                <w:sz w:val="24"/>
                <w:szCs w:val="24"/>
                <w:color w:val="auto"/>
              </w:rPr>
            </w:pPr>
          </w:p>
        </w:tc>
        <w:tc>
          <w:tcPr>
            <w:tcW w:w="720" w:type="dxa"/>
            <w:vAlign w:val="bottom"/>
            <w:tcBorders>
              <w:bottom w:val="single" w:sz="8" w:color="808080"/>
            </w:tcBorders>
          </w:tcPr>
          <w:p>
            <w:pPr>
              <w:spacing w:after="0"/>
              <w:rPr>
                <w:sz w:val="24"/>
                <w:szCs w:val="24"/>
                <w:color w:val="auto"/>
              </w:rPr>
            </w:pPr>
          </w:p>
        </w:tc>
        <w:tc>
          <w:tcPr>
            <w:tcW w:w="1360" w:type="dxa"/>
            <w:vAlign w:val="bottom"/>
            <w:tcBorders>
              <w:bottom w:val="single" w:sz="8" w:color="808080"/>
            </w:tcBorders>
          </w:tcPr>
          <w:p>
            <w:pPr>
              <w:spacing w:after="0"/>
              <w:rPr>
                <w:sz w:val="24"/>
                <w:szCs w:val="24"/>
                <w:color w:val="auto"/>
              </w:rPr>
            </w:pPr>
          </w:p>
        </w:tc>
        <w:tc>
          <w:tcPr>
            <w:tcW w:w="400" w:type="dxa"/>
            <w:vAlign w:val="bottom"/>
            <w:tcBorders>
              <w:bottom w:val="single" w:sz="8" w:color="808080"/>
            </w:tcBorders>
          </w:tcPr>
          <w:p>
            <w:pPr>
              <w:spacing w:after="0"/>
              <w:rPr>
                <w:sz w:val="24"/>
                <w:szCs w:val="24"/>
                <w:color w:val="auto"/>
              </w:rPr>
            </w:pPr>
          </w:p>
        </w:tc>
        <w:tc>
          <w:tcPr>
            <w:tcW w:w="54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3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125"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o"/>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2019-12-14T20:29:22Z</dcterms:created>
  <dcterms:modified xsi:type="dcterms:W3CDTF">2019-12-14T20:29:22Z</dcterms:modified>
</cp:coreProperties>
</file>