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4</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Corp.</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2,275,250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41,878,105</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41,878,105</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14.597%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41,878,105</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41,878,105</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14.597%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spacing w:after="0" w:line="200"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Corp.</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41,878,105</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14.597%</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2,275,250</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41,878,105</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7" w:lineRule="auto"/>
        <w:rPr>
          <w:sz w:val="20"/>
          <w:szCs w:val="20"/>
          <w:color w:val="auto"/>
        </w:rPr>
      </w:pPr>
      <w:r>
        <w:rPr>
          <w:rFonts w:ascii="Courier New" w:cs="Courier New" w:eastAsia="Courier New" w:hAnsi="Courier New"/>
          <w:sz w:val="18"/>
          <w:szCs w:val="18"/>
          <w:color w:val="auto"/>
        </w:rPr>
        <w:t>Ltd.. The interest of one person, Fidelity Contrafund, an investment company registered under the Investment Company Act of 1940, in the Common Stock of Marvell Technology Group Ltd., amounted to 19,573,300 shares or 6.823% of the total outstanding Common Stock at December</w:t>
      </w:r>
    </w:p>
    <w:p>
      <w:pPr>
        <w:spacing w:after="0"/>
        <w:rPr>
          <w:sz w:val="20"/>
          <w:szCs w:val="20"/>
          <w:color w:val="auto"/>
        </w:rPr>
      </w:pPr>
      <w:r>
        <w:rPr>
          <w:rFonts w:ascii="Courier New" w:cs="Courier New" w:eastAsia="Courier New" w:hAnsi="Courier New"/>
          <w:sz w:val="18"/>
          <w:szCs w:val="18"/>
          <w:color w:val="auto"/>
        </w:rPr>
        <w:t>31, 2005.</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2006</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199"/>
        <w:spacing w:after="0" w:line="235" w:lineRule="auto"/>
        <w:rPr>
          <w:sz w:val="20"/>
          <w:szCs w:val="20"/>
          <w:color w:val="auto"/>
        </w:rPr>
      </w:pPr>
      <w:r>
        <w:rPr>
          <w:rFonts w:ascii="Courier New" w:cs="Courier New" w:eastAsia="Courier New" w:hAnsi="Courier New"/>
          <w:sz w:val="18"/>
          <w:szCs w:val="18"/>
          <w:color w:val="auto"/>
        </w:rPr>
        <w:t>dated December 30, 1997 by and on behalf of FMR Corp.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STATEMENTS</w:t>
      </w:r>
    </w:p>
    <w:p>
      <w:pPr>
        <w:ind w:left="860"/>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Corp.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39,980,705 shares or 13.936%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099" w:firstLine="843"/>
        <w:spacing w:after="0" w:line="237" w:lineRule="auto"/>
        <w:rPr>
          <w:sz w:val="20"/>
          <w:szCs w:val="20"/>
          <w:color w:val="auto"/>
        </w:rPr>
      </w:pPr>
      <w:r>
        <w:rPr>
          <w:rFonts w:ascii="Courier New" w:cs="Courier New" w:eastAsia="Courier New" w:hAnsi="Courier New"/>
          <w:sz w:val="18"/>
          <w:szCs w:val="18"/>
          <w:color w:val="auto"/>
        </w:rPr>
        <w:t>The ownership of one investment company, Fidelity Contrafund, amounted to 19,573,300 shares or 6.823% of the Common Stock outstanding. Fidelity Contrafund has its principal business office at 82 Devonshire Street, Boston, Massachusetts 02109.</w:t>
      </w:r>
    </w:p>
    <w:p>
      <w:pPr>
        <w:spacing w:after="0" w:line="209"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Corp., through its control of Fidelity, and the funds each has sole power to dispose of the 39,980,705 shares owned by the Funds.</w:t>
      </w:r>
    </w:p>
    <w:p>
      <w:pPr>
        <w:spacing w:after="0" w:line="209" w:lineRule="exact"/>
        <w:rPr>
          <w:sz w:val="20"/>
          <w:szCs w:val="20"/>
          <w:color w:val="auto"/>
        </w:rPr>
      </w:pPr>
    </w:p>
    <w:p>
      <w:pPr>
        <w:ind w:right="3679" w:firstLine="843"/>
        <w:spacing w:after="0" w:line="238" w:lineRule="auto"/>
        <w:rPr>
          <w:sz w:val="20"/>
          <w:szCs w:val="20"/>
          <w:color w:val="auto"/>
        </w:rPr>
      </w:pPr>
      <w:r>
        <w:rPr>
          <w:rFonts w:ascii="Courier New" w:cs="Courier New" w:eastAsia="Courier New" w:hAnsi="Courier New"/>
          <w:sz w:val="18"/>
          <w:szCs w:val="18"/>
          <w:color w:val="auto"/>
        </w:rPr>
        <w:t>Members of the family of Edward C. Johnson 3d, Chairman of FMR Corp., are the predominant owners, directly or through trusts, of Series B shares of common stock of FMR Corp., representing 49% of the voting power of FMR Corp. The Johnson family group and all other Series B shareholders have entered into a shareholders' voting agreement under which all Series B shares will be voted in accordance with the majority vote of Series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7"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575,900 shares or 0.201% of the Common Stock outstanding of the Company as a result of its serving as investment manager of the institutional account(s).</w:t>
      </w:r>
    </w:p>
    <w:p>
      <w:pPr>
        <w:spacing w:after="0" w:line="211" w:lineRule="exact"/>
        <w:rPr>
          <w:sz w:val="20"/>
          <w:szCs w:val="20"/>
          <w:color w:val="auto"/>
        </w:rPr>
      </w:pPr>
    </w:p>
    <w:p>
      <w:pPr>
        <w:ind w:right="3899" w:firstLine="843"/>
        <w:spacing w:after="0" w:line="273" w:lineRule="auto"/>
        <w:rPr>
          <w:sz w:val="20"/>
          <w:szCs w:val="20"/>
          <w:color w:val="auto"/>
        </w:rPr>
      </w:pPr>
      <w:r>
        <w:rPr>
          <w:rFonts w:ascii="Courier New" w:cs="Courier New" w:eastAsia="Courier New" w:hAnsi="Courier New"/>
          <w:sz w:val="16"/>
          <w:szCs w:val="16"/>
          <w:color w:val="auto"/>
        </w:rPr>
        <w:t>Edward C. Johnson 3d and FMR Corp., through its control of Fidelity Management Trust Company, each has sole dispositive power over 575,900 shares and sole power to vote or to direct the voting of 575,900 shares of Common Stock owned by the institutional account(s) as reported above.</w:t>
      </w:r>
    </w:p>
    <w:p>
      <w:pPr>
        <w:spacing w:after="0" w:line="185"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International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 pursuant to an SEC No-Action letter dated October 5, 2000, is the beneficial owner of 1,321,500 shares or 0.461% of the Common Stock outstanding of the Company.</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predominantly by members of the family of Edward C. Johnson 3d, Chairman of FMR Corp.</w:t>
      </w:r>
    </w:p>
    <w:p>
      <w:pPr>
        <w:ind w:right="3579"/>
        <w:spacing w:after="0" w:line="268" w:lineRule="auto"/>
        <w:rPr>
          <w:sz w:val="20"/>
          <w:szCs w:val="20"/>
          <w:color w:val="auto"/>
        </w:rPr>
      </w:pPr>
      <w:r>
        <w:rPr>
          <w:rFonts w:ascii="Courier New" w:cs="Courier New" w:eastAsia="Courier New" w:hAnsi="Courier New"/>
          <w:sz w:val="16"/>
          <w:szCs w:val="16"/>
          <w:color w:val="auto"/>
        </w:rPr>
        <w:t>and FIL, or trusts for their benefit, owns shares of FIL voting stock with the right to cast approximately 38% of the total votes which may be cast by all holders of FIL voting stock.</w:t>
      </w:r>
    </w:p>
    <w:p>
      <w:pPr>
        <w:spacing w:after="0" w:line="1" w:lineRule="exact"/>
        <w:rPr>
          <w:sz w:val="20"/>
          <w:szCs w:val="20"/>
          <w:color w:val="auto"/>
        </w:rPr>
      </w:pPr>
    </w:p>
    <w:p>
      <w:pPr>
        <w:ind w:right="3679"/>
        <w:spacing w:after="0" w:line="236" w:lineRule="auto"/>
        <w:rPr>
          <w:sz w:val="20"/>
          <w:szCs w:val="20"/>
          <w:color w:val="auto"/>
        </w:rPr>
      </w:pPr>
      <w:r>
        <w:rPr>
          <w:rFonts w:ascii="Courier New" w:cs="Courier New" w:eastAsia="Courier New" w:hAnsi="Courier New"/>
          <w:sz w:val="18"/>
          <w:szCs w:val="18"/>
          <w:color w:val="auto"/>
        </w:rPr>
        <w:t>FMR Corp. and FIL are separate and independent corporate entities, and their Boards of Directors are generally composed of different individuals.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ectPr>
          <w:pgSz w:w="11900" w:h="16838" w:orient="portrait"/>
          <w:cols w:equalWidth="0" w:num="1">
            <w:col w:w="10219"/>
          </w:cols>
          <w:pgMar w:left="240" w:top="136"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line="238" w:lineRule="auto"/>
        <w:rPr>
          <w:sz w:val="20"/>
          <w:szCs w:val="20"/>
          <w:color w:val="auto"/>
        </w:rPr>
      </w:pPr>
      <w:r>
        <w:rPr>
          <w:rFonts w:ascii="Courier New" w:cs="Courier New" w:eastAsia="Courier New" w:hAnsi="Courier New"/>
          <w:sz w:val="18"/>
          <w:szCs w:val="18"/>
          <w:color w:val="auto"/>
        </w:rPr>
        <w:t>Securities Exchange Act of 1934 (the "1934" Act) and that</w:t>
      </w:r>
    </w:p>
    <w:p>
      <w:pPr>
        <w:spacing w:after="0"/>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7"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line="238" w:lineRule="auto"/>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line="237" w:lineRule="auto"/>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4"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14, 2006, agree and consent to the joint filing on their behalf of this Schedule 13G in connection with their beneficial ownership of the Common Stock of Marvell Technology Group Ltd. at December 31, 2005.</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FMR Corp.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Edward C. Johnson 3d</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p>
      <w:pPr>
        <w:spacing w:after="0" w:line="20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Contrafund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Secretary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2019-12-14T20:22:01Z</dcterms:created>
  <dcterms:modified xsi:type="dcterms:W3CDTF">2019-12-14T20:22:01Z</dcterms:modified>
</cp:coreProperties>
</file>