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2" w:lineRule="exact"/>
        <w:rPr>
          <w:sz w:val="24"/>
          <w:szCs w:val="24"/>
          <w:color w:val="auto"/>
        </w:rPr>
      </w:pPr>
    </w:p>
    <w:p>
      <w:pPr>
        <w:ind w:left="360"/>
        <w:spacing w:after="0" w:line="22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34925</wp:posOffset>
            </wp:positionH>
            <wp:positionV relativeFrom="paragraph">
              <wp:posOffset>-233680</wp:posOffset>
            </wp:positionV>
            <wp:extent cx="131445" cy="131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" cy="131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5"/>
        </w:trPr>
        <w:tc>
          <w:tcPr>
            <w:tcW w:w="6460" w:type="dxa"/>
            <w:vAlign w:val="bottom"/>
          </w:tcPr>
          <w:p>
            <w:pPr>
              <w:jc w:val="center"/>
              <w:ind w:right="2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60" w:type="dxa"/>
            <w:vAlign w:val="bottom"/>
            <w:vMerge w:val="restart"/>
          </w:tcPr>
          <w:p>
            <w:pPr>
              <w:jc w:val="center"/>
              <w:ind w:right="29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64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40" w:type="dxa"/>
            <w:vAlign w:val="bottom"/>
            <w:gridSpan w:val="3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460" w:type="dxa"/>
            <w:vAlign w:val="bottom"/>
            <w:vMerge w:val="restart"/>
          </w:tcPr>
          <w:p>
            <w:pPr>
              <w:jc w:val="center"/>
              <w:ind w:right="296"/>
              <w:spacing w:after="0" w:line="18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64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4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6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6"/>
              </w:rPr>
              <w:t>Estimated average burden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6460" w:type="dxa"/>
            <w:vAlign w:val="bottom"/>
            <w:vMerge w:val="restart"/>
          </w:tcPr>
          <w:p>
            <w:pPr>
              <w:jc w:val="center"/>
              <w:ind w:right="2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4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5423535</wp:posOffset>
            </wp:positionH>
            <wp:positionV relativeFrom="paragraph">
              <wp:posOffset>-628650</wp:posOffset>
            </wp:positionV>
            <wp:extent cx="58420" cy="641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1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4083050</wp:posOffset>
            </wp:positionH>
            <wp:positionV relativeFrom="paragraph">
              <wp:posOffset>-628650</wp:posOffset>
            </wp:positionV>
            <wp:extent cx="58420" cy="64198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1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-1762125</wp:posOffset>
            </wp:positionH>
            <wp:positionV relativeFrom="paragraph">
              <wp:posOffset>15875</wp:posOffset>
            </wp:positionV>
            <wp:extent cx="7325360" cy="93853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5360" cy="938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480"/>
            <w:col w:w="8760"/>
          </w:cols>
          <w:pgMar w:left="240" w:top="222" w:right="139" w:bottom="0" w:gutter="0" w:footer="0" w:header="0"/>
        </w:sectPr>
      </w:pP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Weili Dai &amp; Sehat Sutardja</w:t>
        </w:r>
      </w:hyperlink>
    </w:p>
    <w:p>
      <w:pPr>
        <w:spacing w:after="0" w:line="30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940" w:type="dxa"/>
            <w:vAlign w:val="bottom"/>
            <w:gridSpan w:val="2"/>
          </w:tcPr>
          <w:p>
            <w:pPr>
              <w:spacing w:after="0" w:line="138" w:lineRule="exact"/>
              <w:rPr>
                <w:rFonts w:ascii="Arial" w:cs="Arial" w:eastAsia="Arial" w:hAnsi="Arial"/>
                <w:sz w:val="15"/>
                <w:szCs w:val="15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5"/>
                  <w:szCs w:val="15"/>
                  <w:color w:val="0000EE"/>
                </w:rPr>
                <w:t xml:space="preserve">MARVELL TECHNOLOGY GROUP LTD </w:t>
              </w:r>
            </w:hyperlink>
            <w:r>
              <w:rPr>
                <w:rFonts w:ascii="Arial" w:cs="Arial" w:eastAsia="Arial" w:hAnsi="Arial"/>
                <w:sz w:val="15"/>
                <w:szCs w:val="15"/>
                <w:color w:val="000000"/>
              </w:rPr>
              <w:t>[</w:t>
            </w:r>
          </w:p>
        </w:tc>
        <w:tc>
          <w:tcPr>
            <w:tcW w:w="17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940" w:type="dxa"/>
            <w:vAlign w:val="bottom"/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60"/>
              <w:spacing w:after="0" w:line="5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6"/>
                <w:szCs w:val="6"/>
                <w:color w:val="0000FF"/>
              </w:rPr>
              <w:t>X</w:t>
            </w:r>
          </w:p>
        </w:tc>
        <w:tc>
          <w:tcPr>
            <w:tcW w:w="12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400" w:type="dxa"/>
            <w:vAlign w:val="bottom"/>
            <w:vMerge w:val="restart"/>
          </w:tcPr>
          <w:p>
            <w:pPr>
              <w:ind w:left="180"/>
              <w:spacing w:after="0" w:line="5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6"/>
                <w:szCs w:val="6"/>
                <w:color w:val="0000FF"/>
              </w:rPr>
              <w:t>X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"/>
        </w:trPr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60" w:type="dxa"/>
            <w:vAlign w:val="bottom"/>
            <w:shd w:val="clear" w:color="auto" w:fill="0000EE"/>
          </w:tcPr>
          <w:p>
            <w:pPr>
              <w:spacing w:after="0"/>
              <w:rPr>
                <w:rFonts w:ascii="Arial" w:cs="Arial" w:eastAsia="Arial" w:hAnsi="Arial"/>
                <w:sz w:val="1"/>
                <w:szCs w:val="1"/>
                <w:color w:val="0000FF"/>
              </w:rPr>
            </w:pPr>
            <w:hyperlink r:id="rId13">
              <w:r>
                <w:rPr>
                  <w:rFonts w:ascii="Arial" w:cs="Arial" w:eastAsia="Arial" w:hAnsi="Arial"/>
                  <w:sz w:val="1"/>
                  <w:szCs w:val="1"/>
                  <w:color w:val="0000FF"/>
                </w:rPr>
                <w:t xml:space="preserve">MRVL </w:t>
              </w:r>
              <w:r>
                <w:rPr>
                  <w:rFonts w:ascii="Arial" w:cs="Arial" w:eastAsia="Arial" w:hAnsi="Arial"/>
                  <w:sz w:val="1"/>
                  <w:szCs w:val="1"/>
                  <w:color w:val="000000"/>
                </w:rPr>
                <w:t>]</w:t>
              </w:r>
            </w:hyperlink>
          </w:p>
        </w:tc>
        <w:tc>
          <w:tcPr>
            <w:tcW w:w="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12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below)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12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940" w:type="dxa"/>
            <w:vAlign w:val="bottom"/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Executive Vice President &amp; CEO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3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01/06/2006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6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ind w:left="4260"/>
        <w:spacing w:after="0" w:line="235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More than One Reporting Person</w:t>
      </w: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2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2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4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300" w:type="dxa"/>
            <w:vAlign w:val="bottom"/>
            <w:gridSpan w:val="5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0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940" w:type="dxa"/>
            <w:vAlign w:val="bottom"/>
            <w:gridSpan w:val="6"/>
          </w:tcPr>
          <w:p>
            <w:pPr>
              <w:ind w:left="6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ind w:left="2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40" w:type="dxa"/>
            <w:vAlign w:val="bottom"/>
            <w:gridSpan w:val="2"/>
          </w:tcPr>
          <w:p>
            <w:pPr>
              <w:ind w:left="8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 Owned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3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restart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(A) or</w:t>
            </w:r>
          </w:p>
        </w:tc>
        <w:tc>
          <w:tcPr>
            <w:tcW w:w="920" w:type="dxa"/>
            <w:vAlign w:val="bottom"/>
            <w:gridSpan w:val="2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10,226,667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top w:val="single" w:sz="8" w:color="2C2C2C"/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top w:val="single" w:sz="8" w:color="2C2C2C"/>
              <w:bottom w:val="single" w:sz="8" w:color="2C2C2C"/>
            </w:tcBorders>
            <w:gridSpan w:val="2"/>
          </w:tcPr>
          <w:p>
            <w:pPr>
              <w:jc w:val="center"/>
              <w:ind w:left="64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01/06/2006</w:t>
            </w:r>
          </w:p>
        </w:tc>
        <w:tc>
          <w:tcPr>
            <w:tcW w:w="9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jc w:val="center"/>
              <w:ind w:right="1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60" w:type="dxa"/>
            <w:vAlign w:val="bottom"/>
            <w:tcBorders>
              <w:top w:val="single" w:sz="8" w:color="2C2C2C"/>
              <w:bottom w:val="single" w:sz="8" w:color="2C2C2C"/>
            </w:tcBorders>
            <w:gridSpan w:val="2"/>
          </w:tcPr>
          <w:p>
            <w:pPr>
              <w:jc w:val="center"/>
              <w:ind w:left="2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224,591</w:t>
            </w:r>
          </w:p>
        </w:tc>
        <w:tc>
          <w:tcPr>
            <w:tcW w:w="5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8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18.25</w:t>
            </w:r>
          </w:p>
        </w:tc>
        <w:tc>
          <w:tcPr>
            <w:tcW w:w="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top w:val="single" w:sz="8" w:color="2C2C2C"/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26,350,749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(2)</w:t>
            </w:r>
          </w:p>
        </w:tc>
        <w:tc>
          <w:tcPr>
            <w:tcW w:w="3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4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01/06/2006</w:t>
            </w: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2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224,591</w:t>
            </w: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60.986</w:t>
            </w: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26,126,158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(2)</w:t>
            </w: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4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01/09/2006</w:t>
            </w: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2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172,712</w:t>
            </w: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18.25</w:t>
            </w: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26,298,870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(2)</w:t>
            </w: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4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01/09/2006</w:t>
            </w: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2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172,712</w:t>
            </w: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0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62.1955</w:t>
            </w: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26,126,158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(2)</w:t>
            </w: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4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01/10/2006</w:t>
            </w: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3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2,303</w:t>
            </w: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18.25</w:t>
            </w: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26,128,461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(2)</w:t>
            </w: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4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01/10/2006</w:t>
            </w: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3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2,303</w:t>
            </w: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62.841</w:t>
            </w: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26,126,158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(2)</w:t>
            </w: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4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01/10/2006</w:t>
            </w: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3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394</w:t>
            </w: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</w:t>
            </w: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26,126,552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(2)</w:t>
            </w: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4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01/10/2006</w:t>
            </w: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3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394</w:t>
            </w: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62.841</w:t>
            </w: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26,126,158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(2)</w:t>
            </w: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54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60" w:type="dxa"/>
            <w:vAlign w:val="bottom"/>
            <w:gridSpan w:val="10"/>
          </w:tcPr>
          <w:p>
            <w:pPr>
              <w:ind w:left="8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5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54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Derivative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40" w:type="dxa"/>
            <w:vAlign w:val="bottom"/>
            <w:gridSpan w:val="3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54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 (Instr.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 and 4)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Direct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40" w:type="dxa"/>
            <w:vAlign w:val="bottom"/>
            <w:gridSpan w:val="3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Transaction(s)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6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6"/>
              </w:rPr>
              <w:t>12.005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29,167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(3)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4"/>
              </w:rPr>
              <w:t>29,167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4"/>
                <w:vertAlign w:val="superscript"/>
              </w:rPr>
              <w:t>(3)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6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6"/>
              </w:rPr>
              <w:t>12.005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01/10/2006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ind w:right="2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394</w:t>
            </w: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57,940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(4)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89"/>
              </w:rPr>
              <w:t>0</w:t>
            </w: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4"/>
              </w:rPr>
              <w:t>57,940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4"/>
                <w:vertAlign w:val="superscript"/>
              </w:rPr>
              <w:t>(4)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7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7"/>
              </w:rPr>
              <w:t>18.25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12/26/2013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880" w:type="dxa"/>
            <w:vAlign w:val="bottom"/>
          </w:tcPr>
          <w:p>
            <w:pPr>
              <w:jc w:val="center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1,041,667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(5)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1,041,667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5"/>
                <w:vertAlign w:val="superscript"/>
              </w:rPr>
              <w:t>(5)</w:t>
            </w:r>
          </w:p>
        </w:tc>
        <w:tc>
          <w:tcPr>
            <w:tcW w:w="6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7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7"/>
              </w:rPr>
              <w:t>18.25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01/06/2006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jc w:val="center"/>
              <w:ind w:right="2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60" w:type="dxa"/>
            <w:vAlign w:val="bottom"/>
          </w:tcPr>
          <w:p>
            <w:pPr>
              <w:jc w:val="center"/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224,591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12/26/2013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880" w:type="dxa"/>
            <w:vAlign w:val="bottom"/>
          </w:tcPr>
          <w:p>
            <w:pPr>
              <w:jc w:val="center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1,675,015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(6)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89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1,675,015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5"/>
                <w:vertAlign w:val="superscript"/>
              </w:rPr>
              <w:t>(6)</w:t>
            </w:r>
          </w:p>
        </w:tc>
        <w:tc>
          <w:tcPr>
            <w:tcW w:w="6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7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7"/>
              </w:rPr>
              <w:t>18.25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01/09/2006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jc w:val="center"/>
              <w:ind w:right="2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60" w:type="dxa"/>
            <w:vAlign w:val="bottom"/>
          </w:tcPr>
          <w:p>
            <w:pPr>
              <w:jc w:val="center"/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172,712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12/26/2013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880" w:type="dxa"/>
            <w:vAlign w:val="bottom"/>
          </w:tcPr>
          <w:p>
            <w:pPr>
              <w:jc w:val="center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1,502,303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(6)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89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1,502,303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5"/>
                <w:vertAlign w:val="superscript"/>
              </w:rPr>
              <w:t>(6)</w:t>
            </w:r>
          </w:p>
        </w:tc>
        <w:tc>
          <w:tcPr>
            <w:tcW w:w="6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7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7"/>
              </w:rPr>
              <w:t>18.25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01/10/2006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jc w:val="center"/>
              <w:ind w:right="2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60" w:type="dxa"/>
            <w:vAlign w:val="bottom"/>
          </w:tcPr>
          <w:p>
            <w:pPr>
              <w:jc w:val="center"/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2,303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12/26/2013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880" w:type="dxa"/>
            <w:vAlign w:val="bottom"/>
          </w:tcPr>
          <w:p>
            <w:pPr>
              <w:jc w:val="center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1,500,000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(6)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89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1,500,000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5"/>
                <w:vertAlign w:val="superscript"/>
              </w:rPr>
              <w:t>(6)</w:t>
            </w:r>
          </w:p>
        </w:tc>
        <w:tc>
          <w:tcPr>
            <w:tcW w:w="6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9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0"/>
              <w:spacing w:after="0" w:line="9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Stock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22" w:lineRule="exact"/>
        <w:rPr>
          <w:sz w:val="20"/>
          <w:szCs w:val="20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sectPr>
          <w:pgSz w:w="11900" w:h="16838" w:orient="portrait"/>
          <w:cols w:equalWidth="0" w:num="1">
            <w:col w:w="11520"/>
          </w:cols>
          <w:pgMar w:left="240" w:top="222" w:right="139" w:bottom="0" w:gutter="0" w:footer="0" w:header="0"/>
          <w:type w:val="continuous"/>
        </w:sectPr>
      </w:pPr>
    </w:p>
    <w:p>
      <w:pPr>
        <w:ind w:left="120"/>
        <w:spacing w:after="0"/>
        <w:rPr>
          <w:rFonts w:ascii="Arial" w:cs="Arial" w:eastAsia="Arial" w:hAnsi="Arial"/>
          <w:sz w:val="19"/>
          <w:szCs w:val="19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19"/>
            <w:szCs w:val="19"/>
            <w:u w:val="single" w:color="auto"/>
            <w:color w:val="0000EE"/>
          </w:rPr>
          <w:t>Weili Dai &amp; Sehat Sutardja</w:t>
        </w:r>
      </w:hyperlink>
    </w:p>
    <w:p>
      <w:pPr>
        <w:sectPr>
          <w:pgSz w:w="11900" w:h="16838" w:orient="portrait"/>
          <w:cols w:equalWidth="0" w:num="1">
            <w:col w:w="11520"/>
          </w:cols>
          <w:pgMar w:left="240" w:top="222" w:right="139" w:bottom="0" w:gutter="0" w:footer="0" w:header="0"/>
          <w:type w:val="continuous"/>
        </w:sectPr>
      </w:pPr>
    </w:p>
    <w:bookmarkStart w:id="1" w:name="page2"/>
    <w:bookmarkEnd w:id="1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5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8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8"/>
        </w:trPr>
        <w:tc>
          <w:tcPr>
            <w:tcW w:w="14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</w:t>
            </w:r>
          </w:p>
        </w:tc>
        <w:tc>
          <w:tcPr>
            <w:tcW w:w="138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</w:tr>
      <w:tr>
        <w:trPr>
          <w:trHeight w:val="150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8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  <w:tr>
        <w:trPr>
          <w:trHeight w:val="84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</w:tr>
      <w:tr>
        <w:trPr>
          <w:trHeight w:val="251"/>
        </w:trPr>
        <w:tc>
          <w:tcPr>
            <w:tcW w:w="278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  <w:vertAlign w:val="superscript"/>
              </w:rPr>
              <w:t>*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16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80" w:type="dxa"/>
            <w:vAlign w:val="bottom"/>
            <w:gridSpan w:val="3"/>
          </w:tcPr>
          <w:p>
            <w:pPr>
              <w:spacing w:after="0" w:line="216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Sehat Sutardja &amp; Weili Dai</w:t>
              </w:r>
            </w:hyperlink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6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9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8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8"/>
        </w:trPr>
        <w:tc>
          <w:tcPr>
            <w:tcW w:w="14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</w:t>
            </w:r>
          </w:p>
        </w:tc>
        <w:tc>
          <w:tcPr>
            <w:tcW w:w="138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</w:tr>
      <w:tr>
        <w:trPr>
          <w:trHeight w:val="150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8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127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142240</wp:posOffset>
            </wp:positionH>
            <wp:positionV relativeFrom="page">
              <wp:posOffset>88900</wp:posOffset>
            </wp:positionV>
            <wp:extent cx="2919730" cy="270129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9730" cy="2701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0"/>
          <w:szCs w:val="20"/>
          <w:color w:val="auto"/>
        </w:rPr>
      </w:pPr>
    </w:p>
    <w:p>
      <w:pPr>
        <w:ind w:left="160" w:hanging="138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Ms. Weili Dai and Dr. Sehat Sutardja are the general partners of The Sutardja Family Partners, a California family limited partnership.</w:t>
      </w:r>
    </w:p>
    <w:p>
      <w:pPr>
        <w:spacing w:after="0" w:line="44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8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securities are jointly owned by Ms. Weili Dai and Dr. Sehat Sutardja who are members of a "Group" for purposes Section 13(d) of the Exchange Act.</w:t>
      </w:r>
    </w:p>
    <w:p>
      <w:pPr>
        <w:spacing w:after="0" w:line="44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right="60" w:firstLine="2"/>
        <w:spacing w:after="0" w:line="250" w:lineRule="auto"/>
        <w:tabs>
          <w:tab w:leader="none" w:pos="15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200,000 shares which vests as follows: 25% on 06/06/03, and 4,166.66 shares per month from 07/06/03 - 06/06/06. Options become exerciseable as they vest. This Stock Option (Right to Buy) is owned directly by Ms. Weili Dai and indirectly by her spouse, Dr. Sehat Sutardja.</w:t>
      </w:r>
    </w:p>
    <w:p>
      <w:pPr>
        <w:spacing w:after="0" w:line="2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right="60" w:firstLine="2"/>
        <w:spacing w:after="0" w:line="250" w:lineRule="auto"/>
        <w:tabs>
          <w:tab w:leader="none" w:pos="15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400,000 shares which vests as follows: 25% on 06/06/03, and 8,333.32 shares per month from 07/06/03 - 06/06/06. Options become exerciseable as they vest. This Stock Option (Right to Buy) is owned directly by Dr. Sehat Sutardja and indirectly by his spouse, Ms. Weili Dai.</w:t>
      </w:r>
    </w:p>
    <w:p>
      <w:pPr>
        <w:spacing w:after="0" w:line="2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firstLine="2"/>
        <w:spacing w:after="0" w:line="250" w:lineRule="auto"/>
        <w:tabs>
          <w:tab w:leader="none" w:pos="15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2,000,000 which vests as follows: 25% on 12/26/04, and 41,666 per month from 01/26/05 - 12/26/07. Options become exerciseable as they vest. This Stock Option (Right to Buy) is owned directly by Ms. Weili Dai and indirectly by her spouse, Dr. Sehat Sutardja.</w:t>
      </w:r>
    </w:p>
    <w:p>
      <w:pPr>
        <w:spacing w:after="0" w:line="2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right="40" w:firstLine="2"/>
        <w:spacing w:after="0" w:line="250" w:lineRule="auto"/>
        <w:tabs>
          <w:tab w:leader="none" w:pos="15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3,000,000 shares which vests as follows: 25 % on 12/26/04, and 62,500 shares per month from 01/26/05 - 12/26/07. Options become exerciseable as they vest. This Stock Option (Right to Buy) is owned directly by Dr. Sehat Sutardja and indirectly by his spouse, Ms. Weili Dai.</w:t>
      </w:r>
    </w:p>
    <w:p>
      <w:pPr>
        <w:spacing w:after="0" w:line="17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18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Weili Dai &amp; Dr. Sehat Sutardja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01/10/2006</w:t>
            </w:r>
          </w:p>
        </w:tc>
      </w:tr>
      <w:tr>
        <w:trPr>
          <w:trHeight w:val="22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1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5" w:lineRule="exact"/>
        <w:rPr>
          <w:sz w:val="20"/>
          <w:szCs w:val="20"/>
          <w:color w:val="auto"/>
        </w:rPr>
      </w:pPr>
    </w:p>
    <w:p>
      <w:pPr>
        <w:jc w:val="both"/>
        <w:ind w:left="20" w:right="3800" w:firstLine="2"/>
        <w:spacing w:after="0" w:line="336" w:lineRule="auto"/>
        <w:tabs>
          <w:tab w:leader="none" w:pos="15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300"/>
      </w:cols>
      <w:pgMar w:left="260" w:top="140" w:right="3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5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140" TargetMode="External"/><Relationship Id="rId13" Type="http://schemas.openxmlformats.org/officeDocument/2006/relationships/hyperlink" Target="http://www.sec.gov/cgi-bin/browse-edgar?action=getcompany&amp;CIK=0001058057" TargetMode="External"/><Relationship Id="rId14" Type="http://schemas.openxmlformats.org/officeDocument/2006/relationships/hyperlink" Target="http://www.sec.gov/cgi-bin/browse-edgar?action=getcompany&amp;CIK=0001134141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2019-12-17T02:09:07Z</dcterms:created>
  <dcterms:modified xsi:type="dcterms:W3CDTF">2019-12-17T02:09:07Z</dcterms:modified>
</cp:coreProperties>
</file>