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9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157480</wp:posOffset>
            </wp:positionH>
            <wp:positionV relativeFrom="page">
              <wp:posOffset>157480</wp:posOffset>
            </wp:positionV>
            <wp:extent cx="7246620" cy="342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3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157480</wp:posOffset>
            </wp:positionH>
            <wp:positionV relativeFrom="page">
              <wp:posOffset>226060</wp:posOffset>
            </wp:positionV>
            <wp:extent cx="7246620" cy="34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3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UNITED STATES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SECURITIES AND EXCHANGE COMMISSION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Washington, D.C. 20549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FORM 8-K</w:t>
      </w:r>
    </w:p>
    <w:p>
      <w:pPr>
        <w:spacing w:after="0" w:line="226" w:lineRule="exact"/>
        <w:rPr>
          <w:sz w:val="24"/>
          <w:szCs w:val="24"/>
          <w:color w:val="auto"/>
        </w:rPr>
      </w:pPr>
    </w:p>
    <w:p>
      <w:pPr>
        <w:ind w:left="47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CURRENT REPORT</w:t>
      </w: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Pursuant to Section 13 or 15(d) of the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Securities Exchange Act of 1934</w:t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 xml:space="preserve">Date of Report (Date of Earliest Event Reported): </w:t>
      </w: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March 27, 2006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MARVELL TECHNOLOGY GROUP LTD.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(Exact name of registrant as specified in its charter)</w:t>
      </w:r>
    </w:p>
    <w:p>
      <w:pPr>
        <w:sectPr>
          <w:pgSz w:w="11900" w:h="16897" w:orient="portrait"/>
          <w:cols w:equalWidth="0" w:num="1">
            <w:col w:w="11380"/>
          </w:cols>
          <w:pgMar w:left="240" w:top="585" w:right="279" w:bottom="0" w:gutter="0" w:footer="0" w:header="0"/>
        </w:sect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Bermuda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(State or Other Jurisdiction of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1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Incorporation)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5" w:lineRule="exact"/>
        <w:rPr>
          <w:sz w:val="24"/>
          <w:szCs w:val="24"/>
          <w:color w:val="auto"/>
        </w:rPr>
      </w:pPr>
    </w:p>
    <w:p>
      <w:pPr>
        <w:jc w:val="center"/>
        <w:ind w:righ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0-30877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(Commission File Number)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5" w:lineRule="exact"/>
        <w:rPr>
          <w:sz w:val="24"/>
          <w:szCs w:val="24"/>
          <w:color w:val="auto"/>
        </w:rPr>
      </w:pPr>
    </w:p>
    <w:p>
      <w:pPr>
        <w:jc w:val="center"/>
        <w:ind w:right="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77-0481679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(I.R.S. Employer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Identification No.)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sectPr>
          <w:pgSz w:w="11900" w:h="16897" w:orient="portrait"/>
          <w:cols w:equalWidth="0" w:num="3">
            <w:col w:w="4020" w:space="720"/>
            <w:col w:w="3460" w:space="720"/>
            <w:col w:w="2460"/>
          </w:cols>
          <w:pgMar w:left="240" w:top="585" w:right="279" w:bottom="0" w:gutter="0" w:footer="0" w:header="0"/>
          <w:type w:val="continuous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Canon’s Court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22 Victoria Street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Hamilton HM 12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Bermuda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(Address of principal executive offices)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(441) 296-6395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(Registrant’s telephone number,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including area code)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N/A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(Former name or former address, if changed since last report.)</w:t>
      </w:r>
    </w:p>
    <w:p>
      <w:pPr>
        <w:sectPr>
          <w:pgSz w:w="11900" w:h="16897" w:orient="portrait"/>
          <w:cols w:equalWidth="0" w:num="1">
            <w:col w:w="11380"/>
          </w:cols>
          <w:pgMar w:left="240" w:top="585" w:right="279" w:bottom="0" w:gutter="0" w:footer="0" w:header="0"/>
          <w:type w:val="continuous"/>
        </w:sectPr>
      </w:pPr>
    </w:p>
    <w:p>
      <w:pPr>
        <w:spacing w:after="0" w:line="234" w:lineRule="exact"/>
        <w:rPr>
          <w:sz w:val="24"/>
          <w:szCs w:val="24"/>
          <w:color w:val="auto"/>
        </w:rPr>
      </w:pPr>
    </w:p>
    <w:p>
      <w:pPr>
        <w:spacing w:after="0" w:line="27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Check the appropriate box below if the Form 8-K filing is intended to simultaneously satisfy the filing obligations of the registrant under any of the following provisions (see General Instruction A.2. below):</w:t>
      </w:r>
    </w:p>
    <w:p>
      <w:pPr>
        <w:spacing w:after="0" w:line="17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 Written communications pursuant to Rule 425 under the Securities Act (17 CFR 230.425)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 Soliciting material pursuant to Rule 14a-12 under the Exchange Act (17 CFR 240.14a-12)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 Pre-commencement communications pursuant to Rule 14d-2(b) under the Exchange Act (17 CFR 240.14d-2(b))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 Pre-commencement communications pursuant to Rule 13e-4(c) under the Exchange Act (17 CFR 240-13e-4(c))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152400</wp:posOffset>
            </wp:positionV>
            <wp:extent cx="7246620" cy="34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3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220980</wp:posOffset>
            </wp:positionV>
            <wp:extent cx="7246620" cy="342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620" cy="3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458470</wp:posOffset>
            </wp:positionV>
            <wp:extent cx="7267575" cy="215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13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Item 5.02.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Departure of Directors or Principal Officers; Election of Directors; Appointment of Principal Officers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right="20" w:firstLine="8"/>
        <w:spacing w:after="0" w:line="277" w:lineRule="auto"/>
        <w:tabs>
          <w:tab w:leader="none" w:pos="655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On March 27, 2006, Dr. John Cioffi notified Marvell Technology Group Ltd. (“Marvell”) that he intends to retire as a director on Marvell’s Board of Directors, with such retirement to be effective April 1, 2006.</w:t>
      </w:r>
    </w:p>
    <w:p>
      <w:pPr>
        <w:spacing w:after="0" w:line="170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81280</wp:posOffset>
            </wp:positionV>
            <wp:extent cx="7267575" cy="215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SIGNATURE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right="440" w:firstLine="648"/>
        <w:spacing w:after="0" w:line="27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the requirements of the Securities Exchange Act of 1934, the registrant has duly caused this report to be signed on its behalf by the undersigned hereunto duly authorized.</w:t>
      </w:r>
    </w:p>
    <w:p>
      <w:pPr>
        <w:spacing w:after="0" w:line="170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Dated: March 27, 2006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2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 GROUP LTD.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tbl>
      <w:tblPr>
        <w:tblLayout w:type="fixed"/>
        <w:tblInd w:w="6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By:</w:t>
            </w:r>
          </w:p>
        </w:tc>
        <w:tc>
          <w:tcPr>
            <w:tcW w:w="3840" w:type="dxa"/>
            <w:vAlign w:val="bottom"/>
            <w:tcBorders>
              <w:bottom w:val="single" w:sz="8" w:color="auto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/s/ George A. Hervey</w:t>
            </w:r>
          </w:p>
        </w:tc>
      </w:tr>
      <w:tr>
        <w:trPr>
          <w:trHeight w:val="18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40" w:type="dxa"/>
            <w:vAlign w:val="bottom"/>
          </w:tcPr>
          <w:p>
            <w:pPr>
              <w:jc w:val="center"/>
              <w:ind w:right="39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1"/>
              </w:rPr>
              <w:t>George A. Hervey</w:t>
            </w:r>
          </w:p>
        </w:tc>
      </w:tr>
      <w:tr>
        <w:trPr>
          <w:trHeight w:val="230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40" w:type="dxa"/>
            <w:vAlign w:val="bottom"/>
          </w:tcPr>
          <w:p>
            <w:pPr>
              <w:jc w:val="center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9"/>
              </w:rPr>
              <w:t>Vice President of Finance and</w:t>
            </w:r>
          </w:p>
        </w:tc>
      </w:tr>
    </w:tbl>
    <w:p>
      <w:pPr>
        <w:sectPr>
          <w:pgSz w:w="11900" w:h="16897" w:orient="portrait"/>
          <w:cols w:equalWidth="0" w:num="1">
            <w:col w:w="11380"/>
          </w:cols>
          <w:pgMar w:left="240" w:top="585" w:right="279" w:bottom="0" w:gutter="0" w:footer="0" w:header="0"/>
          <w:type w:val="continuous"/>
        </w:sectPr>
      </w:pPr>
    </w:p>
    <w:bookmarkStart w:id="1" w:name="page2"/>
    <w:bookmarkEnd w:id="1"/>
    <w:p>
      <w:pPr>
        <w:jc w:val="right"/>
        <w:ind w:right="9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Chief Financial Officer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-758190</wp:posOffset>
            </wp:positionH>
            <wp:positionV relativeFrom="paragraph">
              <wp:posOffset>88900</wp:posOffset>
            </wp:positionV>
            <wp:extent cx="7267575" cy="215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0" w:num="1">
        <w:col w:w="9019"/>
      </w:cols>
      <w:pgMar w:left="144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(%1)"/>
      <w:numFmt w:val="lowerLetter"/>
      <w:start w:val="2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2019-12-14T20:23:48Z</dcterms:created>
  <dcterms:modified xsi:type="dcterms:W3CDTF">2019-12-14T20:23:48Z</dcterms:modified>
</cp:coreProperties>
</file>