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t>UNITED STATES</w:t>
      </w:r>
    </w:p>
    <w:p>
      <w:pPr>
        <w:spacing w:after="0" w:line="2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w:t>
      </w:r>
    </w:p>
    <w:p>
      <w:pPr>
        <w:jc w:val="center"/>
        <w:spacing w:after="0"/>
        <w:rPr>
          <w:sz w:val="20"/>
          <w:szCs w:val="20"/>
          <w:color w:val="auto"/>
        </w:rPr>
      </w:pPr>
      <w:r>
        <w:rPr>
          <w:rFonts w:ascii="Arial" w:cs="Arial" w:eastAsia="Arial" w:hAnsi="Arial"/>
          <w:sz w:val="32"/>
          <w:szCs w:val="32"/>
          <w:b w:val="1"/>
          <w:bCs w:val="1"/>
          <w:color w:val="auto"/>
        </w:rPr>
        <w:t>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SCHEDULE 13G</w:t>
      </w:r>
    </w:p>
    <w:p>
      <w:pPr>
        <w:spacing w:after="0" w:line="23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(Amendment No. 2)*</w:t>
      </w:r>
    </w:p>
    <w:p>
      <w:pPr>
        <w:spacing w:after="0" w:line="18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24130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of Issuer)</w:t>
      </w:r>
    </w:p>
    <w:p>
      <w:pPr>
        <w:spacing w:after="0" w:line="20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54"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ind w:left="5080" w:right="5080" w:firstLine="156"/>
        <w:spacing w:after="0" w:line="400" w:lineRule="auto"/>
        <w:tabs>
          <w:tab w:leader="none" w:pos="542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5876H105 </w:t>
      </w:r>
      <w:r>
        <w:rPr>
          <w:rFonts w:ascii="Arial" w:cs="Arial" w:eastAsia="Arial" w:hAnsi="Arial"/>
          <w:sz w:val="16"/>
          <w:szCs w:val="16"/>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December 31, 2005</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63" w:lineRule="exact"/>
        <w:rPr>
          <w:sz w:val="24"/>
          <w:szCs w:val="24"/>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13d-1(b)</w:t>
      </w:r>
    </w:p>
    <w:p>
      <w:pPr>
        <w:spacing w:after="0" w:line="117" w:lineRule="exact"/>
        <w:rPr>
          <w:rFonts w:ascii="Arial" w:cs="Arial" w:eastAsia="Arial" w:hAnsi="Arial"/>
          <w:sz w:val="18"/>
          <w:szCs w:val="18"/>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13d-1(c)</w:t>
      </w:r>
    </w:p>
    <w:p>
      <w:pPr>
        <w:spacing w:after="0" w:line="117" w:lineRule="exact"/>
        <w:rPr>
          <w:sz w:val="24"/>
          <w:szCs w:val="24"/>
          <w:color w:val="auto"/>
        </w:rPr>
      </w:pPr>
    </w:p>
    <w:p>
      <w:pPr>
        <w:ind w:left="1140" w:hanging="673"/>
        <w:spacing w:after="0"/>
        <w:tabs>
          <w:tab w:leader="none" w:pos="11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79" w:lineRule="exact"/>
        <w:rPr>
          <w:sz w:val="24"/>
          <w:szCs w:val="24"/>
          <w:color w:val="auto"/>
        </w:rPr>
      </w:pPr>
    </w:p>
    <w:p>
      <w:pPr>
        <w:ind w:left="660" w:right="160"/>
        <w:spacing w:after="0" w:line="308"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47" w:lineRule="exact"/>
        <w:rPr>
          <w:sz w:val="24"/>
          <w:szCs w:val="24"/>
          <w:color w:val="auto"/>
        </w:rPr>
      </w:pPr>
    </w:p>
    <w:p>
      <w:pPr>
        <w:ind w:left="660" w:right="280"/>
        <w:spacing w:after="0" w:line="264" w:lineRule="auto"/>
        <w:rPr>
          <w:sz w:val="20"/>
          <w:szCs w:val="20"/>
          <w:color w:val="auto"/>
        </w:rPr>
      </w:pPr>
      <w:r>
        <w:rPr>
          <w:rFonts w:ascii="Arial" w:cs="Arial" w:eastAsia="Arial" w:hAnsi="Arial"/>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190500</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4" w:lineRule="exact"/>
        <w:rPr>
          <w:sz w:val="24"/>
          <w:szCs w:val="24"/>
          <w:color w:val="auto"/>
        </w:rPr>
      </w:pPr>
    </w:p>
    <w:p>
      <w:pPr>
        <w:ind w:left="60"/>
        <w:spacing w:after="0"/>
        <w:rPr>
          <w:sz w:val="20"/>
          <w:szCs w:val="20"/>
          <w:color w:val="auto"/>
        </w:rPr>
      </w:pPr>
      <w:r>
        <w:rPr>
          <w:rFonts w:ascii="Arial" w:cs="Arial" w:eastAsia="Arial" w:hAnsi="Arial"/>
          <w:sz w:val="18"/>
          <w:szCs w:val="18"/>
          <w:color w:val="auto"/>
        </w:rPr>
        <w:t>CUSIP No. 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ind w:left="1060" w:right="4080" w:hanging="620"/>
        <w:spacing w:after="0" w:line="277"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Names of Reporting Persons. I.R.S. Identification Nos. of above persons (entities only) Dr. Pantas Sutardja</w:t>
      </w:r>
    </w:p>
    <w:p>
      <w:pPr>
        <w:spacing w:after="0" w:line="386"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17" w:lineRule="exact"/>
        <w:rPr>
          <w:rFonts w:ascii="Arial" w:cs="Arial" w:eastAsia="Arial" w:hAnsi="Arial"/>
          <w:sz w:val="18"/>
          <w:szCs w:val="18"/>
          <w:color w:val="auto"/>
        </w:rPr>
      </w:pPr>
    </w:p>
    <w:p>
      <w:pPr>
        <w:ind w:left="2220" w:hanging="1159"/>
        <w:spacing w:after="0"/>
        <w:tabs>
          <w:tab w:leader="none" w:pos="2220" w:val="left"/>
        </w:tabs>
        <w:numPr>
          <w:ilvl w:val="1"/>
          <w:numId w:val="4"/>
        </w:numPr>
        <w:rPr>
          <w:rFonts w:ascii="Arial" w:cs="Arial" w:eastAsia="Arial" w:hAnsi="Arial"/>
          <w:sz w:val="18"/>
          <w:szCs w:val="18"/>
          <w:color w:val="auto"/>
        </w:rPr>
      </w:pPr>
      <w:r>
        <w:rPr>
          <w:rFonts w:ascii="Arial" w:cs="Arial" w:eastAsia="Arial" w:hAnsi="Arial"/>
          <w:sz w:val="18"/>
          <w:szCs w:val="18"/>
          <w:color w:val="auto"/>
        </w:rPr>
        <w:t>o</w:t>
      </w:r>
    </w:p>
    <w:p>
      <w:pPr>
        <w:spacing w:after="0" w:line="130" w:lineRule="exact"/>
        <w:rPr>
          <w:rFonts w:ascii="Arial" w:cs="Arial" w:eastAsia="Arial" w:hAnsi="Arial"/>
          <w:sz w:val="18"/>
          <w:szCs w:val="18"/>
          <w:color w:val="auto"/>
        </w:rPr>
      </w:pPr>
    </w:p>
    <w:p>
      <w:pPr>
        <w:ind w:left="2220" w:hanging="1159"/>
        <w:spacing w:after="0"/>
        <w:tabs>
          <w:tab w:leader="none" w:pos="2220" w:val="left"/>
        </w:tabs>
        <w:numPr>
          <w:ilvl w:val="1"/>
          <w:numId w:val="4"/>
        </w:numPr>
        <w:rPr>
          <w:rFonts w:ascii="Arial" w:cs="Arial" w:eastAsia="Arial" w:hAnsi="Arial"/>
          <w:sz w:val="18"/>
          <w:szCs w:val="18"/>
          <w:color w:val="auto"/>
        </w:rPr>
      </w:pPr>
      <w:r>
        <w:rPr>
          <w:rFonts w:ascii="Arial" w:cs="Arial" w:eastAsia="Arial" w:hAnsi="Arial"/>
          <w:sz w:val="18"/>
          <w:szCs w:val="18"/>
          <w:color w:val="auto"/>
        </w:rPr>
        <w:t>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7740" w:hanging="620"/>
        <w:spacing w:after="0" w:line="277"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639445</wp:posOffset>
            </wp:positionH>
            <wp:positionV relativeFrom="paragraph">
              <wp:posOffset>14605</wp:posOffset>
            </wp:positionV>
            <wp:extent cx="66122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-534035</wp:posOffset>
            </wp:positionV>
            <wp:extent cx="66122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-945515</wp:posOffset>
            </wp:positionV>
            <wp:extent cx="587438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-1159510</wp:posOffset>
            </wp:positionV>
            <wp:extent cx="58743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-1777365</wp:posOffset>
            </wp:positionV>
            <wp:extent cx="661225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pacing w:after="0" w:line="380" w:lineRule="exact"/>
        <w:rPr>
          <w:sz w:val="24"/>
          <w:szCs w:val="24"/>
          <w:color w:val="auto"/>
        </w:rPr>
      </w:pPr>
    </w:p>
    <w:tbl>
      <w:tblPr>
        <w:tblLayout w:type="fixed"/>
        <w:tblInd w:w="60" w:type="dxa"/>
        <w:tblCellMar>
          <w:top w:w="0" w:type="dxa"/>
          <w:left w:w="0" w:type="dxa"/>
          <w:bottom w:w="0" w:type="dxa"/>
          <w:right w:w="0" w:type="dxa"/>
        </w:tblCellMar>
      </w:tblP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Number of</w:t>
            </w:r>
          </w:p>
        </w:tc>
        <w:tc>
          <w:tcPr>
            <w:tcW w:w="1400" w:type="dxa"/>
            <w:vAlign w:val="bottom"/>
          </w:tcPr>
          <w:p>
            <w:pPr>
              <w:jc w:val="right"/>
              <w:ind w:right="810"/>
              <w:spacing w:after="0"/>
              <w:rPr>
                <w:sz w:val="20"/>
                <w:szCs w:val="20"/>
                <w:color w:val="auto"/>
              </w:rPr>
            </w:pPr>
            <w:r>
              <w:rPr>
                <w:rFonts w:ascii="Arial" w:cs="Arial" w:eastAsia="Arial" w:hAnsi="Arial"/>
                <w:sz w:val="18"/>
                <w:szCs w:val="18"/>
                <w:color w:val="auto"/>
              </w:rPr>
              <w:t>5.</w:t>
            </w:r>
          </w:p>
        </w:tc>
        <w:tc>
          <w:tcPr>
            <w:tcW w:w="8720" w:type="dxa"/>
            <w:vAlign w:val="bottom"/>
          </w:tcPr>
          <w:p>
            <w:pPr>
              <w:ind w:left="6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Shares</w:t>
            </w:r>
          </w:p>
        </w:tc>
        <w:tc>
          <w:tcPr>
            <w:tcW w:w="1400" w:type="dxa"/>
            <w:vAlign w:val="bottom"/>
          </w:tcPr>
          <w:p>
            <w:pPr>
              <w:spacing w:after="0"/>
              <w:rPr>
                <w:sz w:val="18"/>
                <w:szCs w:val="18"/>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658,333 Shares</w:t>
            </w:r>
          </w:p>
        </w:tc>
        <w:tc>
          <w:tcPr>
            <w:tcW w:w="0" w:type="dxa"/>
            <w:vAlign w:val="bottom"/>
          </w:tcPr>
          <w:p>
            <w:pPr>
              <w:spacing w:after="0"/>
              <w:rPr>
                <w:sz w:val="1"/>
                <w:szCs w:val="1"/>
                <w:color w:val="auto"/>
              </w:rPr>
            </w:pPr>
          </w:p>
        </w:tc>
      </w:tr>
      <w:tr>
        <w:trPr>
          <w:trHeight w:val="68"/>
        </w:trPr>
        <w:tc>
          <w:tcPr>
            <w:tcW w:w="1240" w:type="dxa"/>
            <w:vAlign w:val="bottom"/>
            <w:vMerge w:val="restart"/>
          </w:tcPr>
          <w:p>
            <w:pPr>
              <w:spacing w:after="0"/>
              <w:rPr>
                <w:sz w:val="20"/>
                <w:szCs w:val="20"/>
                <w:color w:val="auto"/>
              </w:rPr>
            </w:pPr>
            <w:r>
              <w:rPr>
                <w:rFonts w:ascii="Arial" w:cs="Arial" w:eastAsia="Arial" w:hAnsi="Arial"/>
                <w:sz w:val="18"/>
                <w:szCs w:val="18"/>
                <w:color w:val="auto"/>
              </w:rPr>
              <w:t>Beneficially</w:t>
            </w:r>
          </w:p>
        </w:tc>
        <w:tc>
          <w:tcPr>
            <w:tcW w:w="1400" w:type="dxa"/>
            <w:vAlign w:val="bottom"/>
          </w:tcPr>
          <w:p>
            <w:pPr>
              <w:spacing w:after="0"/>
              <w:rPr>
                <w:sz w:val="5"/>
                <w:szCs w:val="5"/>
                <w:color w:val="auto"/>
              </w:rPr>
            </w:pPr>
          </w:p>
        </w:tc>
        <w:tc>
          <w:tcPr>
            <w:tcW w:w="87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28"/>
        </w:trPr>
        <w:tc>
          <w:tcPr>
            <w:tcW w:w="1240" w:type="dxa"/>
            <w:vAlign w:val="bottom"/>
            <w:vMerge w:val="continue"/>
          </w:tcPr>
          <w:p>
            <w:pPr>
              <w:spacing w:after="0"/>
              <w:rPr>
                <w:sz w:val="11"/>
                <w:szCs w:val="11"/>
                <w:color w:val="auto"/>
              </w:rPr>
            </w:pPr>
          </w:p>
        </w:tc>
        <w:tc>
          <w:tcPr>
            <w:tcW w:w="1400" w:type="dxa"/>
            <w:vAlign w:val="bottom"/>
          </w:tcPr>
          <w:p>
            <w:pPr>
              <w:spacing w:after="0"/>
              <w:rPr>
                <w:sz w:val="11"/>
                <w:szCs w:val="11"/>
                <w:color w:val="auto"/>
              </w:rPr>
            </w:pPr>
          </w:p>
        </w:tc>
        <w:tc>
          <w:tcPr>
            <w:tcW w:w="8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Owned by</w:t>
            </w:r>
          </w:p>
        </w:tc>
        <w:tc>
          <w:tcPr>
            <w:tcW w:w="1400" w:type="dxa"/>
            <w:vAlign w:val="bottom"/>
          </w:tcPr>
          <w:p>
            <w:pPr>
              <w:spacing w:after="0"/>
              <w:rPr>
                <w:sz w:val="18"/>
                <w:szCs w:val="18"/>
                <w:color w:val="auto"/>
              </w:rPr>
            </w:pPr>
          </w:p>
        </w:tc>
        <w:tc>
          <w:tcPr>
            <w:tcW w:w="8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Each</w:t>
            </w:r>
          </w:p>
        </w:tc>
        <w:tc>
          <w:tcPr>
            <w:tcW w:w="1400" w:type="dxa"/>
            <w:vAlign w:val="bottom"/>
          </w:tcPr>
          <w:p>
            <w:pPr>
              <w:jc w:val="right"/>
              <w:ind w:right="810"/>
              <w:spacing w:after="0"/>
              <w:rPr>
                <w:sz w:val="20"/>
                <w:szCs w:val="20"/>
                <w:color w:val="auto"/>
              </w:rPr>
            </w:pPr>
            <w:r>
              <w:rPr>
                <w:rFonts w:ascii="Arial" w:cs="Arial" w:eastAsia="Arial" w:hAnsi="Arial"/>
                <w:sz w:val="18"/>
                <w:szCs w:val="18"/>
                <w:color w:val="auto"/>
              </w:rPr>
              <w:t>6.</w:t>
            </w:r>
          </w:p>
        </w:tc>
        <w:tc>
          <w:tcPr>
            <w:tcW w:w="8720" w:type="dxa"/>
            <w:vAlign w:val="bottom"/>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Reporting</w:t>
            </w:r>
          </w:p>
        </w:tc>
        <w:tc>
          <w:tcPr>
            <w:tcW w:w="1400" w:type="dxa"/>
            <w:vAlign w:val="bottom"/>
          </w:tcPr>
          <w:p>
            <w:pPr>
              <w:spacing w:after="0"/>
              <w:rPr>
                <w:sz w:val="18"/>
                <w:szCs w:val="18"/>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19,392,150 shares</w:t>
            </w:r>
          </w:p>
        </w:tc>
        <w:tc>
          <w:tcPr>
            <w:tcW w:w="0" w:type="dxa"/>
            <w:vAlign w:val="bottom"/>
          </w:tcPr>
          <w:p>
            <w:pPr>
              <w:spacing w:after="0"/>
              <w:rPr>
                <w:sz w:val="1"/>
                <w:szCs w:val="1"/>
                <w:color w:val="auto"/>
              </w:rPr>
            </w:pPr>
          </w:p>
        </w:tc>
      </w:tr>
      <w:tr>
        <w:trPr>
          <w:trHeight w:val="68"/>
        </w:trPr>
        <w:tc>
          <w:tcPr>
            <w:tcW w:w="124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1400" w:type="dxa"/>
            <w:vAlign w:val="bottom"/>
          </w:tcPr>
          <w:p>
            <w:pPr>
              <w:spacing w:after="0"/>
              <w:rPr>
                <w:sz w:val="5"/>
                <w:szCs w:val="5"/>
                <w:color w:val="auto"/>
              </w:rPr>
            </w:pPr>
          </w:p>
        </w:tc>
        <w:tc>
          <w:tcPr>
            <w:tcW w:w="87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2"/>
        </w:trPr>
        <w:tc>
          <w:tcPr>
            <w:tcW w:w="1240" w:type="dxa"/>
            <w:vAlign w:val="bottom"/>
            <w:vMerge w:val="continue"/>
          </w:tcPr>
          <w:p>
            <w:pPr>
              <w:spacing w:after="0"/>
              <w:rPr>
                <w:sz w:val="12"/>
                <w:szCs w:val="12"/>
                <w:color w:val="auto"/>
              </w:rPr>
            </w:pPr>
          </w:p>
        </w:tc>
        <w:tc>
          <w:tcPr>
            <w:tcW w:w="1400" w:type="dxa"/>
            <w:vAlign w:val="bottom"/>
            <w:vMerge w:val="restart"/>
          </w:tcPr>
          <w:p>
            <w:pPr>
              <w:jc w:val="right"/>
              <w:ind w:right="810"/>
              <w:spacing w:after="0"/>
              <w:rPr>
                <w:sz w:val="20"/>
                <w:szCs w:val="20"/>
                <w:color w:val="auto"/>
              </w:rPr>
            </w:pPr>
            <w:r>
              <w:rPr>
                <w:rFonts w:ascii="Arial" w:cs="Arial" w:eastAsia="Arial" w:hAnsi="Arial"/>
                <w:sz w:val="18"/>
                <w:szCs w:val="18"/>
                <w:color w:val="auto"/>
              </w:rPr>
              <w:t>7.</w:t>
            </w:r>
          </w:p>
        </w:tc>
        <w:tc>
          <w:tcPr>
            <w:tcW w:w="8720" w:type="dxa"/>
            <w:vAlign w:val="bottom"/>
            <w:vMerge w:val="restart"/>
          </w:tcPr>
          <w:p>
            <w:pPr>
              <w:ind w:left="60"/>
              <w:spacing w:after="0"/>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418"/>
        </w:trPr>
        <w:tc>
          <w:tcPr>
            <w:tcW w:w="1240" w:type="dxa"/>
            <w:vAlign w:val="bottom"/>
          </w:tcPr>
          <w:p>
            <w:pPr>
              <w:spacing w:after="0"/>
              <w:rPr>
                <w:sz w:val="24"/>
                <w:szCs w:val="24"/>
                <w:color w:val="auto"/>
              </w:rPr>
            </w:pPr>
          </w:p>
        </w:tc>
        <w:tc>
          <w:tcPr>
            <w:tcW w:w="1400" w:type="dxa"/>
            <w:vAlign w:val="bottom"/>
            <w:vMerge w:val="continue"/>
          </w:tcPr>
          <w:p>
            <w:pPr>
              <w:spacing w:after="0"/>
              <w:rPr>
                <w:sz w:val="24"/>
                <w:szCs w:val="24"/>
                <w:color w:val="auto"/>
              </w:rPr>
            </w:pPr>
          </w:p>
        </w:tc>
        <w:tc>
          <w:tcPr>
            <w:tcW w:w="872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24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658,333 shares</w:t>
            </w:r>
          </w:p>
        </w:tc>
        <w:tc>
          <w:tcPr>
            <w:tcW w:w="0" w:type="dxa"/>
            <w:vAlign w:val="bottom"/>
          </w:tcPr>
          <w:p>
            <w:pPr>
              <w:spacing w:after="0"/>
              <w:rPr>
                <w:sz w:val="1"/>
                <w:szCs w:val="1"/>
                <w:color w:val="auto"/>
              </w:rPr>
            </w:pPr>
          </w:p>
        </w:tc>
      </w:tr>
      <w:tr>
        <w:trPr>
          <w:trHeight w:val="54"/>
        </w:trPr>
        <w:tc>
          <w:tcPr>
            <w:tcW w:w="1240" w:type="dxa"/>
            <w:vAlign w:val="bottom"/>
          </w:tcPr>
          <w:p>
            <w:pPr>
              <w:spacing w:after="0"/>
              <w:rPr>
                <w:sz w:val="4"/>
                <w:szCs w:val="4"/>
                <w:color w:val="auto"/>
              </w:rPr>
            </w:pPr>
          </w:p>
        </w:tc>
        <w:tc>
          <w:tcPr>
            <w:tcW w:w="1400" w:type="dxa"/>
            <w:vAlign w:val="bottom"/>
          </w:tcPr>
          <w:p>
            <w:pPr>
              <w:spacing w:after="0"/>
              <w:rPr>
                <w:sz w:val="4"/>
                <w:szCs w:val="4"/>
                <w:color w:val="auto"/>
              </w:rPr>
            </w:pPr>
          </w:p>
        </w:tc>
        <w:tc>
          <w:tcPr>
            <w:tcW w:w="872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22" w:right="239" w:bottom="0" w:gutter="0" w:footer="0" w:header="0"/>
        </w:sectPr>
      </w:pPr>
    </w:p>
    <w:bookmarkStart w:id="1" w:name="page2"/>
    <w:bookmarkEnd w:id="1"/>
    <w:p>
      <w:pPr>
        <w:ind w:left="2700" w:right="6320" w:hanging="1091"/>
        <w:spacing w:after="0" w:line="342" w:lineRule="auto"/>
        <w:tabs>
          <w:tab w:leader="none" w:pos="2700" w:val="left"/>
        </w:tabs>
        <w:numPr>
          <w:ilvl w:val="1"/>
          <w:numId w:val="5"/>
        </w:numPr>
        <w:rPr>
          <w:rFonts w:ascii="Arial" w:cs="Arial" w:eastAsia="Arial" w:hAnsi="Arial"/>
          <w:sz w:val="16"/>
          <w:szCs w:val="16"/>
          <w:color w:val="auto"/>
        </w:rPr>
      </w:pPr>
      <w:r>
        <w:rPr>
          <w:rFonts w:ascii="Arial" w:cs="Arial" w:eastAsia="Arial" w:hAnsi="Arial"/>
          <w:sz w:val="16"/>
          <w:szCs w:val="16"/>
          <w:color w:val="auto"/>
        </w:rPr>
        <w:t>Shared Dispositive Power 19,392,150 shares</w:t>
      </w:r>
    </w:p>
    <w:p>
      <w:pPr>
        <w:spacing w:after="0" w:line="339" w:lineRule="exact"/>
        <w:rPr>
          <w:rFonts w:ascii="Arial" w:cs="Arial" w:eastAsia="Arial" w:hAnsi="Arial"/>
          <w:sz w:val="16"/>
          <w:szCs w:val="16"/>
          <w:color w:val="auto"/>
        </w:rPr>
      </w:pPr>
    </w:p>
    <w:p>
      <w:pPr>
        <w:ind w:left="1000" w:right="5100" w:hanging="620"/>
        <w:spacing w:after="0" w:line="277" w:lineRule="auto"/>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20,050,483 shares *</w:t>
      </w:r>
    </w:p>
    <w:p>
      <w:pPr>
        <w:spacing w:after="0" w:line="386" w:lineRule="exact"/>
        <w:rPr>
          <w:rFonts w:ascii="Arial" w:cs="Arial" w:eastAsia="Arial" w:hAnsi="Arial"/>
          <w:sz w:val="18"/>
          <w:szCs w:val="18"/>
          <w:color w:val="auto"/>
        </w:rPr>
      </w:pPr>
    </w:p>
    <w:p>
      <w:pPr>
        <w:ind w:left="1000" w:hanging="620"/>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57" w:lineRule="exact"/>
        <w:rPr>
          <w:rFonts w:ascii="Arial" w:cs="Arial" w:eastAsia="Arial" w:hAnsi="Arial"/>
          <w:sz w:val="18"/>
          <w:szCs w:val="18"/>
          <w:color w:val="auto"/>
        </w:rPr>
      </w:pPr>
    </w:p>
    <w:p>
      <w:pPr>
        <w:ind w:left="1000" w:right="6100" w:hanging="620"/>
        <w:spacing w:after="0" w:line="277" w:lineRule="auto"/>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Percent of Class Represented by Amount in Row (9) 7.0 %</w:t>
      </w:r>
    </w:p>
    <w:p>
      <w:pPr>
        <w:spacing w:after="0" w:line="386" w:lineRule="exact"/>
        <w:rPr>
          <w:rFonts w:ascii="Arial" w:cs="Arial" w:eastAsia="Arial" w:hAnsi="Arial"/>
          <w:sz w:val="18"/>
          <w:szCs w:val="18"/>
          <w:color w:val="auto"/>
        </w:rPr>
      </w:pPr>
    </w:p>
    <w:p>
      <w:pPr>
        <w:ind w:left="1000" w:hanging="620"/>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601345</wp:posOffset>
            </wp:positionH>
            <wp:positionV relativeFrom="paragraph">
              <wp:posOffset>40005</wp:posOffset>
            </wp:positionV>
            <wp:extent cx="661225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-508000</wp:posOffset>
            </wp:positionV>
            <wp:extent cx="661225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-1057275</wp:posOffset>
            </wp:positionV>
            <wp:extent cx="661225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-1605915</wp:posOffset>
            </wp:positionV>
            <wp:extent cx="661225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1682115</wp:posOffset>
            </wp:positionH>
            <wp:positionV relativeFrom="paragraph">
              <wp:posOffset>-2154555</wp:posOffset>
            </wp:positionV>
            <wp:extent cx="553148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5531485" cy="8890"/>
                    </a:xfrm>
                    <a:prstGeom prst="rect">
                      <a:avLst/>
                    </a:prstGeom>
                    <a:noFill/>
                  </pic:spPr>
                </pic:pic>
              </a:graphicData>
            </a:graphic>
          </wp:anchor>
        </w:drawing>
        <w:drawing>
          <wp:anchor simplePos="0" relativeHeight="251657728" behindDoc="1" locked="0" layoutInCell="0" allowOverlap="1">
            <wp:simplePos x="0" y="0"/>
            <wp:positionH relativeFrom="column">
              <wp:posOffset>-32385</wp:posOffset>
            </wp:positionH>
            <wp:positionV relativeFrom="paragraph">
              <wp:posOffset>254635</wp:posOffset>
            </wp:positionV>
            <wp:extent cx="182689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88" w:lineRule="exact"/>
        <w:rPr>
          <w:sz w:val="20"/>
          <w:szCs w:val="20"/>
          <w:color w:val="auto"/>
        </w:rPr>
      </w:pPr>
    </w:p>
    <w:p>
      <w:pPr>
        <w:ind w:left="600"/>
        <w:spacing w:after="0" w:line="277" w:lineRule="auto"/>
        <w:rPr>
          <w:sz w:val="20"/>
          <w:szCs w:val="20"/>
          <w:color w:val="auto"/>
        </w:rPr>
      </w:pPr>
      <w:r>
        <w:rPr>
          <w:rFonts w:ascii="Arial" w:cs="Arial" w:eastAsia="Arial" w:hAnsi="Arial"/>
          <w:sz w:val="18"/>
          <w:szCs w:val="18"/>
          <w:color w:val="auto"/>
        </w:rPr>
        <w:t>*The amounts reported consist of 19,392,150 shares held by the Sutardja Chuk Revocable Family Trust and 658,333 shares beneficially owned pursuant to stock options exercisable on or at March 1, 2006.</w:t>
      </w:r>
    </w:p>
    <w:p>
      <w:pPr>
        <w:spacing w:after="0" w:line="170" w:lineRule="exact"/>
        <w:rPr>
          <w:sz w:val="20"/>
          <w:szCs w:val="20"/>
          <w:color w:val="auto"/>
        </w:rPr>
      </w:pPr>
    </w:p>
    <w:p>
      <w:pPr>
        <w:ind w:left="600"/>
        <w:spacing w:after="0"/>
        <w:rPr>
          <w:sz w:val="20"/>
          <w:szCs w:val="20"/>
          <w:color w:val="auto"/>
        </w:rPr>
      </w:pPr>
      <w:r>
        <w:rPr>
          <w:rFonts w:ascii="Arial" w:cs="Arial" w:eastAsia="Arial" w:hAnsi="Arial"/>
          <w:sz w:val="18"/>
          <w:szCs w:val="18"/>
          <w:color w:val="auto"/>
        </w:rPr>
        <w:t>(Share balances are from SEC Form 4 filed on December 13, 2005.)</w:t>
      </w:r>
    </w:p>
    <w:p>
      <w:pPr>
        <w:spacing w:after="0" w:line="225"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spacing w:after="0"/>
        <w:rPr>
          <w:sz w:val="20"/>
          <w:szCs w:val="20"/>
          <w:color w:val="auto"/>
        </w:rPr>
      </w:pPr>
      <w:r>
        <w:rPr>
          <w:rFonts w:ascii="Arial" w:cs="Arial" w:eastAsia="Arial" w:hAnsi="Arial"/>
          <w:sz w:val="18"/>
          <w:szCs w:val="18"/>
          <w:color w:val="auto"/>
        </w:rPr>
        <w:t>Item 1.</w:t>
      </w:r>
    </w:p>
    <w:p>
      <w:pPr>
        <w:spacing w:after="0" w:line="117" w:lineRule="exact"/>
        <w:rPr>
          <w:sz w:val="20"/>
          <w:szCs w:val="20"/>
          <w:color w:val="auto"/>
        </w:rPr>
      </w:pPr>
    </w:p>
    <w:p>
      <w:pPr>
        <w:ind w:left="1440" w:hanging="493"/>
        <w:spacing w:after="0"/>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6" w:lineRule="exact"/>
        <w:rPr>
          <w:rFonts w:ascii="Arial" w:cs="Arial" w:eastAsia="Arial" w:hAnsi="Arial"/>
          <w:sz w:val="18"/>
          <w:szCs w:val="18"/>
          <w:color w:val="auto"/>
        </w:rPr>
      </w:pPr>
    </w:p>
    <w:p>
      <w:pPr>
        <w:ind w:left="1440" w:right="6040" w:hanging="493"/>
        <w:spacing w:after="0" w:line="258" w:lineRule="auto"/>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spacing w:after="0" w:line="1"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40" w:right="8180"/>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15875</wp:posOffset>
            </wp:positionV>
            <wp:extent cx="632904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-883920</wp:posOffset>
            </wp:positionV>
            <wp:extent cx="632904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69"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17" w:lineRule="exact"/>
        <w:rPr>
          <w:sz w:val="20"/>
          <w:szCs w:val="20"/>
          <w:color w:val="auto"/>
        </w:rPr>
      </w:pPr>
    </w:p>
    <w:p>
      <w:pPr>
        <w:ind w:left="1440" w:right="782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Name of Person Filing Dr. Pantas Sutardja</w:t>
      </w:r>
    </w:p>
    <w:p>
      <w:pPr>
        <w:spacing w:after="0" w:line="29" w:lineRule="exact"/>
        <w:rPr>
          <w:rFonts w:ascii="Arial" w:cs="Arial" w:eastAsia="Arial" w:hAnsi="Arial"/>
          <w:sz w:val="16"/>
          <w:szCs w:val="16"/>
          <w:color w:val="auto"/>
        </w:rPr>
      </w:pPr>
    </w:p>
    <w:p>
      <w:pPr>
        <w:ind w:left="1440" w:right="5180" w:hanging="493"/>
        <w:spacing w:after="0" w:line="258" w:lineRule="auto"/>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1440" w:right="7780"/>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ind w:left="1440" w:right="848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116" w:lineRule="exact"/>
        <w:rPr>
          <w:rFonts w:ascii="Arial" w:cs="Arial" w:eastAsia="Arial" w:hAnsi="Arial"/>
          <w:sz w:val="18"/>
          <w:szCs w:val="18"/>
          <w:color w:val="auto"/>
        </w:rPr>
      </w:pPr>
    </w:p>
    <w:p>
      <w:pPr>
        <w:ind w:left="1440" w:right="830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-14605</wp:posOffset>
            </wp:positionV>
            <wp:extent cx="63290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-366395</wp:posOffset>
            </wp:positionV>
            <wp:extent cx="63290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-717550</wp:posOffset>
            </wp:positionV>
            <wp:extent cx="63290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-1069340</wp:posOffset>
            </wp:positionV>
            <wp:extent cx="632904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-1695450</wp:posOffset>
            </wp:positionV>
            <wp:extent cx="632904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20" w:lineRule="exact"/>
        <w:rPr>
          <w:sz w:val="20"/>
          <w:szCs w:val="20"/>
          <w:color w:val="auto"/>
        </w:rPr>
      </w:pPr>
    </w:p>
    <w:p>
      <w:pPr>
        <w:spacing w:after="0"/>
        <w:tabs>
          <w:tab w:leader="none" w:pos="92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71" w:lineRule="exact"/>
        <w:rPr>
          <w:sz w:val="20"/>
          <w:szCs w:val="20"/>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Broker or dealer registered under section 15 of the Act (15 U.S.C. 78o).</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Bank as defined in section 3(a)(6)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Insurance company as defined in section 3(a)(19)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Investment company registered under section 8 of the Investment Company Act of 1940 (15 U.S.C 80a-8).</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investment adviser in accordance with §240.13d-1(b)(1)(ii)(E);</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employee benefit plan or endowment fund in accordance with §240.13d-1(b)(1)(ii)(F);</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parent holding company or control person in accordance with § 240.13d-1(b)(1)(ii)(G);</w:t>
      </w:r>
    </w:p>
    <w:p>
      <w:pPr>
        <w:sectPr>
          <w:pgSz w:w="11900" w:h="16838" w:orient="portrait"/>
          <w:cols w:equalWidth="0" w:num="1">
            <w:col w:w="10900"/>
          </w:cols>
          <w:pgMar w:left="300" w:top="503" w:right="699" w:bottom="0" w:gutter="0" w:footer="0" w:header="0"/>
        </w:sectPr>
      </w:pPr>
    </w:p>
    <w:bookmarkStart w:id="2" w:name="page3"/>
    <w:bookmarkEnd w:id="2"/>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savings associations as defined in Section 3(b) of the Federal Deposit Insurance Act (12 U.S.C. 1813);</w:t>
      </w:r>
    </w:p>
    <w:p>
      <w:pPr>
        <w:spacing w:after="0" w:line="225" w:lineRule="exact"/>
        <w:rPr>
          <w:rFonts w:ascii="Arial" w:cs="Arial" w:eastAsia="Arial" w:hAnsi="Arial"/>
          <w:sz w:val="18"/>
          <w:szCs w:val="18"/>
          <w:color w:val="auto"/>
        </w:rPr>
      </w:pPr>
    </w:p>
    <w:p>
      <w:pPr>
        <w:ind w:left="1960" w:hanging="1013"/>
        <w:spacing w:after="0" w:line="277" w:lineRule="auto"/>
        <w:tabs>
          <w:tab w:leader="none" w:pos="1447" w:val="left"/>
        </w:tabs>
        <w:numPr>
          <w:ilvl w:val="0"/>
          <w:numId w:val="10"/>
        </w:numPr>
        <w:rPr>
          <w:rFonts w:ascii="Arial" w:cs="Arial" w:eastAsia="Arial" w:hAnsi="Arial"/>
          <w:sz w:val="18"/>
          <w:szCs w:val="18"/>
          <w:color w:val="auto"/>
        </w:rPr>
      </w:pPr>
      <w:r>
        <w:rPr>
          <w:rFonts w:ascii="Arial" w:cs="Arial" w:eastAsia="Arial" w:hAnsi="Arial"/>
          <w:sz w:val="18"/>
          <w:szCs w:val="18"/>
          <w:color w:val="auto"/>
        </w:rPr>
        <w:t>oA church plan that is excluded from the definition of an investment company under section 3(c)(14) of the Investment Company Act of 1940 (15 U.S.C. 80a-3);</w:t>
      </w:r>
    </w:p>
    <w:p>
      <w:pPr>
        <w:spacing w:after="0" w:line="170"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Group, in accordance with §240.13d-1(b)(1)(ii)(J).</w:t>
      </w:r>
    </w:p>
    <w:p>
      <w:pPr>
        <w:spacing w:after="0" w:line="171" w:lineRule="exact"/>
        <w:rPr>
          <w:sz w:val="20"/>
          <w:szCs w:val="20"/>
          <w:color w:val="auto"/>
        </w:rPr>
      </w:pPr>
    </w:p>
    <w:p>
      <w:pPr>
        <w:ind w:left="940"/>
        <w:spacing w:after="0"/>
        <w:rPr>
          <w:sz w:val="20"/>
          <w:szCs w:val="20"/>
          <w:color w:val="auto"/>
        </w:rPr>
      </w:pPr>
      <w:r>
        <w:rPr>
          <w:rFonts w:ascii="Arial" w:cs="Arial" w:eastAsia="Arial" w:hAnsi="Arial"/>
          <w:sz w:val="18"/>
          <w:szCs w:val="18"/>
          <w:color w:val="auto"/>
        </w:rPr>
        <w:t>Not applicable.</w:t>
      </w:r>
    </w:p>
    <w:p>
      <w:pPr>
        <w:spacing w:after="0" w:line="27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ind w:left="660"/>
        <w:spacing w:after="0"/>
        <w:rPr>
          <w:sz w:val="20"/>
          <w:szCs w:val="20"/>
          <w:color w:val="auto"/>
        </w:rPr>
      </w:pPr>
      <w:r>
        <w:rPr>
          <w:rFonts w:ascii="Arial" w:cs="Arial" w:eastAsia="Arial" w:hAnsi="Arial"/>
          <w:sz w:val="17"/>
          <w:szCs w:val="17"/>
          <w:color w:val="auto"/>
        </w:rPr>
        <w:t>Provide the following information regarding the aggregate number and percentage of the class of securities of the issuer identified in Item 1.</w:t>
      </w:r>
    </w:p>
    <w:p>
      <w:pPr>
        <w:spacing w:after="0" w:line="183" w:lineRule="exact"/>
        <w:rPr>
          <w:sz w:val="20"/>
          <w:szCs w:val="20"/>
          <w:color w:val="auto"/>
        </w:rPr>
      </w:pPr>
    </w:p>
    <w:p>
      <w:pPr>
        <w:ind w:left="1600" w:hanging="394"/>
        <w:spacing w:after="0"/>
        <w:tabs>
          <w:tab w:leader="none" w:pos="16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20,050,483 shares.*</w:t>
      </w:r>
    </w:p>
    <w:p>
      <w:pPr>
        <w:spacing w:after="0" w:line="238" w:lineRule="exact"/>
        <w:rPr>
          <w:rFonts w:ascii="Arial" w:cs="Arial" w:eastAsia="Arial" w:hAnsi="Arial"/>
          <w:sz w:val="18"/>
          <w:szCs w:val="18"/>
          <w:color w:val="auto"/>
        </w:rPr>
      </w:pPr>
    </w:p>
    <w:p>
      <w:pPr>
        <w:ind w:left="1600" w:hanging="400"/>
        <w:spacing w:after="0"/>
        <w:tabs>
          <w:tab w:leader="none" w:pos="16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7.0 %.</w:t>
      </w:r>
    </w:p>
    <w:p>
      <w:pPr>
        <w:spacing w:after="0" w:line="238" w:lineRule="exact"/>
        <w:rPr>
          <w:rFonts w:ascii="Arial" w:cs="Arial" w:eastAsia="Arial" w:hAnsi="Arial"/>
          <w:sz w:val="18"/>
          <w:szCs w:val="18"/>
          <w:color w:val="auto"/>
        </w:rPr>
      </w:pPr>
    </w:p>
    <w:p>
      <w:pPr>
        <w:ind w:left="1600" w:hanging="394"/>
        <w:spacing w:after="0"/>
        <w:tabs>
          <w:tab w:leader="none" w:pos="16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979170</wp:posOffset>
            </wp:positionH>
            <wp:positionV relativeFrom="paragraph">
              <wp:posOffset>255270</wp:posOffset>
            </wp:positionV>
            <wp:extent cx="623443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-198755</wp:posOffset>
            </wp:positionV>
            <wp:extent cx="623443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-653415</wp:posOffset>
            </wp:positionV>
            <wp:extent cx="623443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234430"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left="2220" w:right="6180" w:hanging="453"/>
        <w:spacing w:after="0" w:line="340" w:lineRule="auto"/>
        <w:tabs>
          <w:tab w:leader="none" w:pos="2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Sole power to vote or to direct the vote 658,333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6000" w:hanging="478"/>
        <w:spacing w:after="0" w:line="340" w:lineRule="auto"/>
        <w:tabs>
          <w:tab w:leader="none" w:pos="22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Shared power to vote or to direct the vote 19,392,150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5260" w:hanging="503"/>
        <w:spacing w:after="0" w:line="340" w:lineRule="auto"/>
        <w:tabs>
          <w:tab w:leader="none" w:pos="2220" w:val="left"/>
        </w:tabs>
        <w:numPr>
          <w:ilvl w:val="1"/>
          <w:numId w:val="14"/>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658,333 shares.</w:t>
      </w:r>
    </w:p>
    <w:p>
      <w:pPr>
        <w:spacing w:after="0" w:line="129" w:lineRule="exact"/>
        <w:rPr>
          <w:rFonts w:ascii="Arial" w:cs="Arial" w:eastAsia="Arial" w:hAnsi="Arial"/>
          <w:sz w:val="18"/>
          <w:szCs w:val="18"/>
          <w:color w:val="auto"/>
        </w:rPr>
      </w:pPr>
    </w:p>
    <w:p>
      <w:pPr>
        <w:ind w:left="2220" w:right="5080" w:hanging="498"/>
        <w:spacing w:after="0" w:line="340" w:lineRule="auto"/>
        <w:tabs>
          <w:tab w:leader="none" w:pos="2220" w:val="left"/>
        </w:tabs>
        <w:numPr>
          <w:ilvl w:val="1"/>
          <w:numId w:val="14"/>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19,392,150 shares.</w:t>
      </w:r>
    </w:p>
    <w:p>
      <w:pPr>
        <w:spacing w:after="0" w:line="291" w:lineRule="exact"/>
        <w:rPr>
          <w:rFonts w:ascii="Arial" w:cs="Arial" w:eastAsia="Arial" w:hAnsi="Arial"/>
          <w:sz w:val="18"/>
          <w:szCs w:val="18"/>
          <w:color w:val="auto"/>
        </w:rPr>
      </w:pPr>
    </w:p>
    <w:p>
      <w:pPr>
        <w:ind w:left="1120" w:right="560"/>
        <w:spacing w:after="0" w:line="277" w:lineRule="auto"/>
        <w:rPr>
          <w:rFonts w:ascii="Arial" w:cs="Arial" w:eastAsia="Arial" w:hAnsi="Arial"/>
          <w:sz w:val="18"/>
          <w:szCs w:val="18"/>
          <w:color w:val="auto"/>
        </w:rPr>
      </w:pPr>
      <w:r>
        <w:rPr>
          <w:rFonts w:ascii="Arial" w:cs="Arial" w:eastAsia="Arial" w:hAnsi="Arial"/>
          <w:sz w:val="18"/>
          <w:szCs w:val="18"/>
          <w:color w:val="auto"/>
        </w:rPr>
        <w:t>* The amounts reported consist of 19,392,150 shares held by the Sutardja Chuk Revocable Family Trust and 658,333 shares beneficially owned pursuant to stock options exercisable on or at March 1,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713105</wp:posOffset>
            </wp:positionH>
            <wp:positionV relativeFrom="paragraph">
              <wp:posOffset>-370840</wp:posOffset>
            </wp:positionV>
            <wp:extent cx="1637665"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637665" cy="8890"/>
                    </a:xfrm>
                    <a:prstGeom prst="rect">
                      <a:avLst/>
                    </a:prstGeom>
                    <a:noFill/>
                  </pic:spPr>
                </pic:pic>
              </a:graphicData>
            </a:graphic>
          </wp:anchor>
        </w:drawing>
        <w:drawing>
          <wp:anchor simplePos="0" relativeHeight="251657728" behindDoc="1" locked="0" layoutInCell="0" allowOverlap="1">
            <wp:simplePos x="0" y="0"/>
            <wp:positionH relativeFrom="column">
              <wp:posOffset>1373505</wp:posOffset>
            </wp:positionH>
            <wp:positionV relativeFrom="paragraph">
              <wp:posOffset>-473710</wp:posOffset>
            </wp:positionV>
            <wp:extent cx="584009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5840095" cy="8890"/>
                    </a:xfrm>
                    <a:prstGeom prst="rect">
                      <a:avLst/>
                    </a:prstGeom>
                    <a:noFill/>
                  </pic:spPr>
                </pic:pic>
              </a:graphicData>
            </a:graphic>
          </wp:anchor>
        </w:drawing>
        <w:drawing>
          <wp:anchor simplePos="0" relativeHeight="251657728" behindDoc="1" locked="0" layoutInCell="0" allowOverlap="1">
            <wp:simplePos x="0" y="0"/>
            <wp:positionH relativeFrom="column">
              <wp:posOffset>1373505</wp:posOffset>
            </wp:positionH>
            <wp:positionV relativeFrom="paragraph">
              <wp:posOffset>-928370</wp:posOffset>
            </wp:positionV>
            <wp:extent cx="584009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50"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(Share balances are from SEC Form 4 filed on December 13, 2005.)</w:t>
      </w:r>
    </w:p>
    <w:p>
      <w:pPr>
        <w:spacing w:after="0" w:line="200" w:lineRule="exact"/>
        <w:rPr>
          <w:sz w:val="20"/>
          <w:szCs w:val="20"/>
          <w:color w:val="auto"/>
        </w:rPr>
      </w:pPr>
    </w:p>
    <w:p>
      <w:pPr>
        <w:spacing w:after="0" w:line="295"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If this statement is being filed to report the fact that as of the date hereof the reporting person has ceased to be the beneficial owner of more than five percent of the class of securities, check the following o.</w:t>
      </w:r>
    </w:p>
    <w:p>
      <w:pPr>
        <w:spacing w:after="0" w:line="387"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ind w:left="1120" w:right="340" w:hanging="1120"/>
        <w:spacing w:after="0" w:line="277" w:lineRule="auto"/>
        <w:tabs>
          <w:tab w:leader="none" w:pos="110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8"/>
          <w:szCs w:val="18"/>
          <w:color w:val="auto"/>
        </w:rPr>
        <w:t>Identification and Classification of the Subsidiary Which Acquired the Security Being Reported on By the Parent Holding Company or Control Person</w:t>
      </w:r>
    </w:p>
    <w:p>
      <w:pPr>
        <w:spacing w:after="0" w:line="62"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7"/>
          <w:szCs w:val="17"/>
          <w:color w:val="auto"/>
        </w:rPr>
        <w:t>Notice of Dissolution of Group</w:t>
      </w:r>
    </w:p>
    <w:p>
      <w:pPr>
        <w:spacing w:after="0" w:line="117"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7"/>
          <w:szCs w:val="17"/>
          <w:color w:val="auto"/>
        </w:rPr>
        <w:t>Certification</w:t>
      </w:r>
    </w:p>
    <w:p>
      <w:pPr>
        <w:spacing w:after="0" w:line="117"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1">
            <w:col w:w="11200"/>
          </w:cols>
          <w:pgMar w:left="300" w:top="233" w:right="399" w:bottom="73" w:gutter="0" w:footer="0" w:header="0"/>
        </w:sectPr>
      </w:pPr>
    </w:p>
    <w:bookmarkStart w:id="3" w:name="page4"/>
    <w:bookmarkEnd w:id="3"/>
    <w:p>
      <w:pPr>
        <w:jc w:val="center"/>
        <w:ind w:right="-29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jc w:val="center"/>
        <w:ind w:right="-299"/>
        <w:spacing w:after="0"/>
        <w:rPr>
          <w:sz w:val="20"/>
          <w:szCs w:val="20"/>
          <w:color w:val="auto"/>
        </w:rPr>
      </w:pPr>
      <w:r>
        <w:rPr>
          <w:rFonts w:ascii="Arial" w:cs="Arial" w:eastAsia="Arial" w:hAnsi="Arial"/>
          <w:sz w:val="24"/>
          <w:szCs w:val="24"/>
          <w:color w:val="auto"/>
        </w:rPr>
        <w:t>Signature</w:t>
      </w:r>
    </w:p>
    <w:p>
      <w:pPr>
        <w:spacing w:after="0" w:line="23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correct.</w:t>
      </w:r>
    </w:p>
    <w:p>
      <w:pPr>
        <w:spacing w:after="0" w:line="211"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February 14, 2006.</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 Pantas Sutardja</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Dr. Pantas Sutardja</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Name/Title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120"/>
      </w:cols>
      <w:pgMar w:left="240" w:top="125" w:right="5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9E2A9E3"/>
    <w:multiLevelType w:val="hybridMultilevel"/>
    <w:lvl w:ilvl="0">
      <w:lvlJc w:val="left"/>
      <w:lvlText w:val="G"/>
      <w:numFmt w:val="bullet"/>
      <w:start w:val="1"/>
    </w:lvl>
  </w:abstractNum>
  <w:abstractNum w:abstractNumId="1">
    <w:nsid w:val="7545E146"/>
    <w:multiLevelType w:val="hybridMultilevel"/>
    <w:lvl w:ilvl="0">
      <w:lvlJc w:val="left"/>
      <w:lvlText w:val="o"/>
      <w:numFmt w:val="bullet"/>
      <w:start w:val="1"/>
    </w:lvl>
  </w:abstractNum>
  <w:abstractNum w:abstractNumId="2">
    <w:nsid w:val="515F007C"/>
    <w:multiLevelType w:val="hybridMultilevel"/>
    <w:lvl w:ilvl="0">
      <w:lvlJc w:val="left"/>
      <w:lvlText w:val="☒"/>
      <w:numFmt w:val="bullet"/>
      <w:start w:val="1"/>
    </w:lvl>
  </w:abstractNum>
  <w:abstractNum w:abstractNumId="3">
    <w:nsid w:val="5BD062C2"/>
    <w:multiLevelType w:val="hybridMultilevel"/>
    <w:lvl w:ilvl="0">
      <w:lvlJc w:val="left"/>
      <w:lvlText w:val="%1."/>
      <w:numFmt w:val="decimal"/>
      <w:start w:val="1"/>
    </w:lvl>
    <w:lvl w:ilvl="1">
      <w:lvlJc w:val="left"/>
      <w:lvlText w:val="(%2)"/>
      <w:numFmt w:val="lowerLetter"/>
      <w:start w:val="1"/>
    </w:lvl>
  </w:abstractNum>
  <w:abstractNum w:abstractNumId="4">
    <w:nsid w:val="12200854"/>
    <w:multiLevelType w:val="hybridMultilevel"/>
    <w:lvl w:ilvl="0">
      <w:lvlJc w:val="left"/>
      <w:lvlText w:val="%1"/>
      <w:numFmt w:val="decimal"/>
      <w:start w:val="1"/>
    </w:lvl>
    <w:lvl w:ilvl="1">
      <w:lvlJc w:val="left"/>
      <w:lvlText w:val="%2."/>
      <w:numFmt w:val="decimal"/>
      <w:start w:val="8"/>
    </w:lvl>
  </w:abstractNum>
  <w:abstractNum w:abstractNumId="5">
    <w:nsid w:val="4DB127F8"/>
    <w:multiLevelType w:val="hybridMultilevel"/>
    <w:lvl w:ilvl="0">
      <w:lvlJc w:val="left"/>
      <w:lvlText w:val="%1."/>
      <w:numFmt w:val="decimal"/>
      <w:start w:val="9"/>
    </w:lvl>
    <w:lvl w:ilvl="1">
      <w:lvlJc w:val="left"/>
      <w:lvlText w:val="%2"/>
      <w:numFmt w:val="decimal"/>
      <w:start w:val="1"/>
    </w:lvl>
  </w:abstractNum>
  <w:abstractNum w:abstractNumId="6">
    <w:nsid w:val="216231B"/>
    <w:multiLevelType w:val="hybridMultilevel"/>
    <w:lvl w:ilvl="0">
      <w:lvlJc w:val="left"/>
      <w:lvlText w:val="(%1)"/>
      <w:numFmt w:val="lowerLetter"/>
      <w:start w:val="1"/>
    </w:lvl>
  </w:abstractNum>
  <w:abstractNum w:abstractNumId="7">
    <w:nsid w:val="1F16E9E8"/>
    <w:multiLevelType w:val="hybridMultilevel"/>
    <w:lvl w:ilvl="0">
      <w:lvlJc w:val="left"/>
      <w:lvlText w:val="(%1)"/>
      <w:numFmt w:val="lowerLetter"/>
      <w:start w:val="1"/>
    </w:lvl>
  </w:abstractNum>
  <w:abstractNum w:abstractNumId="8">
    <w:nsid w:val="1190CDE7"/>
    <w:multiLevelType w:val="hybridMultilevel"/>
    <w:lvl w:ilvl="0">
      <w:lvlJc w:val="left"/>
      <w:lvlText w:val="(%1)"/>
      <w:numFmt w:val="lowerLetter"/>
      <w:start w:val="1"/>
    </w:lvl>
  </w:abstractNum>
  <w:abstractNum w:abstractNumId="9">
    <w:nsid w:val="66EF438D"/>
    <w:multiLevelType w:val="hybridMultilevel"/>
    <w:lvl w:ilvl="0">
      <w:lvlJc w:val="left"/>
      <w:lvlText w:val="(%1)"/>
      <w:numFmt w:val="lowerLetter"/>
      <w:start w:val="8"/>
    </w:lvl>
  </w:abstractNum>
  <w:abstractNum w:abstractNumId="10">
    <w:nsid w:val="140E0F76"/>
    <w:multiLevelType w:val="hybridMultilevel"/>
    <w:lvl w:ilvl="0">
      <w:lvlJc w:val="left"/>
      <w:lvlText w:val="(%1)"/>
      <w:numFmt w:val="lowerLetter"/>
      <w:start w:val="1"/>
    </w:lvl>
  </w:abstractNum>
  <w:abstractNum w:abstractNumId="11">
    <w:nsid w:val="3352255A"/>
    <w:multiLevelType w:val="hybridMultilevel"/>
    <w:lvl w:ilvl="0">
      <w:lvlJc w:val="left"/>
      <w:lvlText w:val="(%1)"/>
      <w:numFmt w:val="lowerRoman"/>
      <w:start w:val="1"/>
    </w:lvl>
  </w:abstractNum>
  <w:abstractNum w:abstractNumId="12">
    <w:nsid w:val="109CF92E"/>
    <w:multiLevelType w:val="hybridMultilevel"/>
    <w:lvl w:ilvl="0">
      <w:lvlJc w:val="left"/>
      <w:lvlText w:val="(%1)"/>
      <w:numFmt w:val="lowerRoman"/>
      <w:start w:val="2"/>
    </w:lvl>
  </w:abstractNum>
  <w:abstractNum w:abstractNumId="13">
    <w:nsid w:val="DED7263"/>
    <w:multiLevelType w:val="hybridMultilevel"/>
    <w:lvl w:ilvl="0">
      <w:lvlJc w:val="left"/>
      <w:lvlText w:val="*"/>
      <w:numFmt w:val="bullet"/>
      <w:start w:val="1"/>
    </w:lvl>
    <w:lvl w:ilvl="1">
      <w:lvlJc w:val="left"/>
      <w:lvlText w:val="(%2)"/>
      <w:numFmt w:val="lowerRoman"/>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2019-12-14T20:21:20Z</dcterms:created>
  <dcterms:modified xsi:type="dcterms:W3CDTF">2019-12-14T20:21:20Z</dcterms:modified>
</cp:coreProperties>
</file>