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20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8-K/A</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4, 2005</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85" w:right="23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500"/>
          </w:cols>
          <w:pgMar w:left="240" w:top="585" w:right="239" w:bottom="0"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20"/>
          </w:cols>
          <w:pgMar w:left="240" w:top="585" w:right="239" w:bottom="0" w:gutter="0" w:footer="0" w:header="0"/>
          <w:type w:val="continuous"/>
        </w:sectPr>
      </w:pPr>
    </w:p>
    <w:p>
      <w:pPr>
        <w:spacing w:after="0" w:line="234"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jc w:val="both"/>
        <w:ind w:right="300" w:firstLine="648"/>
        <w:spacing w:after="0" w:line="264" w:lineRule="auto"/>
        <w:rPr>
          <w:sz w:val="20"/>
          <w:szCs w:val="20"/>
          <w:color w:val="auto"/>
        </w:rPr>
      </w:pPr>
      <w:r>
        <w:rPr>
          <w:rFonts w:ascii="Arial" w:cs="Arial" w:eastAsia="Arial" w:hAnsi="Arial"/>
          <w:sz w:val="18"/>
          <w:szCs w:val="18"/>
          <w:color w:val="auto"/>
        </w:rPr>
        <w:t>This amendment to the Current Report on Form 8-K originally dated November 4, 2005, is being filed in order to include the historical financial statements of the Hard Disk and Tape Drive Controller business of QLogic Corporation (the “Business”) and the unaudited pro form financial information listed below.</w:t>
      </w:r>
    </w:p>
    <w:p>
      <w:pPr>
        <w:spacing w:after="0" w:line="177"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5" w:lineRule="exact"/>
        <w:rPr>
          <w:sz w:val="24"/>
          <w:szCs w:val="24"/>
          <w:color w:val="auto"/>
        </w:rPr>
      </w:pPr>
    </w:p>
    <w:p>
      <w:pPr>
        <w:ind w:left="640" w:hanging="632"/>
        <w:spacing w:after="0"/>
        <w:tabs>
          <w:tab w:leader="none" w:pos="64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Statements of Business Acquired</w:t>
      </w:r>
    </w:p>
    <w:p>
      <w:pPr>
        <w:spacing w:after="0" w:line="229"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The following financial statements of the Business are included in this report:</w:t>
      </w:r>
    </w:p>
    <w:p>
      <w:pPr>
        <w:spacing w:after="0" w:line="225" w:lineRule="exact"/>
        <w:rPr>
          <w:rFonts w:ascii="Arial" w:cs="Arial" w:eastAsia="Arial" w:hAnsi="Arial"/>
          <w:sz w:val="18"/>
          <w:szCs w:val="18"/>
          <w:b w:val="1"/>
          <w:bCs w:val="1"/>
          <w:color w:val="auto"/>
        </w:rPr>
      </w:pPr>
    </w:p>
    <w:p>
      <w:pPr>
        <w:ind w:left="660" w:right="40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Audited statement of net assets to be sold as of April 3, 2005 and statements of direct revenues and direct operating expenses for the year ended April 3, 2005.</w:t>
      </w:r>
    </w:p>
    <w:p>
      <w:pPr>
        <w:spacing w:after="0" w:line="170" w:lineRule="exact"/>
        <w:rPr>
          <w:rFonts w:ascii="Arial" w:cs="Arial" w:eastAsia="Arial" w:hAnsi="Arial"/>
          <w:sz w:val="18"/>
          <w:szCs w:val="18"/>
          <w:b w:val="1"/>
          <w:bCs w:val="1"/>
          <w:color w:val="auto"/>
        </w:rPr>
      </w:pPr>
    </w:p>
    <w:p>
      <w:pPr>
        <w:ind w:left="660" w:right="44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Unaudited condensed statement of net assets to be sold as of October 2, 2005 and unaudited condensed statements of direct revenues and direct operating expenses for the six months ended October 2, 2005 and September 26, 2004.</w:t>
      </w:r>
    </w:p>
    <w:p>
      <w:pPr>
        <w:spacing w:after="0" w:line="170" w:lineRule="exact"/>
        <w:rPr>
          <w:rFonts w:ascii="Arial" w:cs="Arial" w:eastAsia="Arial" w:hAnsi="Arial"/>
          <w:sz w:val="18"/>
          <w:szCs w:val="18"/>
          <w:b w:val="1"/>
          <w:bCs w:val="1"/>
          <w:color w:val="auto"/>
        </w:rPr>
      </w:pPr>
    </w:p>
    <w:p>
      <w:pPr>
        <w:ind w:left="660"/>
        <w:spacing w:after="0" w:line="279" w:lineRule="auto"/>
        <w:rPr>
          <w:rFonts w:ascii="Arial" w:cs="Arial" w:eastAsia="Arial" w:hAnsi="Arial"/>
          <w:sz w:val="18"/>
          <w:szCs w:val="18"/>
          <w:b w:val="1"/>
          <w:bCs w:val="1"/>
          <w:color w:val="auto"/>
        </w:rPr>
      </w:pPr>
      <w:r>
        <w:rPr>
          <w:rFonts w:ascii="Arial" w:cs="Arial" w:eastAsia="Arial" w:hAnsi="Arial"/>
          <w:sz w:val="17"/>
          <w:szCs w:val="17"/>
          <w:color w:val="auto"/>
        </w:rPr>
        <w:t xml:space="preserve">The Business was not operated as a stand-alone business, but was an integrated part of the consolidated business of QLogic Corporation. As such, no separate audited financial statements of the Business have ever been prepared and QLogic has not maintained the distinct and separate accounts necessary to prepare the full financial statements of the Business. Accordingly, complete financial statements of the Business have not been prepared as </w:t>
      </w:r>
      <w:r>
        <w:rPr>
          <w:rFonts w:ascii="Arial" w:cs="Arial" w:eastAsia="Arial" w:hAnsi="Arial"/>
          <w:sz w:val="16"/>
          <w:szCs w:val="16"/>
          <w:color w:val="auto"/>
        </w:rPr>
        <w:t>it was impracticable to prepare full financial statements as required by Rule 3-05 of Regulation S-X.</w:t>
      </w:r>
    </w:p>
    <w:p>
      <w:pPr>
        <w:sectPr>
          <w:pgSz w:w="11900" w:h="16838" w:orient="portrait"/>
          <w:cols w:equalWidth="0" w:num="1">
            <w:col w:w="11420"/>
          </w:cols>
          <w:pgMar w:left="240" w:top="585" w:right="239" w:bottom="0" w:gutter="0" w:footer="0" w:header="0"/>
          <w:type w:val="continuous"/>
        </w:sectPr>
      </w:pPr>
    </w:p>
    <w:bookmarkStart w:id="1" w:name="page2"/>
    <w:bookmarkEnd w:id="1"/>
    <w:p>
      <w:pPr>
        <w:spacing w:after="0" w:line="62" w:lineRule="exact"/>
        <w:rPr>
          <w:sz w:val="20"/>
          <w:szCs w:val="20"/>
          <w:color w:val="auto"/>
        </w:rPr>
      </w:pPr>
    </w:p>
    <w:p>
      <w:pPr>
        <w:ind w:left="640" w:hanging="632"/>
        <w:spacing w:after="0"/>
        <w:tabs>
          <w:tab w:leader="none" w:pos="64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Financial Information</w:t>
      </w:r>
    </w:p>
    <w:p>
      <w:pPr>
        <w:spacing w:after="0" w:line="229" w:lineRule="exact"/>
        <w:rPr>
          <w:rFonts w:ascii="Arial" w:cs="Arial" w:eastAsia="Arial" w:hAnsi="Arial"/>
          <w:sz w:val="18"/>
          <w:szCs w:val="18"/>
          <w:b w:val="1"/>
          <w:bCs w:val="1"/>
          <w:color w:val="auto"/>
        </w:rPr>
      </w:pPr>
    </w:p>
    <w:p>
      <w:pPr>
        <w:ind w:left="660" w:right="4060"/>
        <w:spacing w:after="0" w:line="563" w:lineRule="auto"/>
        <w:rPr>
          <w:rFonts w:ascii="Arial" w:cs="Arial" w:eastAsia="Arial" w:hAnsi="Arial"/>
          <w:sz w:val="18"/>
          <w:szCs w:val="18"/>
          <w:b w:val="1"/>
          <w:bCs w:val="1"/>
          <w:color w:val="auto"/>
        </w:rPr>
      </w:pPr>
      <w:r>
        <w:rPr>
          <w:rFonts w:ascii="Arial" w:cs="Arial" w:eastAsia="Arial" w:hAnsi="Arial"/>
          <w:sz w:val="16"/>
          <w:szCs w:val="16"/>
          <w:color w:val="auto"/>
        </w:rPr>
        <w:t>The following unaudited pro forma condensed financial information is being filed herewith: Unaudited Pro Forma Condensed Combined Consolidated Balance Sheet as of July 30, 2005.</w:t>
      </w:r>
    </w:p>
    <w:p>
      <w:pPr>
        <w:spacing w:after="0" w:line="1" w:lineRule="exact"/>
        <w:rPr>
          <w:rFonts w:ascii="Arial" w:cs="Arial" w:eastAsia="Arial" w:hAnsi="Arial"/>
          <w:sz w:val="18"/>
          <w:szCs w:val="18"/>
          <w:b w:val="1"/>
          <w:bCs w:val="1"/>
          <w:color w:val="auto"/>
        </w:rPr>
      </w:pPr>
    </w:p>
    <w:p>
      <w:pPr>
        <w:ind w:left="660" w:right="82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Unaudited Pro Forma Condensed Combined Consolidated Statement of Operations for the six months ended July 30, 2005 and year ended January 29, 2005.</w:t>
      </w:r>
    </w:p>
    <w:p>
      <w:pPr>
        <w:spacing w:after="0" w:line="166" w:lineRule="exact"/>
        <w:rPr>
          <w:sz w:val="20"/>
          <w:szCs w:val="20"/>
          <w:color w:val="auto"/>
        </w:rPr>
      </w:pPr>
    </w:p>
    <w:p>
      <w:pPr>
        <w:ind w:left="640" w:hanging="632"/>
        <w:spacing w:after="0"/>
        <w:tabs>
          <w:tab w:leader="none" w:pos="64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29" w:lineRule="exact"/>
        <w:rPr>
          <w:rFonts w:ascii="Arial" w:cs="Arial" w:eastAsia="Arial" w:hAnsi="Arial"/>
          <w:sz w:val="18"/>
          <w:szCs w:val="18"/>
          <w:b w:val="1"/>
          <w:bCs w:val="1"/>
          <w:color w:val="auto"/>
        </w:rPr>
      </w:pPr>
    </w:p>
    <w:p>
      <w:pPr>
        <w:ind w:left="1300" w:right="180" w:hanging="648"/>
        <w:spacing w:after="0" w:line="264" w:lineRule="auto"/>
        <w:rPr>
          <w:rFonts w:ascii="Arial" w:cs="Arial" w:eastAsia="Arial" w:hAnsi="Arial"/>
          <w:sz w:val="18"/>
          <w:szCs w:val="18"/>
          <w:b w:val="1"/>
          <w:bCs w:val="1"/>
          <w:color w:val="auto"/>
        </w:rPr>
      </w:pPr>
      <w:r>
        <w:rPr>
          <w:rFonts w:ascii="Arial" w:cs="Arial" w:eastAsia="Arial" w:hAnsi="Arial"/>
          <w:sz w:val="18"/>
          <w:szCs w:val="18"/>
          <w:color w:val="auto"/>
        </w:rPr>
        <w:t>2.1*Asset Purchase Agreement dated as of August 29, 2005, by and among QLogic Corporation, Marvell Technology Group Ltd. and Marvell International Ltd. (incorporated by reference from Exhibit 2.1 to Marvell’s Quarterly Report on Form 10-Q filed with the Securities and Exchange Commission on September 8, 2005).</w:t>
      </w:r>
    </w:p>
    <w:p>
      <w:pPr>
        <w:spacing w:after="0" w:line="181"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23.1</w:t>
      </w:r>
      <w:r>
        <w:rPr>
          <w:rFonts w:ascii="Arial" w:cs="Arial" w:eastAsia="Arial" w:hAnsi="Arial"/>
          <w:sz w:val="16"/>
          <w:szCs w:val="16"/>
          <w:color w:val="auto"/>
        </w:rPr>
        <w:t>Consent of Independent Registered Public Accounting Firm</w:t>
      </w:r>
    </w:p>
    <w:p>
      <w:pPr>
        <w:spacing w:after="0" w:line="225" w:lineRule="exact"/>
        <w:rPr>
          <w:rFonts w:ascii="Arial" w:cs="Arial" w:eastAsia="Arial" w:hAnsi="Arial"/>
          <w:sz w:val="18"/>
          <w:szCs w:val="18"/>
          <w:b w:val="1"/>
          <w:bCs w:val="1"/>
          <w:color w:val="auto"/>
        </w:rPr>
      </w:pPr>
    </w:p>
    <w:p>
      <w:pPr>
        <w:ind w:left="660"/>
        <w:spacing w:after="0"/>
        <w:rPr>
          <w:rFonts w:ascii="Arial" w:cs="Arial" w:eastAsia="Arial" w:hAnsi="Arial"/>
          <w:sz w:val="18"/>
          <w:szCs w:val="18"/>
          <w:b w:val="1"/>
          <w:bCs w:val="1"/>
          <w:color w:val="auto"/>
        </w:rPr>
      </w:pPr>
      <w:r>
        <w:rPr>
          <w:rFonts w:ascii="Arial" w:cs="Arial" w:eastAsia="Arial" w:hAnsi="Arial"/>
          <w:sz w:val="18"/>
          <w:szCs w:val="18"/>
          <w:color w:val="auto"/>
        </w:rPr>
        <w:t>99.1*   Registration Rights Agreement dated November 4, 2005 between Marvell Technology Group Ltd. and QLogic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212090</wp:posOffset>
            </wp:positionV>
            <wp:extent cx="18268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94" w:lineRule="exact"/>
        <w:rPr>
          <w:sz w:val="20"/>
          <w:szCs w:val="20"/>
          <w:color w:val="auto"/>
        </w:rPr>
      </w:pPr>
    </w:p>
    <w:p>
      <w:pPr>
        <w:ind w:left="640" w:hanging="632"/>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Filed previously</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tabs>
          <w:tab w:leader="none" w:pos="1340" w:val="left"/>
        </w:tabs>
        <w:rPr>
          <w:sz w:val="20"/>
          <w:szCs w:val="20"/>
          <w:color w:val="auto"/>
        </w:rPr>
      </w:pPr>
      <w:r>
        <w:rPr>
          <w:rFonts w:ascii="Arial" w:cs="Arial" w:eastAsia="Arial" w:hAnsi="Arial"/>
          <w:sz w:val="18"/>
          <w:szCs w:val="18"/>
          <w:color w:val="auto"/>
        </w:rPr>
        <w:t>ITEM 9.01(a)</w:t>
      </w:r>
      <w:r>
        <w:rPr>
          <w:sz w:val="20"/>
          <w:szCs w:val="20"/>
          <w:color w:val="auto"/>
        </w:rPr>
        <w:tab/>
      </w:r>
      <w:r>
        <w:rPr>
          <w:rFonts w:ascii="Arial" w:cs="Arial" w:eastAsia="Arial" w:hAnsi="Arial"/>
          <w:sz w:val="17"/>
          <w:szCs w:val="17"/>
          <w:color w:val="auto"/>
        </w:rPr>
        <w:t>FINANCIAL STATEMENTS OF BUSINESS ACQUIRED</w:t>
      </w:r>
    </w:p>
    <w:p>
      <w:pPr>
        <w:spacing w:after="0" w:line="2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INDEPENDENT AUDITORS’ REPORT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QLogic Corporation:</w:t>
      </w:r>
    </w:p>
    <w:p>
      <w:pPr>
        <w:spacing w:after="0" w:line="211"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We have audited the accompanying statement of net assets to be sold as of April 3, 2005 and the related statement of direct revenues and direct operating expenses for the year ended April 3, 2005 of the Hard Disk and Tape Drive Controller business of QLogic Corporation (the “Business”). These financial statements are the responsibility of the Business’ management. Our responsibility is to express an opinion on these financial statements based on our audit.</w:t>
      </w:r>
    </w:p>
    <w:p>
      <w:pPr>
        <w:spacing w:after="0" w:line="147"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We conducted our audit in accordance with the auditing standards generally accepted in the United States of America. Those standards require that we plan and perform the audit to obtain reasonable assurance about whether the financial statements are free of material misstatement. An audit includes consideration of internal control over financial reporting as a basis for designing audit procedures that are appropriate in the circumstances, but not for the purpose of expressing an opinion on the effectiveness of the Business’ internal control over financial reporting. Accordingly, we express no such opinion. An audit includes examining, on a test basis, evidence supporting the amounts and disclosures in the financial statements. An audit also includes assessing the accounting principles used and significant estimates made by management, as well as evaluating the overall financial statement presentation. We believe that our audit provides a reasonable basis for our opinion.</w:t>
      </w:r>
    </w:p>
    <w:p>
      <w:pPr>
        <w:spacing w:after="0" w:line="178"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The accompanying financial statements were prepared to present the net assets to be sold and the direct revenues and direct operating expenses of the Business, pursuant to the basis of presentation as described in Note 2, and are not intended to be a complete presentation of the Business’ financial position, results of operations, or cash flows.</w:t>
      </w:r>
    </w:p>
    <w:p>
      <w:pPr>
        <w:spacing w:after="0" w:line="181"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In our opinion, the financial statements referred to above present fairly, in all material respects, the net assets to be sold of the Business as of April 3, 2005, and the Business’ direct revenues and direct operating expenses for the year ended April 3, 2005, as described in Note 2, in conformity with accounting principles generally accepted in the United States of America.</w:t>
      </w:r>
    </w:p>
    <w:p>
      <w:pPr>
        <w:spacing w:after="0" w:line="397" w:lineRule="exact"/>
        <w:rPr>
          <w:sz w:val="20"/>
          <w:szCs w:val="20"/>
          <w:color w:val="auto"/>
        </w:rPr>
      </w:pPr>
    </w:p>
    <w:p>
      <w:pPr>
        <w:spacing w:after="0"/>
        <w:rPr>
          <w:sz w:val="20"/>
          <w:szCs w:val="20"/>
          <w:color w:val="auto"/>
        </w:rPr>
      </w:pPr>
      <w:r>
        <w:rPr>
          <w:rFonts w:ascii="Arial" w:cs="Arial" w:eastAsia="Arial" w:hAnsi="Arial"/>
          <w:sz w:val="18"/>
          <w:szCs w:val="18"/>
          <w:color w:val="auto"/>
        </w:rPr>
        <w:t>/s/ KPMG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Costa Mesa,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August 28, 2005, except as to Note 11,</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which is as of November 4, 2005</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740" w:type="dxa"/>
            <w:vAlign w:val="bottom"/>
          </w:tcPr>
          <w:p>
            <w:pPr>
              <w:spacing w:after="0"/>
              <w:rPr>
                <w:sz w:val="20"/>
                <w:szCs w:val="20"/>
                <w:color w:val="auto"/>
              </w:rPr>
            </w:pPr>
          </w:p>
        </w:tc>
        <w:tc>
          <w:tcPr>
            <w:tcW w:w="7180" w:type="dxa"/>
            <w:vAlign w:val="bottom"/>
          </w:tcPr>
          <w:p>
            <w:pPr>
              <w:jc w:val="center"/>
              <w:ind w:right="1190"/>
              <w:spacing w:after="0"/>
              <w:rPr>
                <w:sz w:val="20"/>
                <w:szCs w:val="20"/>
                <w:color w:val="auto"/>
              </w:rPr>
            </w:pPr>
            <w:r>
              <w:rPr>
                <w:rFonts w:ascii="Arial" w:cs="Arial" w:eastAsia="Arial" w:hAnsi="Arial"/>
                <w:sz w:val="18"/>
                <w:szCs w:val="18"/>
                <w:color w:val="auto"/>
                <w:w w:val="99"/>
              </w:rPr>
              <w:t>3</w:t>
            </w:r>
          </w:p>
        </w:tc>
        <w:tc>
          <w:tcPr>
            <w:tcW w:w="1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2740" w:type="dxa"/>
            <w:vAlign w:val="bottom"/>
            <w:tcBorders>
              <w:bottom w:val="single" w:sz="8" w:color="808080"/>
            </w:tcBorders>
          </w:tcPr>
          <w:p>
            <w:pPr>
              <w:spacing w:after="0"/>
              <w:rPr>
                <w:sz w:val="7"/>
                <w:szCs w:val="7"/>
                <w:color w:val="auto"/>
              </w:rPr>
            </w:pPr>
          </w:p>
        </w:tc>
        <w:tc>
          <w:tcPr>
            <w:tcW w:w="7180" w:type="dxa"/>
            <w:vAlign w:val="bottom"/>
            <w:tcBorders>
              <w:bottom w:val="single" w:sz="8" w:color="808080"/>
            </w:tcBorders>
          </w:tcPr>
          <w:p>
            <w:pPr>
              <w:spacing w:after="0"/>
              <w:rPr>
                <w:sz w:val="7"/>
                <w:szCs w:val="7"/>
                <w:color w:val="auto"/>
              </w:rPr>
            </w:pPr>
          </w:p>
        </w:tc>
        <w:tc>
          <w:tcPr>
            <w:tcW w:w="180" w:type="dxa"/>
            <w:vAlign w:val="bottom"/>
            <w:tcBorders>
              <w:bottom w:val="single" w:sz="8" w:color="808080"/>
            </w:tcBorders>
          </w:tcPr>
          <w:p>
            <w:pPr>
              <w:spacing w:after="0"/>
              <w:rPr>
                <w:sz w:val="7"/>
                <w:szCs w:val="7"/>
                <w:color w:val="auto"/>
              </w:rPr>
            </w:pPr>
          </w:p>
        </w:tc>
        <w:tc>
          <w:tcPr>
            <w:tcW w:w="120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0" w:type="dxa"/>
            <w:vAlign w:val="bottom"/>
          </w:tcPr>
          <w:p>
            <w:pPr>
              <w:spacing w:after="0"/>
              <w:rPr>
                <w:sz w:val="1"/>
                <w:szCs w:val="1"/>
                <w:color w:val="auto"/>
              </w:rPr>
            </w:pPr>
          </w:p>
        </w:tc>
      </w:tr>
      <w:tr>
        <w:trPr>
          <w:trHeight w:val="748"/>
        </w:trPr>
        <w:tc>
          <w:tcPr>
            <w:tcW w:w="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7360" w:type="dxa"/>
            <w:vAlign w:val="bottom"/>
            <w:gridSpan w:val="2"/>
          </w:tcPr>
          <w:p>
            <w:pPr>
              <w:jc w:val="center"/>
              <w:ind w:right="1460"/>
              <w:spacing w:after="0"/>
              <w:rPr>
                <w:sz w:val="20"/>
                <w:szCs w:val="20"/>
                <w:color w:val="auto"/>
              </w:rPr>
            </w:pPr>
            <w:r>
              <w:rPr>
                <w:rFonts w:ascii="Arial" w:cs="Arial" w:eastAsia="Arial" w:hAnsi="Arial"/>
                <w:sz w:val="18"/>
                <w:szCs w:val="18"/>
                <w:b w:val="1"/>
                <w:bCs w:val="1"/>
                <w:color w:val="auto"/>
                <w:w w:val="99"/>
              </w:rPr>
              <w:t>HARD DISK AND TAPE DRIVE CONTROLLER BUSINESS</w:t>
            </w: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2740" w:type="dxa"/>
            <w:vAlign w:val="bottom"/>
          </w:tcPr>
          <w:p>
            <w:pPr>
              <w:spacing w:after="0"/>
              <w:rPr>
                <w:sz w:val="20"/>
                <w:szCs w:val="20"/>
                <w:color w:val="auto"/>
              </w:rPr>
            </w:pPr>
          </w:p>
        </w:tc>
        <w:tc>
          <w:tcPr>
            <w:tcW w:w="7360" w:type="dxa"/>
            <w:vAlign w:val="bottom"/>
            <w:gridSpan w:val="2"/>
          </w:tcPr>
          <w:p>
            <w:pPr>
              <w:jc w:val="center"/>
              <w:ind w:right="1440"/>
              <w:spacing w:after="0"/>
              <w:rPr>
                <w:sz w:val="20"/>
                <w:szCs w:val="20"/>
                <w:color w:val="auto"/>
              </w:rPr>
            </w:pPr>
            <w:r>
              <w:rPr>
                <w:rFonts w:ascii="Arial" w:cs="Arial" w:eastAsia="Arial" w:hAnsi="Arial"/>
                <w:sz w:val="18"/>
                <w:szCs w:val="18"/>
                <w:b w:val="1"/>
                <w:bCs w:val="1"/>
                <w:color w:val="auto"/>
              </w:rPr>
              <w:t>OF QLOGIC CORPORATION</w:t>
            </w: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7360" w:type="dxa"/>
            <w:vAlign w:val="bottom"/>
            <w:gridSpan w:val="2"/>
          </w:tcPr>
          <w:p>
            <w:pPr>
              <w:jc w:val="center"/>
              <w:ind w:right="1460"/>
              <w:spacing w:after="0"/>
              <w:rPr>
                <w:sz w:val="20"/>
                <w:szCs w:val="20"/>
                <w:color w:val="auto"/>
              </w:rPr>
            </w:pPr>
            <w:r>
              <w:rPr>
                <w:rFonts w:ascii="Arial" w:cs="Arial" w:eastAsia="Arial" w:hAnsi="Arial"/>
                <w:sz w:val="18"/>
                <w:szCs w:val="18"/>
                <w:b w:val="1"/>
                <w:bCs w:val="1"/>
                <w:color w:val="auto"/>
                <w:w w:val="98"/>
              </w:rPr>
              <w:t>STATEMENT OF NET ASSETS TO BE SOLD</w:t>
            </w: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2740" w:type="dxa"/>
            <w:vAlign w:val="bottom"/>
          </w:tcPr>
          <w:p>
            <w:pPr>
              <w:spacing w:after="0"/>
              <w:rPr>
                <w:sz w:val="20"/>
                <w:szCs w:val="20"/>
                <w:color w:val="auto"/>
              </w:rPr>
            </w:pPr>
          </w:p>
        </w:tc>
        <w:tc>
          <w:tcPr>
            <w:tcW w:w="7360" w:type="dxa"/>
            <w:vAlign w:val="bottom"/>
            <w:gridSpan w:val="2"/>
          </w:tcPr>
          <w:p>
            <w:pPr>
              <w:jc w:val="center"/>
              <w:ind w:right="1440"/>
              <w:spacing w:after="0"/>
              <w:rPr>
                <w:sz w:val="20"/>
                <w:szCs w:val="20"/>
                <w:color w:val="auto"/>
              </w:rPr>
            </w:pPr>
            <w:r>
              <w:rPr>
                <w:rFonts w:ascii="Arial" w:cs="Arial" w:eastAsia="Arial" w:hAnsi="Arial"/>
                <w:sz w:val="18"/>
                <w:szCs w:val="18"/>
                <w:b w:val="1"/>
                <w:bCs w:val="1"/>
                <w:color w:val="auto"/>
                <w:w w:val="94"/>
              </w:rPr>
              <w:t>April 3, 2005</w:t>
            </w: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718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2740" w:type="dxa"/>
            <w:vAlign w:val="bottom"/>
          </w:tcPr>
          <w:p>
            <w:pPr>
              <w:spacing w:after="0"/>
              <w:rPr>
                <w:sz w:val="15"/>
                <w:szCs w:val="15"/>
                <w:color w:val="auto"/>
              </w:rPr>
            </w:pPr>
          </w:p>
        </w:tc>
        <w:tc>
          <w:tcPr>
            <w:tcW w:w="7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0" w:type="dxa"/>
            <w:vAlign w:val="bottom"/>
          </w:tcPr>
          <w:p>
            <w:pPr>
              <w:jc w:val="right"/>
              <w:ind w:right="157"/>
              <w:spacing w:after="0"/>
              <w:rPr>
                <w:sz w:val="20"/>
                <w:szCs w:val="20"/>
                <w:color w:val="auto"/>
              </w:rPr>
            </w:pPr>
            <w:r>
              <w:rPr>
                <w:rFonts w:ascii="Arial" w:cs="Arial" w:eastAsia="Arial" w:hAnsi="Arial"/>
                <w:sz w:val="14"/>
                <w:szCs w:val="14"/>
                <w:b w:val="1"/>
                <w:bCs w:val="1"/>
                <w:color w:val="auto"/>
                <w:w w:val="97"/>
              </w:rPr>
              <w:t>(In thousands)</w:t>
            </w:r>
          </w:p>
        </w:tc>
        <w:tc>
          <w:tcPr>
            <w:tcW w:w="120" w:type="dxa"/>
            <w:vAlign w:val="bottom"/>
            <w:gridSpan w:val="2"/>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2740" w:type="dxa"/>
            <w:vAlign w:val="bottom"/>
          </w:tcPr>
          <w:p>
            <w:pPr>
              <w:spacing w:after="0"/>
              <w:rPr>
                <w:sz w:val="15"/>
                <w:szCs w:val="15"/>
                <w:color w:val="auto"/>
              </w:rPr>
            </w:pPr>
          </w:p>
        </w:tc>
        <w:tc>
          <w:tcPr>
            <w:tcW w:w="7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7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7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7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7,133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Property and equipment, net</w:t>
            </w:r>
          </w:p>
        </w:tc>
        <w:tc>
          <w:tcPr>
            <w:tcW w:w="7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6,021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274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Goodwill</w:t>
            </w:r>
          </w:p>
        </w:tc>
        <w:tc>
          <w:tcPr>
            <w:tcW w:w="7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312</w:t>
            </w:r>
          </w:p>
        </w:tc>
        <w:tc>
          <w:tcPr>
            <w:tcW w:w="100" w:type="dxa"/>
            <w:vAlign w:val="bottom"/>
            <w:tcBorders>
              <w:bottom w:val="single" w:sz="8" w:color="CCEEFF"/>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-2089150</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-2089150</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900" w:orient="portrait"/>
          <w:cols w:equalWidth="0" w:num="1">
            <w:col w:w="11440"/>
          </w:cols>
          <w:pgMar w:left="240" w:top="121" w:right="219" w:bottom="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94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tcPr>
          <w:p>
            <w:pPr>
              <w:ind w:left="340"/>
              <w:spacing w:after="0"/>
              <w:rPr>
                <w:sz w:val="20"/>
                <w:szCs w:val="20"/>
                <w:color w:val="auto"/>
              </w:rPr>
            </w:pPr>
            <w:r>
              <w:rPr>
                <w:rFonts w:ascii="Arial" w:cs="Arial" w:eastAsia="Arial" w:hAnsi="Arial"/>
                <w:sz w:val="18"/>
                <w:szCs w:val="18"/>
                <w:color w:val="auto"/>
              </w:rPr>
              <w:t>Total assets</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13,466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4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2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rent liability</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4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Net assets to be sold</w:t>
            </w: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12,601</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9420" w:type="dxa"/>
            <w:vAlign w:val="bottom"/>
            <w:tcBorders>
              <w:top w:val="single" w:sz="8" w:color="CCEEFF"/>
            </w:tcBorders>
          </w:tcPr>
          <w:p>
            <w:pPr>
              <w:jc w:val="center"/>
              <w:ind w:left="1870"/>
              <w:spacing w:after="0"/>
              <w:rPr>
                <w:sz w:val="20"/>
                <w:szCs w:val="20"/>
                <w:color w:val="auto"/>
              </w:rPr>
            </w:pPr>
            <w:r>
              <w:rPr>
                <w:rFonts w:ascii="Arial" w:cs="Arial" w:eastAsia="Arial" w:hAnsi="Arial"/>
                <w:sz w:val="18"/>
                <w:szCs w:val="18"/>
                <w:color w:val="auto"/>
                <w:w w:val="89"/>
              </w:rPr>
              <w:t>See accompanying notes to financial statements.</w:t>
            </w:r>
          </w:p>
        </w:tc>
        <w:tc>
          <w:tcPr>
            <w:tcW w:w="500" w:type="dxa"/>
            <w:vAlign w:val="bottom"/>
            <w:tcBorders>
              <w:top w:val="single" w:sz="8" w:color="CCEEFF"/>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200" w:type="dxa"/>
            <w:vAlign w:val="bottom"/>
            <w:tcBorders>
              <w:top w:val="single" w:sz="8" w:color="auto"/>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9440" w:type="dxa"/>
            <w:vAlign w:val="bottom"/>
            <w:gridSpan w:val="2"/>
          </w:tcPr>
          <w:p>
            <w:pPr>
              <w:jc w:val="center"/>
              <w:ind w:left="1890"/>
              <w:spacing w:after="0"/>
              <w:rPr>
                <w:sz w:val="20"/>
                <w:szCs w:val="20"/>
                <w:color w:val="auto"/>
              </w:rPr>
            </w:pPr>
            <w:r>
              <w:rPr>
                <w:rFonts w:ascii="Arial" w:cs="Arial" w:eastAsia="Arial" w:hAnsi="Arial"/>
                <w:sz w:val="18"/>
                <w:szCs w:val="18"/>
                <w:color w:val="auto"/>
                <w:w w:val="99"/>
              </w:rPr>
              <w:t>4</w:t>
            </w: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942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735"/>
        </w:trPr>
        <w:tc>
          <w:tcPr>
            <w:tcW w:w="20" w:type="dxa"/>
            <w:vAlign w:val="bottom"/>
          </w:tcPr>
          <w:p>
            <w:pPr>
              <w:spacing w:after="0"/>
              <w:rPr>
                <w:sz w:val="24"/>
                <w:szCs w:val="24"/>
                <w:color w:val="auto"/>
              </w:rPr>
            </w:pPr>
          </w:p>
        </w:tc>
        <w:tc>
          <w:tcPr>
            <w:tcW w:w="9420" w:type="dxa"/>
            <w:vAlign w:val="bottom"/>
          </w:tcPr>
          <w:p>
            <w:pPr>
              <w:jc w:val="center"/>
              <w:ind w:left="1870"/>
              <w:spacing w:after="0"/>
              <w:rPr>
                <w:sz w:val="20"/>
                <w:szCs w:val="20"/>
                <w:color w:val="auto"/>
              </w:rPr>
            </w:pPr>
            <w:r>
              <w:rPr>
                <w:rFonts w:ascii="Arial" w:cs="Arial" w:eastAsia="Arial" w:hAnsi="Arial"/>
                <w:sz w:val="18"/>
                <w:szCs w:val="18"/>
                <w:b w:val="1"/>
                <w:bCs w:val="1"/>
                <w:color w:val="auto"/>
                <w:w w:val="99"/>
              </w:rPr>
              <w:t>HARD DISK AND TAPE DRIVE CONTROLLER BUSINESS</w:t>
            </w: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9420" w:type="dxa"/>
            <w:vAlign w:val="bottom"/>
          </w:tcPr>
          <w:p>
            <w:pPr>
              <w:jc w:val="center"/>
              <w:ind w:left="1890"/>
              <w:spacing w:after="0"/>
              <w:rPr>
                <w:sz w:val="20"/>
                <w:szCs w:val="20"/>
                <w:color w:val="auto"/>
              </w:rPr>
            </w:pPr>
            <w:r>
              <w:rPr>
                <w:rFonts w:ascii="Arial" w:cs="Arial" w:eastAsia="Arial" w:hAnsi="Arial"/>
                <w:sz w:val="18"/>
                <w:szCs w:val="18"/>
                <w:b w:val="1"/>
                <w:bCs w:val="1"/>
                <w:color w:val="auto"/>
              </w:rPr>
              <w:t>OF QLOGIC CORPORATION</w:t>
            </w:r>
          </w:p>
        </w:tc>
        <w:tc>
          <w:tcPr>
            <w:tcW w:w="5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9420" w:type="dxa"/>
            <w:vAlign w:val="bottom"/>
          </w:tcPr>
          <w:p>
            <w:pPr>
              <w:jc w:val="center"/>
              <w:ind w:left="1890"/>
              <w:spacing w:after="0"/>
              <w:rPr>
                <w:sz w:val="20"/>
                <w:szCs w:val="20"/>
                <w:color w:val="auto"/>
              </w:rPr>
            </w:pPr>
            <w:r>
              <w:rPr>
                <w:rFonts w:ascii="Arial" w:cs="Arial" w:eastAsia="Arial" w:hAnsi="Arial"/>
                <w:sz w:val="18"/>
                <w:szCs w:val="18"/>
                <w:b w:val="1"/>
                <w:bCs w:val="1"/>
                <w:color w:val="auto"/>
                <w:w w:val="99"/>
              </w:rPr>
              <w:t>STATEMENT OF DIRECT REVENUES AND DIRECT OPERATING EXPENSES</w:t>
            </w: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9420" w:type="dxa"/>
            <w:vAlign w:val="bottom"/>
          </w:tcPr>
          <w:p>
            <w:pPr>
              <w:jc w:val="center"/>
              <w:ind w:left="1870"/>
              <w:spacing w:after="0"/>
              <w:rPr>
                <w:sz w:val="20"/>
                <w:szCs w:val="20"/>
                <w:color w:val="auto"/>
              </w:rPr>
            </w:pPr>
            <w:r>
              <w:rPr>
                <w:rFonts w:ascii="Arial" w:cs="Arial" w:eastAsia="Arial" w:hAnsi="Arial"/>
                <w:sz w:val="18"/>
                <w:szCs w:val="18"/>
                <w:b w:val="1"/>
                <w:bCs w:val="1"/>
                <w:color w:val="auto"/>
                <w:w w:val="92"/>
              </w:rPr>
              <w:t>Year Ended April 3, 2005</w:t>
            </w:r>
          </w:p>
        </w:tc>
        <w:tc>
          <w:tcPr>
            <w:tcW w:w="5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94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94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0" w:type="dxa"/>
            <w:vAlign w:val="bottom"/>
          </w:tcPr>
          <w:p>
            <w:pPr>
              <w:jc w:val="right"/>
              <w:ind w:right="153"/>
              <w:spacing w:after="0"/>
              <w:rPr>
                <w:sz w:val="20"/>
                <w:szCs w:val="20"/>
                <w:color w:val="auto"/>
              </w:rPr>
            </w:pPr>
            <w:r>
              <w:rPr>
                <w:rFonts w:ascii="Arial" w:cs="Arial" w:eastAsia="Arial" w:hAnsi="Arial"/>
                <w:sz w:val="14"/>
                <w:szCs w:val="14"/>
                <w:b w:val="1"/>
                <w:bCs w:val="1"/>
                <w:color w:val="auto"/>
                <w:w w:val="97"/>
              </w:rPr>
              <w:t>(In thousands)</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9420" w:type="dxa"/>
            <w:vAlign w:val="bottom"/>
          </w:tcPr>
          <w:p>
            <w:pPr>
              <w:spacing w:after="0"/>
              <w:rPr>
                <w:sz w:val="15"/>
                <w:szCs w:val="15"/>
                <w:color w:val="auto"/>
              </w:rPr>
            </w:pPr>
          </w:p>
        </w:tc>
        <w:tc>
          <w:tcPr>
            <w:tcW w:w="680" w:type="dxa"/>
            <w:vAlign w:val="bottom"/>
            <w:gridSpan w:val="2"/>
          </w:tcPr>
          <w:p>
            <w:pPr>
              <w:spacing w:after="0"/>
              <w:rPr>
                <w:sz w:val="15"/>
                <w:szCs w:val="15"/>
                <w:color w:val="auto"/>
              </w:rPr>
            </w:pPr>
          </w:p>
        </w:tc>
        <w:tc>
          <w:tcPr>
            <w:tcW w:w="1300" w:type="dxa"/>
            <w:vAlign w:val="bottom"/>
            <w:gridSpan w:val="2"/>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Direct revenues</w:t>
            </w: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143,185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tcPr>
          <w:p>
            <w:pPr>
              <w:spacing w:after="0"/>
              <w:rPr>
                <w:sz w:val="20"/>
                <w:szCs w:val="20"/>
                <w:color w:val="auto"/>
              </w:rPr>
            </w:pPr>
            <w:r>
              <w:rPr>
                <w:rFonts w:ascii="Arial" w:cs="Arial" w:eastAsia="Arial" w:hAnsi="Arial"/>
                <w:sz w:val="18"/>
                <w:szCs w:val="18"/>
                <w:color w:val="auto"/>
              </w:rPr>
              <w:t>Direct cost of revenues</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57,247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tcPr>
          <w:p>
            <w:pPr>
              <w:ind w:left="160"/>
              <w:spacing w:after="0"/>
              <w:rPr>
                <w:sz w:val="20"/>
                <w:szCs w:val="20"/>
                <w:color w:val="auto"/>
              </w:rPr>
            </w:pPr>
            <w:r>
              <w:rPr>
                <w:rFonts w:ascii="Arial" w:cs="Arial" w:eastAsia="Arial" w:hAnsi="Arial"/>
                <w:sz w:val="18"/>
                <w:szCs w:val="18"/>
                <w:color w:val="auto"/>
              </w:rPr>
              <w:t>Gross profit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85,938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9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20" w:type="dxa"/>
            <w:vAlign w:val="bottom"/>
          </w:tcPr>
          <w:p>
            <w:pPr>
              <w:spacing w:after="0"/>
              <w:rPr>
                <w:sz w:val="20"/>
                <w:szCs w:val="20"/>
                <w:color w:val="auto"/>
              </w:rPr>
            </w:pPr>
            <w:r>
              <w:rPr>
                <w:rFonts w:ascii="Arial" w:cs="Arial" w:eastAsia="Arial" w:hAnsi="Arial"/>
                <w:sz w:val="18"/>
                <w:szCs w:val="18"/>
                <w:color w:val="auto"/>
              </w:rPr>
              <w:t>Direct operating expenses:</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Engineering and development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tcPr>
          <w:p>
            <w:pPr>
              <w:ind w:left="160"/>
              <w:spacing w:after="0"/>
              <w:rPr>
                <w:sz w:val="20"/>
                <w:szCs w:val="20"/>
                <w:color w:val="auto"/>
              </w:rPr>
            </w:pPr>
            <w:r>
              <w:rPr>
                <w:rFonts w:ascii="Arial" w:cs="Arial" w:eastAsia="Arial" w:hAnsi="Arial"/>
                <w:sz w:val="18"/>
                <w:szCs w:val="18"/>
                <w:color w:val="auto"/>
              </w:rPr>
              <w:t>Sales and marketing</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4,894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4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direct operating expenses</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20,576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94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Excess of direct revenues over direct operating expenses</w:t>
            </w: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65,362</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9420" w:type="dxa"/>
            <w:vAlign w:val="bottom"/>
            <w:tcBorders>
              <w:top w:val="single" w:sz="8" w:color="CCEEFF"/>
            </w:tcBorders>
          </w:tcPr>
          <w:p>
            <w:pPr>
              <w:jc w:val="center"/>
              <w:ind w:left="1870"/>
              <w:spacing w:after="0"/>
              <w:rPr>
                <w:sz w:val="20"/>
                <w:szCs w:val="20"/>
                <w:color w:val="auto"/>
              </w:rPr>
            </w:pPr>
            <w:r>
              <w:rPr>
                <w:rFonts w:ascii="Arial" w:cs="Arial" w:eastAsia="Arial" w:hAnsi="Arial"/>
                <w:sz w:val="18"/>
                <w:szCs w:val="18"/>
                <w:color w:val="auto"/>
                <w:w w:val="89"/>
              </w:rPr>
              <w:t>See accompanying notes to financial statements.</w:t>
            </w:r>
          </w:p>
        </w:tc>
        <w:tc>
          <w:tcPr>
            <w:tcW w:w="500" w:type="dxa"/>
            <w:vAlign w:val="bottom"/>
            <w:tcBorders>
              <w:top w:val="single" w:sz="8" w:color="CCEEFF"/>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200" w:type="dxa"/>
            <w:vAlign w:val="bottom"/>
            <w:tcBorders>
              <w:top w:val="single" w:sz="8" w:color="auto"/>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9440" w:type="dxa"/>
            <w:vAlign w:val="bottom"/>
            <w:gridSpan w:val="2"/>
          </w:tcPr>
          <w:p>
            <w:pPr>
              <w:jc w:val="center"/>
              <w:ind w:left="1890"/>
              <w:spacing w:after="0"/>
              <w:rPr>
                <w:sz w:val="20"/>
                <w:szCs w:val="20"/>
                <w:color w:val="auto"/>
              </w:rPr>
            </w:pPr>
            <w:r>
              <w:rPr>
                <w:rFonts w:ascii="Arial" w:cs="Arial" w:eastAsia="Arial" w:hAnsi="Arial"/>
                <w:sz w:val="18"/>
                <w:szCs w:val="18"/>
                <w:color w:val="auto"/>
                <w:w w:val="99"/>
              </w:rPr>
              <w:t>5</w:t>
            </w: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942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-3976370</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-3976370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HARD DISK AND TAPE DRIVE CONTROLLER BUSINESS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OF QLOGIC CORPORATION</w:t>
      </w:r>
    </w:p>
    <w:p>
      <w:pPr>
        <w:spacing w:after="0" w:line="20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NOTES TO FINANCIAL STATEMENTS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April 3, 2005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Description of Business</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General Business Information</w:t>
      </w:r>
    </w:p>
    <w:p>
      <w:pPr>
        <w:spacing w:after="0" w:line="225" w:lineRule="exact"/>
        <w:rPr>
          <w:sz w:val="20"/>
          <w:szCs w:val="20"/>
          <w:color w:val="auto"/>
        </w:rPr>
      </w:pPr>
    </w:p>
    <w:p>
      <w:pPr>
        <w:ind w:right="160" w:firstLine="259"/>
        <w:spacing w:after="0" w:line="264" w:lineRule="auto"/>
        <w:rPr>
          <w:sz w:val="20"/>
          <w:szCs w:val="20"/>
          <w:color w:val="auto"/>
        </w:rPr>
      </w:pPr>
      <w:r>
        <w:rPr>
          <w:rFonts w:ascii="Arial" w:cs="Arial" w:eastAsia="Arial" w:hAnsi="Arial"/>
          <w:sz w:val="18"/>
          <w:szCs w:val="18"/>
          <w:color w:val="auto"/>
        </w:rPr>
        <w:t>The Hard Disk and Tape Drive Controller Business (the Business) is comprised of a group of products within QLogic Corporation (QLogic). The Business designs and supplies controller chips for data storage peripherals, such as hard disk drives and tape drives. The Business markets and distributes its products primarily to original equipment manufacturers through an independent sales representative firm.</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Basis of Presentation</w:t>
      </w:r>
    </w:p>
    <w:p>
      <w:pPr>
        <w:spacing w:after="0" w:line="229" w:lineRule="exact"/>
        <w:rPr>
          <w:sz w:val="20"/>
          <w:szCs w:val="20"/>
          <w:color w:val="auto"/>
        </w:rPr>
      </w:pPr>
    </w:p>
    <w:p>
      <w:pPr>
        <w:ind w:right="520" w:firstLine="259"/>
        <w:spacing w:after="0" w:line="277" w:lineRule="auto"/>
        <w:rPr>
          <w:sz w:val="20"/>
          <w:szCs w:val="20"/>
          <w:color w:val="auto"/>
        </w:rPr>
      </w:pPr>
      <w:r>
        <w:rPr>
          <w:rFonts w:ascii="Arial" w:cs="Arial" w:eastAsia="Arial" w:hAnsi="Arial"/>
          <w:sz w:val="18"/>
          <w:szCs w:val="18"/>
          <w:color w:val="auto"/>
        </w:rPr>
        <w:t>The accompanying financial statements have been prepared from the books and records maintained by QLogic. The Business was not operated as a separate entity, but was an integrated part of QLogic’s consolidated business.</w:t>
      </w:r>
    </w:p>
    <w:p>
      <w:pPr>
        <w:spacing w:after="0" w:line="170" w:lineRule="exact"/>
        <w:rPr>
          <w:sz w:val="20"/>
          <w:szCs w:val="20"/>
          <w:color w:val="auto"/>
        </w:rPr>
      </w:pPr>
    </w:p>
    <w:p>
      <w:pPr>
        <w:ind w:right="20" w:firstLine="259"/>
        <w:spacing w:after="0" w:line="289" w:lineRule="auto"/>
        <w:rPr>
          <w:sz w:val="20"/>
          <w:szCs w:val="20"/>
          <w:color w:val="auto"/>
        </w:rPr>
      </w:pPr>
      <w:r>
        <w:rPr>
          <w:rFonts w:ascii="Arial" w:cs="Arial" w:eastAsia="Arial" w:hAnsi="Arial"/>
          <w:sz w:val="16"/>
          <w:szCs w:val="16"/>
          <w:color w:val="auto"/>
        </w:rPr>
        <w:t>The statement of net assets to be sold includes only the specific assets and liabilities related to the Business that are expected to be sold. The statement of direct revenues and direct operating expenses includes the net revenues and operating expenses directly attributable to the development, manufacture, sale and distribution of the products comprising the Business. Direct expenses included in the accompanying financial statements include salaries and wages, fringe benefits, depreciation, rent and other expenses. The statement also includes an allocation of certain engineering and development costs attributable to the design of the products comprising the Business. QLogic management believes that the allocations are reasonable; however, these allocated expenses are not necessarily indicative of costs that would be incurred on a stand-alone basis due to economies of scale, differences in management judgement, a requirement for more or fewer employees, or other factors. Future results of operations and financial position could differ materially from the historical amounts presented herein. The statement of direct revenues and direct operating expenses do not include interest income, income taxes or any other indirect expenses not noted above. Complete financial statements were not prepared as the Business was not maintained as a separate reporting unit.</w:t>
      </w:r>
    </w:p>
    <w:p>
      <w:pPr>
        <w:spacing w:after="0" w:line="167" w:lineRule="exact"/>
        <w:rPr>
          <w:sz w:val="20"/>
          <w:szCs w:val="20"/>
          <w:color w:val="auto"/>
        </w:rPr>
      </w:pPr>
    </w:p>
    <w:p>
      <w:pPr>
        <w:ind w:right="140" w:firstLine="259"/>
        <w:spacing w:after="0" w:line="259" w:lineRule="auto"/>
        <w:rPr>
          <w:sz w:val="20"/>
          <w:szCs w:val="20"/>
          <w:color w:val="auto"/>
        </w:rPr>
      </w:pPr>
      <w:r>
        <w:rPr>
          <w:rFonts w:ascii="Arial" w:cs="Arial" w:eastAsia="Arial" w:hAnsi="Arial"/>
          <w:sz w:val="18"/>
          <w:szCs w:val="18"/>
          <w:color w:val="auto"/>
        </w:rPr>
        <w:t>The accompanying financial statements have been prepared in accordance with accounting principles generally accepted in the United States of America. The preparation of financial statements in accordance with accounting principles generally accepted in the United States of America requires management to make estimates that affect the amounts reported in the Business’ financial statements and accompanying notes. Actual results could differ from these estimates.</w:t>
      </w:r>
    </w:p>
    <w:p>
      <w:pPr>
        <w:sectPr>
          <w:pgSz w:w="11900" w:h="16838" w:orient="portrait"/>
          <w:cols w:equalWidth="0" w:num="1">
            <w:col w:w="11440"/>
          </w:cols>
          <w:pgMar w:left="240" w:top="140" w:right="219" w:bottom="0" w:gutter="0" w:footer="0" w:header="0"/>
        </w:sectPr>
      </w:pPr>
    </w:p>
    <w:bookmarkStart w:id="3" w:name="page4"/>
    <w:bookmarkEnd w:id="3"/>
    <w:p>
      <w:pPr>
        <w:ind w:left="260"/>
        <w:spacing w:after="0"/>
        <w:rPr>
          <w:sz w:val="20"/>
          <w:szCs w:val="20"/>
          <w:color w:val="auto"/>
        </w:rPr>
      </w:pPr>
      <w:r>
        <w:rPr>
          <w:rFonts w:ascii="Arial" w:cs="Arial" w:eastAsia="Arial" w:hAnsi="Arial"/>
          <w:sz w:val="18"/>
          <w:szCs w:val="18"/>
          <w:color w:val="auto"/>
        </w:rPr>
        <w:t>All significant intercompany transactions and balances have been eliminated from these financial statements.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Summary of Significant Accounting Policies</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25" w:lineRule="exact"/>
        <w:rPr>
          <w:sz w:val="20"/>
          <w:szCs w:val="20"/>
          <w:color w:val="auto"/>
        </w:rPr>
      </w:pPr>
    </w:p>
    <w:p>
      <w:pPr>
        <w:ind w:right="40" w:firstLine="259"/>
        <w:spacing w:after="0" w:line="342" w:lineRule="auto"/>
        <w:rPr>
          <w:sz w:val="20"/>
          <w:szCs w:val="20"/>
          <w:color w:val="auto"/>
        </w:rPr>
      </w:pPr>
      <w:r>
        <w:rPr>
          <w:rFonts w:ascii="Arial" w:cs="Arial" w:eastAsia="Arial" w:hAnsi="Arial"/>
          <w:sz w:val="16"/>
          <w:szCs w:val="16"/>
          <w:color w:val="auto"/>
        </w:rPr>
        <w:t>The Business recognizes revenue from product sales when the following fundamental criteria are met: (i) persuasive evidence of an arrangement exists, (ii) delivery has occurred, (iii) the price to the customer is fixed or determinable and (iv) collection of the resulting accounts receivable is reasonably assured.</w:t>
      </w:r>
    </w:p>
    <w:p>
      <w:pPr>
        <w:spacing w:after="0" w:line="124" w:lineRule="exact"/>
        <w:rPr>
          <w:sz w:val="20"/>
          <w:szCs w:val="20"/>
          <w:color w:val="auto"/>
        </w:rPr>
      </w:pPr>
    </w:p>
    <w:p>
      <w:pPr>
        <w:ind w:right="100" w:firstLine="259"/>
        <w:spacing w:after="0" w:line="279" w:lineRule="auto"/>
        <w:rPr>
          <w:sz w:val="20"/>
          <w:szCs w:val="20"/>
          <w:color w:val="auto"/>
        </w:rPr>
      </w:pPr>
      <w:r>
        <w:rPr>
          <w:rFonts w:ascii="Arial" w:cs="Arial" w:eastAsia="Arial" w:hAnsi="Arial"/>
          <w:sz w:val="17"/>
          <w:szCs w:val="17"/>
          <w:color w:val="auto"/>
        </w:rPr>
        <w:t>For all sales, the Business uses a binding purchase order or a signed agreement as evidence of an arrangement. Delivery occurs when goods are shipped and title and risk of loss transfers to the customer, in accordance with the terms specified in the arrangement with the customer. The customer’s obligation to pay and the payment terms are set at the time of shipment and are not dependent on the subsequent resale of the Business’ product. However, certain of the Business’ sales are made to distributors under agreements which contain a limited right to return for</w:t>
      </w:r>
    </w:p>
    <w:p>
      <w:pPr>
        <w:spacing w:after="0" w:line="17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unsold product and price protection provisions. The Business recognizes revenue from these distributors when the product is sold by the distributor to a third party. At times, the Business provides standard incentive programs to its distributor customers and accounts for such programs in accordance with Emerging Issues Task Force Issue No. 01-9, “Accounting for Consideration Given by a Vendor to a Customer (Including a Reseller of the Vendor’s Products).” Accordingly, the Business accounts for its competitive pricing incentives, which generally reflect front-end price adjustments, as a reduction of revenue at the time of sale, and rebates as a reduction of revenue in the period the related revenue is recorded based on the specific program criteria.</w:t>
      </w:r>
    </w:p>
    <w:p>
      <w:pPr>
        <w:spacing w:after="0" w:line="158"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cost of revenues</w:t>
      </w:r>
    </w:p>
    <w:p>
      <w:pPr>
        <w:spacing w:after="0" w:line="225"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Direct cost of revenues includes all variable and fixed costs associated with manufacturing and testing the product, including the cost of goods purchased from third parties, direct labor, indirect labor, packaging supplies and fixed costs such as depreciation.</w:t>
      </w:r>
    </w:p>
    <w:p>
      <w:pPr>
        <w:spacing w:after="0" w:line="170"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engineering and development</w:t>
      </w:r>
    </w:p>
    <w:p>
      <w:pPr>
        <w:spacing w:after="0" w:line="225" w:lineRule="exact"/>
        <w:rPr>
          <w:sz w:val="20"/>
          <w:szCs w:val="20"/>
          <w:color w:val="auto"/>
        </w:rPr>
      </w:pPr>
    </w:p>
    <w:p>
      <w:pPr>
        <w:jc w:val="both"/>
        <w:ind w:right="540" w:firstLine="259"/>
        <w:spacing w:after="0" w:line="264" w:lineRule="auto"/>
        <w:rPr>
          <w:sz w:val="20"/>
          <w:szCs w:val="20"/>
          <w:color w:val="auto"/>
        </w:rPr>
      </w:pPr>
      <w:r>
        <w:rPr>
          <w:rFonts w:ascii="Arial" w:cs="Arial" w:eastAsia="Arial" w:hAnsi="Arial"/>
          <w:sz w:val="18"/>
          <w:szCs w:val="18"/>
          <w:color w:val="auto"/>
        </w:rPr>
        <w:t>Direct engineering and development costs consist of costs related to the development of new products and process technology and are expensed as incurred. Direct engineering and development costs includes certain expenses allocated to the Business based upon specific identification of expenses incurred or management estimates of resources utilized.</w:t>
      </w:r>
    </w:p>
    <w:p>
      <w:pPr>
        <w:spacing w:after="0" w:line="181"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sales and marketing expenses</w:t>
      </w:r>
    </w:p>
    <w:p>
      <w:pPr>
        <w:spacing w:after="0" w:line="225" w:lineRule="exact"/>
        <w:rPr>
          <w:sz w:val="20"/>
          <w:szCs w:val="20"/>
          <w:color w:val="auto"/>
        </w:rPr>
      </w:pPr>
    </w:p>
    <w:p>
      <w:pPr>
        <w:ind w:right="660" w:firstLine="259"/>
        <w:spacing w:after="0" w:line="277" w:lineRule="auto"/>
        <w:rPr>
          <w:sz w:val="20"/>
          <w:szCs w:val="20"/>
          <w:color w:val="auto"/>
        </w:rPr>
      </w:pPr>
      <w:r>
        <w:rPr>
          <w:rFonts w:ascii="Arial" w:cs="Arial" w:eastAsia="Arial" w:hAnsi="Arial"/>
          <w:sz w:val="18"/>
          <w:szCs w:val="18"/>
          <w:color w:val="auto"/>
        </w:rPr>
        <w:t>Direct sales and marketing expenses consists primarily of commissions to an independent sales representative firm and the costs of various direct marketing activities.</w:t>
      </w:r>
    </w:p>
    <w:p>
      <w:pPr>
        <w:spacing w:after="0" w:line="170"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general and administrative expenses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color w:val="auto"/>
        </w:rPr>
        <w:t>Direct general and administrative expenses consist of facility costs directly related to or allocable to the Business.</w:t>
      </w:r>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Bad Debt Expense</w:t>
      </w:r>
    </w:p>
    <w:p>
      <w:pPr>
        <w:spacing w:after="0" w:line="225" w:lineRule="exact"/>
        <w:rPr>
          <w:sz w:val="20"/>
          <w:szCs w:val="20"/>
          <w:color w:val="auto"/>
        </w:rPr>
      </w:pPr>
    </w:p>
    <w:p>
      <w:pPr>
        <w:ind w:right="340" w:firstLine="259"/>
        <w:spacing w:after="0" w:line="264" w:lineRule="auto"/>
        <w:rPr>
          <w:sz w:val="20"/>
          <w:szCs w:val="20"/>
          <w:color w:val="auto"/>
        </w:rPr>
      </w:pPr>
      <w:r>
        <w:rPr>
          <w:rFonts w:ascii="Arial" w:cs="Arial" w:eastAsia="Arial" w:hAnsi="Arial"/>
          <w:sz w:val="18"/>
          <w:szCs w:val="18"/>
          <w:color w:val="auto"/>
        </w:rPr>
        <w:t>Bad debt expense is recorded for estimated losses resulting from the inability of the Business’ customers to make required payments. This expense is determined by analyzing specific customer accounts and applying historical loss rates to the remaining balance of unpaid customer accounts. Bad debt expense is not material to the accompanying statement of direct revenues and direct operating expenses.</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Inventories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Inventories are stated at the lower of cost (first-in, first-out) or market.</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225" w:lineRule="exact"/>
        <w:rPr>
          <w:sz w:val="20"/>
          <w:szCs w:val="20"/>
          <w:color w:val="auto"/>
        </w:rPr>
      </w:pPr>
    </w:p>
    <w:p>
      <w:pPr>
        <w:ind w:right="320" w:firstLine="259"/>
        <w:spacing w:after="0" w:line="277" w:lineRule="auto"/>
        <w:rPr>
          <w:sz w:val="20"/>
          <w:szCs w:val="20"/>
          <w:color w:val="auto"/>
        </w:rPr>
      </w:pPr>
      <w:r>
        <w:rPr>
          <w:rFonts w:ascii="Arial" w:cs="Arial" w:eastAsia="Arial" w:hAnsi="Arial"/>
          <w:sz w:val="18"/>
          <w:szCs w:val="18"/>
          <w:color w:val="auto"/>
        </w:rPr>
        <w:t>Property and equipment are stated at cost. Depreciation is calculated using the straight-line method over estimated useful lives of two to five years for property and equipment. Leasehold improvements are amortized on a straight-line basis over the lease term.</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Depreciation expense included in the accompanying statement of direct revenues and direct operating expenses was $1,140,000.</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Impairment of Goodwill and Long-Lived Assets</w:t>
      </w:r>
    </w:p>
    <w:p>
      <w:pPr>
        <w:spacing w:after="0" w:line="225" w:lineRule="exact"/>
        <w:rPr>
          <w:sz w:val="20"/>
          <w:szCs w:val="20"/>
          <w:color w:val="auto"/>
        </w:rPr>
      </w:pPr>
    </w:p>
    <w:p>
      <w:pPr>
        <w:ind w:right="140" w:firstLine="259"/>
        <w:spacing w:after="0" w:line="264" w:lineRule="auto"/>
        <w:rPr>
          <w:sz w:val="20"/>
          <w:szCs w:val="20"/>
          <w:color w:val="auto"/>
        </w:rPr>
      </w:pPr>
      <w:r>
        <w:rPr>
          <w:rFonts w:ascii="Arial" w:cs="Arial" w:eastAsia="Arial" w:hAnsi="Arial"/>
          <w:sz w:val="18"/>
          <w:szCs w:val="18"/>
          <w:color w:val="auto"/>
        </w:rPr>
        <w:t>Statement of Financial Accounting Standards (SFAS) No. 142, “Goodwill and Other Intangible Assets,” requires that goodwill and intangible assets that have indefinite lives not be amortized but rather be tested at least annually for impairment, or more frequently when events or changes in circumstances indicate that the asset might be impaired.</w:t>
      </w:r>
    </w:p>
    <w:p>
      <w:pPr>
        <w:spacing w:after="0" w:line="181"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In accordance with the provisions of SFAS No. 142, the goodwill was tested for impairment as of April 3, 2005. The two-step impairment test defined in SFAS No. 142 was used to identify potential goodwill impairments and to measure the amount of any goodwill impairment loss to be recognized. During the first step of the impairment analysis, the fair value of the Business was compared to its net book value. It was determined that there was no impairment of goodwill since the estimated fair value of the Business exceeded its carrying value as of April 3, 2005.</w:t>
      </w:r>
    </w:p>
    <w:p>
      <w:pPr>
        <w:sectPr>
          <w:pgSz w:w="11900" w:h="16838" w:orient="portrait"/>
          <w:cols w:equalWidth="0" w:num="1">
            <w:col w:w="11380"/>
          </w:cols>
          <w:pgMar w:left="240" w:top="341" w:right="279" w:bottom="0" w:gutter="0" w:footer="0" w:header="0"/>
        </w:sectPr>
      </w:pPr>
    </w:p>
    <w:bookmarkStart w:id="4" w:name="page5"/>
    <w:bookmarkEnd w:id="4"/>
    <w:p>
      <w:pPr>
        <w:ind w:right="180" w:firstLine="259"/>
        <w:spacing w:after="0" w:line="297" w:lineRule="auto"/>
        <w:rPr>
          <w:sz w:val="20"/>
          <w:szCs w:val="20"/>
          <w:color w:val="auto"/>
        </w:rPr>
      </w:pPr>
      <w:r>
        <w:rPr>
          <w:rFonts w:ascii="Arial" w:cs="Arial" w:eastAsia="Arial" w:hAnsi="Arial"/>
          <w:sz w:val="16"/>
          <w:szCs w:val="16"/>
          <w:color w:val="auto"/>
        </w:rPr>
        <w:t>Long-lived assets are reviewed for impairment whenever events or changes in circumstances indicate that the carrying amount of an asset may not be recoverable in accordance with SFAS No. 144, “Accounting for the Impairment or Disposal of Long-Lived Assets.” Recoverability of assets to be held and used is measured by the comparison of the carrying amount of an asset to future undiscounted net cash flows expected to be generated by the asset. If such assets are considered to be impaired, the impairment to be recognized is measured as the amount by which the carrying amount of the assets exceeds the fair value of the assets. Assets to be disposed of are reported at the lower of the carrying amount or fair value less costs to sell.</w:t>
      </w:r>
    </w:p>
    <w:p>
      <w:pPr>
        <w:spacing w:after="0" w:line="158"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Warranty</w:t>
      </w:r>
    </w:p>
    <w:p>
      <w:pPr>
        <w:spacing w:after="0" w:line="225" w:lineRule="exact"/>
        <w:rPr>
          <w:sz w:val="20"/>
          <w:szCs w:val="20"/>
          <w:color w:val="auto"/>
        </w:rPr>
      </w:pPr>
    </w:p>
    <w:p>
      <w:pPr>
        <w:ind w:right="320" w:firstLine="259"/>
        <w:spacing w:after="0" w:line="277" w:lineRule="auto"/>
        <w:rPr>
          <w:sz w:val="20"/>
          <w:szCs w:val="20"/>
          <w:color w:val="auto"/>
        </w:rPr>
      </w:pPr>
      <w:r>
        <w:rPr>
          <w:rFonts w:ascii="Arial" w:cs="Arial" w:eastAsia="Arial" w:hAnsi="Arial"/>
          <w:sz w:val="18"/>
          <w:szCs w:val="18"/>
          <w:color w:val="auto"/>
        </w:rPr>
        <w:t>The Business’ products typically carry a warranty for 90 days. Warranty expense is not material to the accompanying statement of direct revenues and direct operating expenses.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Inventories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Components of inventories are as follows: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center"/>
              <w:ind w:right="55"/>
              <w:spacing w:after="0"/>
              <w:rPr>
                <w:sz w:val="20"/>
                <w:szCs w:val="20"/>
                <w:color w:val="auto"/>
              </w:rPr>
            </w:pPr>
            <w:r>
              <w:rPr>
                <w:rFonts w:ascii="Arial" w:cs="Arial" w:eastAsia="Arial" w:hAnsi="Arial"/>
                <w:sz w:val="14"/>
                <w:szCs w:val="14"/>
                <w:b w:val="1"/>
                <w:bCs w:val="1"/>
                <w:color w:val="auto"/>
                <w:w w:val="96"/>
              </w:rPr>
              <w:t>2005</w:t>
            </w:r>
          </w:p>
        </w:tc>
        <w:tc>
          <w:tcPr>
            <w:tcW w:w="120" w:type="dxa"/>
            <w:vAlign w:val="bottom"/>
          </w:tcPr>
          <w:p>
            <w:pPr>
              <w:spacing w:after="0"/>
              <w:rPr>
                <w:sz w:val="14"/>
                <w:szCs w:val="14"/>
                <w:color w:val="auto"/>
              </w:rPr>
            </w:pPr>
          </w:p>
        </w:tc>
        <w:tc>
          <w:tcPr>
            <w:tcW w:w="340" w:type="dxa"/>
            <w:vAlign w:val="bottom"/>
          </w:tcPr>
          <w:p>
            <w:pPr>
              <w:spacing w:after="0"/>
              <w:rPr>
                <w:sz w:val="14"/>
                <w:szCs w:val="14"/>
                <w:color w:val="auto"/>
              </w:rPr>
            </w:pPr>
          </w:p>
        </w:tc>
      </w:tr>
      <w:tr>
        <w:trPr>
          <w:trHeight w:val="142"/>
        </w:trPr>
        <w:tc>
          <w:tcPr>
            <w:tcW w:w="2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20" w:type="dxa"/>
            <w:vAlign w:val="bottom"/>
          </w:tcPr>
          <w:p>
            <w:pPr>
              <w:jc w:val="center"/>
              <w:ind w:right="55"/>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20" w:type="dxa"/>
            <w:vAlign w:val="bottom"/>
          </w:tcPr>
          <w:p>
            <w:pPr>
              <w:spacing w:after="0"/>
              <w:rPr>
                <w:sz w:val="12"/>
                <w:szCs w:val="12"/>
                <w:color w:val="auto"/>
              </w:rPr>
            </w:pPr>
          </w:p>
        </w:tc>
        <w:tc>
          <w:tcPr>
            <w:tcW w:w="340" w:type="dxa"/>
            <w:vAlign w:val="bottom"/>
          </w:tcPr>
          <w:p>
            <w:pPr>
              <w:spacing w:after="0"/>
              <w:rPr>
                <w:sz w:val="12"/>
                <w:szCs w:val="12"/>
                <w:color w:val="auto"/>
              </w:rPr>
            </w:pPr>
          </w:p>
        </w:tc>
      </w:tr>
      <w:tr>
        <w:trPr>
          <w:trHeight w:val="216"/>
        </w:trPr>
        <w:tc>
          <w:tcPr>
            <w:tcW w:w="26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Raw materials</w:t>
            </w:r>
          </w:p>
        </w:tc>
        <w:tc>
          <w:tcPr>
            <w:tcW w:w="4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2,833</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Finished goods</w:t>
            </w:r>
          </w:p>
        </w:tc>
        <w:tc>
          <w:tcPr>
            <w:tcW w:w="4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ind w:left="720"/>
              <w:spacing w:after="0"/>
              <w:rPr>
                <w:sz w:val="20"/>
                <w:szCs w:val="20"/>
                <w:color w:val="auto"/>
              </w:rPr>
            </w:pPr>
            <w:r>
              <w:rPr>
                <w:rFonts w:ascii="Arial" w:cs="Arial" w:eastAsia="Arial" w:hAnsi="Arial"/>
                <w:sz w:val="18"/>
                <w:szCs w:val="18"/>
                <w:color w:val="auto"/>
              </w:rPr>
              <w:t>4,300</w:t>
            </w:r>
          </w:p>
        </w:tc>
        <w:tc>
          <w:tcPr>
            <w:tcW w:w="340" w:type="dxa"/>
            <w:vAlign w:val="bottom"/>
          </w:tcPr>
          <w:p>
            <w:pPr>
              <w:spacing w:after="0"/>
              <w:rPr>
                <w:sz w:val="18"/>
                <w:szCs w:val="18"/>
                <w:color w:val="auto"/>
              </w:rPr>
            </w:pPr>
          </w:p>
        </w:tc>
      </w:tr>
      <w:tr>
        <w:trPr>
          <w:trHeight w:val="230"/>
        </w:trPr>
        <w:tc>
          <w:tcPr>
            <w:tcW w:w="260" w:type="dxa"/>
            <w:vAlign w:val="bottom"/>
          </w:tcPr>
          <w:p>
            <w:pPr>
              <w:spacing w:after="0"/>
              <w:rPr>
                <w:sz w:val="19"/>
                <w:szCs w:val="19"/>
                <w:color w:val="auto"/>
              </w:rPr>
            </w:pPr>
          </w:p>
        </w:tc>
        <w:tc>
          <w:tcPr>
            <w:tcW w:w="4700" w:type="dxa"/>
            <w:vAlign w:val="bottom"/>
            <w:tcBorders>
              <w:top w:val="single" w:sz="8" w:color="CCEEFF"/>
              <w:bottom w:val="single" w:sz="8" w:color="CCEEFF"/>
            </w:tcBorders>
            <w:shd w:val="clear" w:color="auto" w:fill="CCEEFF"/>
          </w:tcPr>
          <w:p>
            <w:pPr>
              <w:spacing w:after="0"/>
              <w:rPr>
                <w:sz w:val="19"/>
                <w:szCs w:val="19"/>
                <w:color w:val="auto"/>
              </w:rPr>
            </w:pPr>
          </w:p>
        </w:tc>
        <w:tc>
          <w:tcPr>
            <w:tcW w:w="47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w w:val="84"/>
              </w:rPr>
              <w:t>7,133</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40" w:type="dxa"/>
            <w:vAlign w:val="bottom"/>
          </w:tcPr>
          <w:p>
            <w:pPr>
              <w:spacing w:after="0"/>
              <w:rPr>
                <w:sz w:val="19"/>
                <w:szCs w:val="19"/>
                <w:color w:val="auto"/>
              </w:rPr>
            </w:pPr>
          </w:p>
        </w:tc>
      </w:tr>
      <w:tr>
        <w:trPr>
          <w:trHeight w:val="419"/>
        </w:trPr>
        <w:tc>
          <w:tcPr>
            <w:tcW w:w="260" w:type="dxa"/>
            <w:vAlign w:val="bottom"/>
          </w:tcPr>
          <w:p>
            <w:pPr>
              <w:spacing w:after="0"/>
              <w:rPr>
                <w:sz w:val="24"/>
                <w:szCs w:val="24"/>
                <w:color w:val="auto"/>
              </w:rPr>
            </w:pPr>
          </w:p>
        </w:tc>
        <w:tc>
          <w:tcPr>
            <w:tcW w:w="4700" w:type="dxa"/>
            <w:vAlign w:val="bottom"/>
          </w:tcPr>
          <w:p>
            <w:pPr>
              <w:spacing w:after="0"/>
              <w:rPr>
                <w:sz w:val="24"/>
                <w:szCs w:val="24"/>
                <w:color w:val="auto"/>
              </w:rPr>
            </w:pPr>
          </w:p>
        </w:tc>
        <w:tc>
          <w:tcPr>
            <w:tcW w:w="4740" w:type="dxa"/>
            <w:vAlign w:val="bottom"/>
          </w:tcPr>
          <w:p>
            <w:pPr>
              <w:jc w:val="right"/>
              <w:ind w:right="3850"/>
              <w:spacing w:after="0"/>
              <w:rPr>
                <w:sz w:val="20"/>
                <w:szCs w:val="20"/>
                <w:color w:val="auto"/>
              </w:rPr>
            </w:pPr>
            <w:r>
              <w:rPr>
                <w:rFonts w:ascii="Arial" w:cs="Arial" w:eastAsia="Arial" w:hAnsi="Arial"/>
                <w:sz w:val="18"/>
                <w:szCs w:val="18"/>
                <w:color w:val="auto"/>
              </w:rPr>
              <w:t>8</w:t>
            </w:r>
          </w:p>
        </w:tc>
        <w:tc>
          <w:tcPr>
            <w:tcW w:w="1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r>
      <w:tr>
        <w:trPr>
          <w:trHeight w:val="105"/>
        </w:trPr>
        <w:tc>
          <w:tcPr>
            <w:tcW w:w="4960" w:type="dxa"/>
            <w:vAlign w:val="bottom"/>
            <w:tcBorders>
              <w:bottom w:val="single" w:sz="8" w:color="808080"/>
            </w:tcBorders>
            <w:gridSpan w:val="2"/>
          </w:tcPr>
          <w:p>
            <w:pPr>
              <w:spacing w:after="0"/>
              <w:rPr>
                <w:sz w:val="9"/>
                <w:szCs w:val="9"/>
                <w:color w:val="auto"/>
              </w:rPr>
            </w:pPr>
          </w:p>
        </w:tc>
        <w:tc>
          <w:tcPr>
            <w:tcW w:w="47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r>
      <w:tr>
        <w:trPr>
          <w:trHeight w:val="753"/>
        </w:trPr>
        <w:tc>
          <w:tcPr>
            <w:tcW w:w="4960" w:type="dxa"/>
            <w:vAlign w:val="bottom"/>
            <w:gridSpan w:val="2"/>
          </w:tcPr>
          <w:p>
            <w:pPr>
              <w:spacing w:after="0"/>
              <w:rPr>
                <w:sz w:val="20"/>
                <w:szCs w:val="20"/>
                <w:color w:val="auto"/>
              </w:rPr>
            </w:pPr>
            <w:r>
              <w:rPr>
                <w:rFonts w:ascii="Arial" w:cs="Arial" w:eastAsia="Arial" w:hAnsi="Arial"/>
                <w:sz w:val="18"/>
                <w:szCs w:val="18"/>
                <w:b w:val="1"/>
                <w:bCs w:val="1"/>
                <w:color w:val="auto"/>
              </w:rPr>
              <w:t>Note 5. Property and Equipment</w:t>
            </w:r>
          </w:p>
        </w:tc>
        <w:tc>
          <w:tcPr>
            <w:tcW w:w="4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r>
      <w:tr>
        <w:trPr>
          <w:trHeight w:val="432"/>
        </w:trPr>
        <w:tc>
          <w:tcPr>
            <w:tcW w:w="260" w:type="dxa"/>
            <w:vAlign w:val="bottom"/>
          </w:tcPr>
          <w:p>
            <w:pPr>
              <w:spacing w:after="0"/>
              <w:rPr>
                <w:sz w:val="24"/>
                <w:szCs w:val="24"/>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Components of property and equipment are as follows:</w:t>
            </w:r>
          </w:p>
        </w:tc>
        <w:tc>
          <w:tcPr>
            <w:tcW w:w="4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r>
      <w:tr>
        <w:trPr>
          <w:trHeight w:val="365"/>
        </w:trPr>
        <w:tc>
          <w:tcPr>
            <w:tcW w:w="260" w:type="dxa"/>
            <w:vAlign w:val="bottom"/>
          </w:tcPr>
          <w:p>
            <w:pPr>
              <w:spacing w:after="0"/>
              <w:rPr>
                <w:sz w:val="24"/>
                <w:szCs w:val="24"/>
                <w:color w:val="auto"/>
              </w:rPr>
            </w:pPr>
          </w:p>
        </w:tc>
        <w:tc>
          <w:tcPr>
            <w:tcW w:w="4700" w:type="dxa"/>
            <w:vAlign w:val="bottom"/>
          </w:tcPr>
          <w:p>
            <w:pPr>
              <w:spacing w:after="0"/>
              <w:rPr>
                <w:sz w:val="24"/>
                <w:szCs w:val="24"/>
                <w:color w:val="auto"/>
              </w:rPr>
            </w:pPr>
          </w:p>
        </w:tc>
        <w:tc>
          <w:tcPr>
            <w:tcW w:w="474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jc w:val="center"/>
              <w:ind w:right="55"/>
              <w:spacing w:after="0"/>
              <w:rPr>
                <w:sz w:val="20"/>
                <w:szCs w:val="20"/>
                <w:color w:val="auto"/>
              </w:rPr>
            </w:pPr>
            <w:r>
              <w:rPr>
                <w:rFonts w:ascii="Arial" w:cs="Arial" w:eastAsia="Arial" w:hAnsi="Arial"/>
                <w:sz w:val="14"/>
                <w:szCs w:val="14"/>
                <w:b w:val="1"/>
                <w:bCs w:val="1"/>
                <w:color w:val="auto"/>
                <w:w w:val="96"/>
              </w:rPr>
              <w:t>2005</w:t>
            </w: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r>
      <w:tr>
        <w:trPr>
          <w:trHeight w:val="142"/>
        </w:trPr>
        <w:tc>
          <w:tcPr>
            <w:tcW w:w="2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20" w:type="dxa"/>
            <w:vAlign w:val="bottom"/>
          </w:tcPr>
          <w:p>
            <w:pPr>
              <w:jc w:val="center"/>
              <w:ind w:right="55"/>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20" w:type="dxa"/>
            <w:vAlign w:val="bottom"/>
          </w:tcPr>
          <w:p>
            <w:pPr>
              <w:spacing w:after="0"/>
              <w:rPr>
                <w:sz w:val="12"/>
                <w:szCs w:val="12"/>
                <w:color w:val="auto"/>
              </w:rPr>
            </w:pPr>
          </w:p>
        </w:tc>
        <w:tc>
          <w:tcPr>
            <w:tcW w:w="340" w:type="dxa"/>
            <w:vAlign w:val="bottom"/>
          </w:tcPr>
          <w:p>
            <w:pPr>
              <w:spacing w:after="0"/>
              <w:rPr>
                <w:sz w:val="12"/>
                <w:szCs w:val="12"/>
                <w:color w:val="auto"/>
              </w:rPr>
            </w:pPr>
          </w:p>
        </w:tc>
      </w:tr>
      <w:tr>
        <w:trPr>
          <w:trHeight w:val="216"/>
        </w:trPr>
        <w:tc>
          <w:tcPr>
            <w:tcW w:w="26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4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3,741</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Semiconductor tooling</w:t>
            </w:r>
          </w:p>
        </w:tc>
        <w:tc>
          <w:tcPr>
            <w:tcW w:w="4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ind w:left="720"/>
              <w:spacing w:after="0"/>
              <w:rPr>
                <w:sz w:val="20"/>
                <w:szCs w:val="20"/>
                <w:color w:val="auto"/>
              </w:rPr>
            </w:pPr>
            <w:r>
              <w:rPr>
                <w:rFonts w:ascii="Arial" w:cs="Arial" w:eastAsia="Arial" w:hAnsi="Arial"/>
                <w:sz w:val="18"/>
                <w:szCs w:val="18"/>
                <w:color w:val="auto"/>
              </w:rPr>
              <w:t>3,482</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4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1,542</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4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ind w:left="860"/>
              <w:spacing w:after="0"/>
              <w:rPr>
                <w:sz w:val="20"/>
                <w:szCs w:val="20"/>
                <w:color w:val="auto"/>
              </w:rPr>
            </w:pPr>
            <w:r>
              <w:rPr>
                <w:rFonts w:ascii="Arial" w:cs="Arial" w:eastAsia="Arial" w:hAnsi="Arial"/>
                <w:sz w:val="18"/>
                <w:szCs w:val="18"/>
                <w:color w:val="auto"/>
              </w:rPr>
              <w:t>248</w:t>
            </w:r>
          </w:p>
        </w:tc>
        <w:tc>
          <w:tcPr>
            <w:tcW w:w="340" w:type="dxa"/>
            <w:vAlign w:val="bottom"/>
          </w:tcPr>
          <w:p>
            <w:pPr>
              <w:spacing w:after="0"/>
              <w:rPr>
                <w:sz w:val="18"/>
                <w:szCs w:val="18"/>
                <w:color w:val="auto"/>
              </w:rPr>
            </w:pPr>
          </w:p>
        </w:tc>
      </w:tr>
      <w:tr>
        <w:trPr>
          <w:trHeight w:val="210"/>
        </w:trPr>
        <w:tc>
          <w:tcPr>
            <w:tcW w:w="260" w:type="dxa"/>
            <w:vAlign w:val="bottom"/>
          </w:tcPr>
          <w:p>
            <w:pPr>
              <w:spacing w:after="0"/>
              <w:rPr>
                <w:sz w:val="18"/>
                <w:szCs w:val="18"/>
                <w:color w:val="auto"/>
              </w:rPr>
            </w:pPr>
          </w:p>
        </w:tc>
        <w:tc>
          <w:tcPr>
            <w:tcW w:w="4700" w:type="dxa"/>
            <w:vAlign w:val="bottom"/>
            <w:tcBorders>
              <w:top w:val="single" w:sz="8" w:color="CCEEFF"/>
            </w:tcBorders>
            <w:shd w:val="clear" w:color="auto" w:fill="CCEEFF"/>
          </w:tcPr>
          <w:p>
            <w:pPr>
              <w:spacing w:after="0"/>
              <w:rPr>
                <w:sz w:val="18"/>
                <w:szCs w:val="18"/>
                <w:color w:val="auto"/>
              </w:rPr>
            </w:pPr>
          </w:p>
        </w:tc>
        <w:tc>
          <w:tcPr>
            <w:tcW w:w="47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w w:val="84"/>
              </w:rPr>
              <w:t>9,013</w:t>
            </w:r>
          </w:p>
        </w:tc>
        <w:tc>
          <w:tcPr>
            <w:tcW w:w="120" w:type="dxa"/>
            <w:vAlign w:val="bottom"/>
            <w:tcBorders>
              <w:top w:val="single" w:sz="8" w:color="CCEEFF"/>
            </w:tcBorders>
            <w:shd w:val="clear" w:color="auto" w:fill="CCEEFF"/>
          </w:tcPr>
          <w:p>
            <w:pPr>
              <w:spacing w:after="0"/>
              <w:rPr>
                <w:sz w:val="18"/>
                <w:szCs w:val="18"/>
                <w:color w:val="auto"/>
              </w:rPr>
            </w:pP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4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ind w:left="720"/>
              <w:spacing w:after="0"/>
              <w:rPr>
                <w:sz w:val="20"/>
                <w:szCs w:val="20"/>
                <w:color w:val="auto"/>
              </w:rPr>
            </w:pPr>
            <w:r>
              <w:rPr>
                <w:rFonts w:ascii="Arial" w:cs="Arial" w:eastAsia="Arial" w:hAnsi="Arial"/>
                <w:sz w:val="18"/>
                <w:szCs w:val="18"/>
                <w:color w:val="auto"/>
              </w:rPr>
              <w:t>2,992</w:t>
            </w:r>
          </w:p>
        </w:tc>
        <w:tc>
          <w:tcPr>
            <w:tcW w:w="340" w:type="dxa"/>
            <w:vAlign w:val="bottom"/>
          </w:tcPr>
          <w:p>
            <w:pPr>
              <w:spacing w:after="0"/>
              <w:rPr>
                <w:sz w:val="18"/>
                <w:szCs w:val="18"/>
                <w:color w:val="auto"/>
              </w:rPr>
            </w:pPr>
          </w:p>
        </w:tc>
      </w:tr>
      <w:tr>
        <w:trPr>
          <w:trHeight w:val="217"/>
        </w:trPr>
        <w:tc>
          <w:tcPr>
            <w:tcW w:w="260" w:type="dxa"/>
            <w:vAlign w:val="bottom"/>
          </w:tcPr>
          <w:p>
            <w:pPr>
              <w:spacing w:after="0"/>
              <w:rPr>
                <w:sz w:val="18"/>
                <w:szCs w:val="18"/>
                <w:color w:val="auto"/>
              </w:rPr>
            </w:pPr>
          </w:p>
        </w:tc>
        <w:tc>
          <w:tcPr>
            <w:tcW w:w="4700" w:type="dxa"/>
            <w:vAlign w:val="bottom"/>
            <w:tcBorders>
              <w:top w:val="single" w:sz="8" w:color="CCEEFF"/>
              <w:bottom w:val="single" w:sz="8" w:color="CCEEFF"/>
            </w:tcBorders>
            <w:shd w:val="clear" w:color="auto" w:fill="CCEEFF"/>
          </w:tcPr>
          <w:p>
            <w:pPr>
              <w:spacing w:after="0"/>
              <w:rPr>
                <w:sz w:val="18"/>
                <w:szCs w:val="18"/>
                <w:color w:val="auto"/>
              </w:rPr>
            </w:pPr>
          </w:p>
        </w:tc>
        <w:tc>
          <w:tcPr>
            <w:tcW w:w="47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w w:val="84"/>
              </w:rPr>
              <w:t>6,021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34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-2096135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-2096135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Goodwill</w:t>
      </w:r>
    </w:p>
    <w:p>
      <w:pPr>
        <w:spacing w:after="0" w:line="229"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Goodwill included in the accompanying statement of net assets to be sold represents the portion of the QLogic corporate goodwill that was allocated to the Business based on relative fair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Product Revenues, Geographic Revenues and Significant Customers</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Product Revenues</w:t>
      </w:r>
    </w:p>
    <w:p>
      <w:pPr>
        <w:spacing w:after="0" w:line="225" w:lineRule="exact"/>
        <w:rPr>
          <w:sz w:val="20"/>
          <w:szCs w:val="20"/>
          <w:color w:val="auto"/>
        </w:rPr>
      </w:pPr>
    </w:p>
    <w:p>
      <w:pPr>
        <w:ind w:right="400" w:firstLine="259"/>
        <w:spacing w:after="0" w:line="308" w:lineRule="auto"/>
        <w:rPr>
          <w:sz w:val="20"/>
          <w:szCs w:val="20"/>
          <w:color w:val="auto"/>
        </w:rPr>
      </w:pPr>
      <w:r>
        <w:rPr>
          <w:rFonts w:ascii="Arial" w:cs="Arial" w:eastAsia="Arial" w:hAnsi="Arial"/>
          <w:sz w:val="17"/>
          <w:szCs w:val="17"/>
          <w:color w:val="auto"/>
        </w:rPr>
        <w:t>The Business designs and supplies controller chips for hard disk drives and tape drives. These products generally utilize the Small Computer Systems Interface (SCSI) or Fibre Channel technology standards. A summary of the components of the Business’ net revenues is as follows:</w:t>
      </w:r>
    </w:p>
    <w:p>
      <w:pPr>
        <w:spacing w:after="0" w:line="138"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94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397"/>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4"/>
                <w:szCs w:val="14"/>
                <w:color w:val="auto"/>
              </w:rPr>
            </w:pPr>
          </w:p>
        </w:tc>
      </w:tr>
      <w:tr>
        <w:trPr>
          <w:trHeight w:val="142"/>
        </w:trPr>
        <w:tc>
          <w:tcPr>
            <w:tcW w:w="9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20" w:type="dxa"/>
            <w:vAlign w:val="bottom"/>
          </w:tcPr>
          <w:p>
            <w:pPr>
              <w:jc w:val="right"/>
              <w:ind w:right="97"/>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120" w:type="dxa"/>
            <w:vAlign w:val="bottom"/>
          </w:tcPr>
          <w:p>
            <w:pPr>
              <w:spacing w:after="0"/>
              <w:rPr>
                <w:sz w:val="12"/>
                <w:szCs w:val="12"/>
                <w:color w:val="auto"/>
              </w:rPr>
            </w:pPr>
          </w:p>
        </w:tc>
      </w:tr>
      <w:tr>
        <w:trPr>
          <w:trHeight w:val="216"/>
        </w:trPr>
        <w:tc>
          <w:tcPr>
            <w:tcW w:w="9440" w:type="dxa"/>
            <w:vAlign w:val="bottom"/>
            <w:shd w:val="clear" w:color="auto" w:fill="CCEEFF"/>
          </w:tcPr>
          <w:p>
            <w:pPr>
              <w:spacing w:after="0"/>
              <w:rPr>
                <w:sz w:val="20"/>
                <w:szCs w:val="20"/>
                <w:color w:val="auto"/>
              </w:rPr>
            </w:pPr>
            <w:r>
              <w:rPr>
                <w:rFonts w:ascii="Arial" w:cs="Arial" w:eastAsia="Arial" w:hAnsi="Arial"/>
                <w:sz w:val="18"/>
                <w:szCs w:val="18"/>
                <w:color w:val="auto"/>
              </w:rPr>
              <w:t>SCSI products</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84,830</w:t>
            </w:r>
          </w:p>
        </w:tc>
      </w:tr>
      <w:tr>
        <w:trPr>
          <w:trHeight w:val="216"/>
        </w:trPr>
        <w:tc>
          <w:tcPr>
            <w:tcW w:w="9440" w:type="dxa"/>
            <w:vAlign w:val="bottom"/>
          </w:tcPr>
          <w:p>
            <w:pPr>
              <w:spacing w:after="0"/>
              <w:rPr>
                <w:sz w:val="20"/>
                <w:szCs w:val="20"/>
                <w:color w:val="auto"/>
              </w:rPr>
            </w:pPr>
            <w:r>
              <w:rPr>
                <w:rFonts w:ascii="Arial" w:cs="Arial" w:eastAsia="Arial" w:hAnsi="Arial"/>
                <w:sz w:val="18"/>
                <w:szCs w:val="18"/>
                <w:color w:val="auto"/>
              </w:rPr>
              <w:t>Fibre Channel products</w:t>
            </w:r>
          </w:p>
        </w:tc>
        <w:tc>
          <w:tcPr>
            <w:tcW w:w="16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58,355</w:t>
            </w:r>
          </w:p>
        </w:tc>
      </w:tr>
      <w:tr>
        <w:trPr>
          <w:trHeight w:val="217"/>
        </w:trPr>
        <w:tc>
          <w:tcPr>
            <w:tcW w:w="94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143,185</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Geographic Revenues</w:t>
      </w:r>
    </w:p>
    <w:p>
      <w:pPr>
        <w:spacing w:after="0" w:line="225" w:lineRule="exact"/>
        <w:rPr>
          <w:sz w:val="20"/>
          <w:szCs w:val="20"/>
          <w:color w:val="auto"/>
        </w:rPr>
      </w:pPr>
    </w:p>
    <w:p>
      <w:pPr>
        <w:jc w:val="both"/>
        <w:ind w:right="460" w:firstLine="259"/>
        <w:spacing w:after="0" w:line="277" w:lineRule="auto"/>
        <w:rPr>
          <w:sz w:val="20"/>
          <w:szCs w:val="20"/>
          <w:color w:val="auto"/>
        </w:rPr>
      </w:pPr>
      <w:r>
        <w:rPr>
          <w:rFonts w:ascii="Arial" w:cs="Arial" w:eastAsia="Arial" w:hAnsi="Arial"/>
          <w:sz w:val="18"/>
          <w:szCs w:val="18"/>
          <w:color w:val="auto"/>
        </w:rPr>
        <w:t>Revenues by geographic area are presented based upon the country of destination. No other country represented 10% or more of net revenues for the period presented. Net revenues by geographic area are as follows: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62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395"/>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4"/>
                <w:szCs w:val="14"/>
                <w:color w:val="auto"/>
              </w:rPr>
            </w:pPr>
          </w:p>
        </w:tc>
        <w:tc>
          <w:tcPr>
            <w:tcW w:w="340" w:type="dxa"/>
            <w:vAlign w:val="bottom"/>
          </w:tcPr>
          <w:p>
            <w:pPr>
              <w:spacing w:after="0"/>
              <w:rPr>
                <w:sz w:val="14"/>
                <w:szCs w:val="14"/>
                <w:color w:val="auto"/>
              </w:rPr>
            </w:pPr>
          </w:p>
        </w:tc>
      </w:tr>
      <w:tr>
        <w:trPr>
          <w:trHeight w:val="142"/>
        </w:trPr>
        <w:tc>
          <w:tcPr>
            <w:tcW w:w="260" w:type="dxa"/>
            <w:vAlign w:val="bottom"/>
          </w:tcPr>
          <w:p>
            <w:pPr>
              <w:spacing w:after="0"/>
              <w:rPr>
                <w:sz w:val="12"/>
                <w:szCs w:val="12"/>
                <w:color w:val="auto"/>
              </w:rPr>
            </w:pPr>
          </w:p>
        </w:tc>
        <w:tc>
          <w:tcPr>
            <w:tcW w:w="3200" w:type="dxa"/>
            <w:vAlign w:val="bottom"/>
          </w:tcPr>
          <w:p>
            <w:pPr>
              <w:spacing w:after="0"/>
              <w:rPr>
                <w:sz w:val="12"/>
                <w:szCs w:val="12"/>
                <w:color w:val="auto"/>
              </w:rPr>
            </w:pPr>
          </w:p>
        </w:tc>
        <w:tc>
          <w:tcPr>
            <w:tcW w:w="6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20" w:type="dxa"/>
            <w:vAlign w:val="bottom"/>
          </w:tcPr>
          <w:p>
            <w:pPr>
              <w:jc w:val="right"/>
              <w:ind w:right="95"/>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120" w:type="dxa"/>
            <w:vAlign w:val="bottom"/>
          </w:tcPr>
          <w:p>
            <w:pPr>
              <w:spacing w:after="0"/>
              <w:rPr>
                <w:sz w:val="12"/>
                <w:szCs w:val="12"/>
                <w:color w:val="auto"/>
              </w:rPr>
            </w:pPr>
          </w:p>
        </w:tc>
        <w:tc>
          <w:tcPr>
            <w:tcW w:w="340" w:type="dxa"/>
            <w:vAlign w:val="bottom"/>
          </w:tcPr>
          <w:p>
            <w:pPr>
              <w:spacing w:after="0"/>
              <w:rPr>
                <w:sz w:val="12"/>
                <w:szCs w:val="12"/>
                <w:color w:val="auto"/>
              </w:rPr>
            </w:pPr>
          </w:p>
        </w:tc>
      </w:tr>
      <w:tr>
        <w:trPr>
          <w:trHeight w:val="216"/>
        </w:trPr>
        <w:tc>
          <w:tcPr>
            <w:tcW w:w="260" w:type="dxa"/>
            <w:vAlign w:val="bottom"/>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Japan</w:t>
            </w:r>
          </w:p>
        </w:tc>
        <w:tc>
          <w:tcPr>
            <w:tcW w:w="6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76,993</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Vietnam</w:t>
            </w:r>
          </w:p>
        </w:tc>
        <w:tc>
          <w:tcPr>
            <w:tcW w:w="6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22,069</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Philippines</w:t>
            </w:r>
          </w:p>
        </w:tc>
        <w:tc>
          <w:tcPr>
            <w:tcW w:w="6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21,530</w:t>
            </w:r>
          </w:p>
        </w:tc>
        <w:tc>
          <w:tcPr>
            <w:tcW w:w="34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Rest of world</w:t>
            </w:r>
          </w:p>
        </w:tc>
        <w:tc>
          <w:tcPr>
            <w:tcW w:w="6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22,593</w:t>
            </w:r>
          </w:p>
        </w:tc>
        <w:tc>
          <w:tcPr>
            <w:tcW w:w="340" w:type="dxa"/>
            <w:vAlign w:val="bottom"/>
          </w:tcPr>
          <w:p>
            <w:pPr>
              <w:spacing w:after="0"/>
              <w:rPr>
                <w:sz w:val="18"/>
                <w:szCs w:val="18"/>
                <w:color w:val="auto"/>
              </w:rPr>
            </w:pPr>
          </w:p>
        </w:tc>
      </w:tr>
      <w:tr>
        <w:trPr>
          <w:trHeight w:val="230"/>
        </w:trPr>
        <w:tc>
          <w:tcPr>
            <w:tcW w:w="260" w:type="dxa"/>
            <w:vAlign w:val="bottom"/>
          </w:tcPr>
          <w:p>
            <w:pPr>
              <w:spacing w:after="0"/>
              <w:rPr>
                <w:sz w:val="19"/>
                <w:szCs w:val="19"/>
                <w:color w:val="auto"/>
              </w:rPr>
            </w:pPr>
          </w:p>
        </w:tc>
        <w:tc>
          <w:tcPr>
            <w:tcW w:w="3200" w:type="dxa"/>
            <w:vAlign w:val="bottom"/>
            <w:tcBorders>
              <w:top w:val="single" w:sz="8" w:color="CCEEFF"/>
              <w:bottom w:val="single" w:sz="8" w:color="CCEEFF"/>
            </w:tcBorders>
            <w:shd w:val="clear" w:color="auto" w:fill="CCEEFF"/>
          </w:tcPr>
          <w:p>
            <w:pPr>
              <w:spacing w:after="0"/>
              <w:rPr>
                <w:sz w:val="19"/>
                <w:szCs w:val="19"/>
                <w:color w:val="auto"/>
              </w:rPr>
            </w:pPr>
          </w:p>
        </w:tc>
        <w:tc>
          <w:tcPr>
            <w:tcW w:w="62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143,185</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40" w:type="dxa"/>
            <w:vAlign w:val="bottom"/>
          </w:tcPr>
          <w:p>
            <w:pPr>
              <w:spacing w:after="0"/>
              <w:rPr>
                <w:sz w:val="19"/>
                <w:szCs w:val="19"/>
                <w:color w:val="auto"/>
              </w:rPr>
            </w:pPr>
          </w:p>
        </w:tc>
      </w:tr>
      <w:tr>
        <w:trPr>
          <w:trHeight w:val="419"/>
        </w:trPr>
        <w:tc>
          <w:tcPr>
            <w:tcW w:w="2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6240" w:type="dxa"/>
            <w:vAlign w:val="bottom"/>
          </w:tcPr>
          <w:p>
            <w:pPr>
              <w:jc w:val="right"/>
              <w:ind w:right="3850"/>
              <w:spacing w:after="0"/>
              <w:rPr>
                <w:sz w:val="20"/>
                <w:szCs w:val="20"/>
                <w:color w:val="auto"/>
              </w:rPr>
            </w:pPr>
            <w:r>
              <w:rPr>
                <w:rFonts w:ascii="Arial" w:cs="Arial" w:eastAsia="Arial" w:hAnsi="Arial"/>
                <w:sz w:val="18"/>
                <w:szCs w:val="18"/>
                <w:color w:val="auto"/>
              </w:rPr>
              <w:t>9</w:t>
            </w:r>
          </w:p>
        </w:tc>
        <w:tc>
          <w:tcPr>
            <w:tcW w:w="1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r>
      <w:tr>
        <w:trPr>
          <w:trHeight w:val="105"/>
        </w:trPr>
        <w:tc>
          <w:tcPr>
            <w:tcW w:w="260" w:type="dxa"/>
            <w:vAlign w:val="bottom"/>
            <w:tcBorders>
              <w:bottom w:val="single" w:sz="8" w:color="808080"/>
            </w:tcBorders>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62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6"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Significant Customers</w:t>
      </w:r>
    </w:p>
    <w:p>
      <w:pPr>
        <w:sectPr>
          <w:pgSz w:w="11900" w:h="16838" w:orient="portrait"/>
          <w:cols w:equalWidth="0" w:num="1">
            <w:col w:w="11440"/>
          </w:cols>
          <w:pgMar w:left="240" w:top="341" w:right="219" w:bottom="5" w:gutter="0" w:footer="0" w:header="0"/>
        </w:sectPr>
      </w:pPr>
    </w:p>
    <w:bookmarkStart w:id="5" w:name="page6"/>
    <w:bookmarkEnd w:id="5"/>
    <w:p>
      <w:pPr>
        <w:spacing w:after="0" w:line="62"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 summary of the Business’ customers, including their manufacturing subcontractors, that represent 10% or more of net revenues is as follows:</w:t>
      </w:r>
    </w:p>
    <w:p>
      <w:pPr>
        <w:spacing w:after="0" w:line="228"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8880" w:type="dxa"/>
            <w:vAlign w:val="bottom"/>
            <w:tcBorders>
              <w:bottom w:val="single" w:sz="8" w:color="CCEEFF"/>
            </w:tcBorders>
          </w:tcPr>
          <w:p>
            <w:pPr>
              <w:spacing w:after="0"/>
              <w:rPr>
                <w:sz w:val="14"/>
                <w:szCs w:val="14"/>
                <w:color w:val="auto"/>
              </w:rPr>
            </w:pPr>
          </w:p>
        </w:tc>
        <w:tc>
          <w:tcPr>
            <w:tcW w:w="1220" w:type="dxa"/>
            <w:vAlign w:val="bottom"/>
            <w:tcBorders>
              <w:bottom w:val="single" w:sz="8" w:color="auto"/>
            </w:tcBorders>
          </w:tcPr>
          <w:p>
            <w:pPr>
              <w:jc w:val="right"/>
              <w:ind w:right="376"/>
              <w:spacing w:after="0"/>
              <w:rPr>
                <w:sz w:val="20"/>
                <w:szCs w:val="20"/>
                <w:color w:val="auto"/>
              </w:rPr>
            </w:pPr>
            <w:r>
              <w:rPr>
                <w:rFonts w:ascii="Arial" w:cs="Arial" w:eastAsia="Arial" w:hAnsi="Arial"/>
                <w:sz w:val="14"/>
                <w:szCs w:val="14"/>
                <w:b w:val="1"/>
                <w:bCs w:val="1"/>
                <w:color w:val="auto"/>
              </w:rPr>
              <w:t>2005</w:t>
            </w:r>
          </w:p>
        </w:tc>
        <w:tc>
          <w:tcPr>
            <w:tcW w:w="160" w:type="dxa"/>
            <w:vAlign w:val="bottom"/>
            <w:tcBorders>
              <w:bottom w:val="single" w:sz="8" w:color="CCEEFF"/>
            </w:tcBorders>
          </w:tcPr>
          <w:p>
            <w:pPr>
              <w:spacing w:after="0"/>
              <w:rPr>
                <w:sz w:val="14"/>
                <w:szCs w:val="14"/>
                <w:color w:val="auto"/>
              </w:rPr>
            </w:pPr>
          </w:p>
        </w:tc>
      </w:tr>
      <w:tr>
        <w:trPr>
          <w:trHeight w:val="210"/>
        </w:trPr>
        <w:tc>
          <w:tcPr>
            <w:tcW w:w="8880" w:type="dxa"/>
            <w:vAlign w:val="bottom"/>
            <w:shd w:val="clear" w:color="auto" w:fill="CCEEFF"/>
          </w:tcPr>
          <w:p>
            <w:pPr>
              <w:spacing w:after="0"/>
              <w:rPr>
                <w:sz w:val="20"/>
                <w:szCs w:val="20"/>
                <w:color w:val="auto"/>
              </w:rPr>
            </w:pPr>
            <w:r>
              <w:rPr>
                <w:rFonts w:ascii="Arial" w:cs="Arial" w:eastAsia="Arial" w:hAnsi="Arial"/>
                <w:sz w:val="18"/>
                <w:szCs w:val="18"/>
                <w:color w:val="auto"/>
              </w:rPr>
              <w:t>Fujitsu</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62%</w:t>
            </w:r>
          </w:p>
        </w:tc>
      </w:tr>
      <w:tr>
        <w:trPr>
          <w:trHeight w:val="230"/>
        </w:trPr>
        <w:tc>
          <w:tcPr>
            <w:tcW w:w="8880" w:type="dxa"/>
            <w:vAlign w:val="bottom"/>
          </w:tcPr>
          <w:p>
            <w:pPr>
              <w:spacing w:after="0"/>
              <w:rPr>
                <w:sz w:val="20"/>
                <w:szCs w:val="20"/>
                <w:color w:val="auto"/>
              </w:rPr>
            </w:pPr>
            <w:r>
              <w:rPr>
                <w:rFonts w:ascii="Arial" w:cs="Arial" w:eastAsia="Arial" w:hAnsi="Arial"/>
                <w:sz w:val="18"/>
                <w:szCs w:val="18"/>
                <w:color w:val="auto"/>
              </w:rPr>
              <w:t>Hitachi</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28%</w:t>
            </w:r>
          </w:p>
        </w:tc>
      </w:tr>
    </w:tbl>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Corporate Overhead Costs</w:t>
      </w:r>
    </w:p>
    <w:p>
      <w:pPr>
        <w:spacing w:after="0" w:line="229" w:lineRule="exact"/>
        <w:rPr>
          <w:sz w:val="20"/>
          <w:szCs w:val="20"/>
          <w:color w:val="auto"/>
        </w:rPr>
      </w:pPr>
    </w:p>
    <w:p>
      <w:pPr>
        <w:jc w:val="both"/>
        <w:ind w:right="200" w:firstLine="259"/>
        <w:spacing w:after="0" w:line="312" w:lineRule="auto"/>
        <w:rPr>
          <w:sz w:val="20"/>
          <w:szCs w:val="20"/>
          <w:color w:val="auto"/>
        </w:rPr>
      </w:pPr>
      <w:r>
        <w:rPr>
          <w:rFonts w:ascii="Arial" w:cs="Arial" w:eastAsia="Arial" w:hAnsi="Arial"/>
          <w:sz w:val="16"/>
          <w:szCs w:val="16"/>
          <w:color w:val="auto"/>
        </w:rPr>
        <w:t>Corporate overhead costs relating to functions such as executive, finance, accounting, human resources, legal and information technology have not been allocated to the Business because these costs are not separately identified in the accounting records for the Business. In addition, management believes that these costs would not be representative of the costs that would have been or will be incurred by the Business operating independently from QLogic.</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Employee Retirement Savings Plan</w:t>
      </w:r>
    </w:p>
    <w:p>
      <w:pPr>
        <w:spacing w:after="0" w:line="229" w:lineRule="exact"/>
        <w:rPr>
          <w:sz w:val="20"/>
          <w:szCs w:val="20"/>
          <w:color w:val="auto"/>
        </w:rPr>
      </w:pPr>
    </w:p>
    <w:p>
      <w:pPr>
        <w:ind w:right="740" w:firstLine="259"/>
        <w:spacing w:after="0" w:line="312" w:lineRule="auto"/>
        <w:rPr>
          <w:sz w:val="20"/>
          <w:szCs w:val="20"/>
          <w:color w:val="auto"/>
        </w:rPr>
      </w:pPr>
      <w:r>
        <w:rPr>
          <w:rFonts w:ascii="Arial" w:cs="Arial" w:eastAsia="Arial" w:hAnsi="Arial"/>
          <w:sz w:val="16"/>
          <w:szCs w:val="16"/>
          <w:color w:val="auto"/>
        </w:rPr>
        <w:t>QLogic has established a pretax savings and profit sharing plan under Section 401(k) of the Internal Revenue Code for substantially all domestic employees. Under the plan, eligible employees are able to contribute up to 15% of their compensation. QLogic contributions match up to 3% of a participant’s compensation. QLogic’s direct contributions on behalf of employees included in the accompanying financial statements are $240,000.</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29"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Leases</w:t>
      </w:r>
    </w:p>
    <w:p>
      <w:pPr>
        <w:spacing w:after="0" w:line="225" w:lineRule="exact"/>
        <w:rPr>
          <w:sz w:val="20"/>
          <w:szCs w:val="20"/>
          <w:color w:val="auto"/>
        </w:rPr>
      </w:pPr>
    </w:p>
    <w:p>
      <w:pPr>
        <w:ind w:right="380" w:firstLine="259"/>
        <w:spacing w:after="0" w:line="277" w:lineRule="auto"/>
        <w:rPr>
          <w:sz w:val="20"/>
          <w:szCs w:val="20"/>
          <w:color w:val="auto"/>
        </w:rPr>
      </w:pPr>
      <w:r>
        <w:rPr>
          <w:rFonts w:ascii="Arial" w:cs="Arial" w:eastAsia="Arial" w:hAnsi="Arial"/>
          <w:sz w:val="18"/>
          <w:szCs w:val="18"/>
          <w:color w:val="auto"/>
        </w:rPr>
        <w:t>The Business leases its facility under an operating lease agreement which was entered into in October 2004. A summary of the future minimum lease commitments under this non-cancelable operating lease is as follows:</w:t>
      </w:r>
    </w:p>
    <w:p>
      <w:pPr>
        <w:spacing w:after="0" w:line="162"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926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180" w:type="dxa"/>
            <w:vAlign w:val="bottom"/>
          </w:tcPr>
          <w:p>
            <w:pPr>
              <w:spacing w:after="0"/>
              <w:rPr>
                <w:sz w:val="14"/>
                <w:szCs w:val="14"/>
                <w:color w:val="auto"/>
              </w:rPr>
            </w:pPr>
          </w:p>
        </w:tc>
        <w:tc>
          <w:tcPr>
            <w:tcW w:w="1400" w:type="dxa"/>
            <w:vAlign w:val="bottom"/>
            <w:gridSpan w:val="3"/>
          </w:tcPr>
          <w:p>
            <w:pPr>
              <w:ind w:left="10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90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2006</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280" w:type="dxa"/>
            <w:vAlign w:val="bottom"/>
            <w:tcBorders>
              <w:top w:val="single" w:sz="8" w:color="auto"/>
            </w:tcBorders>
            <w:shd w:val="clear" w:color="auto" w:fill="CCEEFF"/>
          </w:tcPr>
          <w:p>
            <w:pPr>
              <w:ind w:left="1020"/>
              <w:spacing w:after="0"/>
              <w:rPr>
                <w:sz w:val="20"/>
                <w:szCs w:val="20"/>
                <w:color w:val="auto"/>
              </w:rPr>
            </w:pPr>
            <w:r>
              <w:rPr>
                <w:rFonts w:ascii="Arial" w:cs="Arial" w:eastAsia="Arial" w:hAnsi="Arial"/>
                <w:sz w:val="18"/>
                <w:szCs w:val="18"/>
                <w:color w:val="auto"/>
                <w:w w:val="79"/>
              </w:rPr>
              <w:t>756</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9000" w:type="dxa"/>
            <w:vAlign w:val="bottom"/>
          </w:tcPr>
          <w:p>
            <w:pPr>
              <w:spacing w:after="0"/>
              <w:rPr>
                <w:sz w:val="20"/>
                <w:szCs w:val="20"/>
                <w:color w:val="auto"/>
              </w:rPr>
            </w:pPr>
            <w:r>
              <w:rPr>
                <w:rFonts w:ascii="Arial" w:cs="Arial" w:eastAsia="Arial" w:hAnsi="Arial"/>
                <w:sz w:val="18"/>
                <w:szCs w:val="18"/>
                <w:color w:val="auto"/>
              </w:rPr>
              <w:t>2007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ind w:left="1020"/>
              <w:spacing w:after="0"/>
              <w:rPr>
                <w:sz w:val="20"/>
                <w:szCs w:val="20"/>
                <w:color w:val="auto"/>
              </w:rPr>
            </w:pPr>
            <w:r>
              <w:rPr>
                <w:rFonts w:ascii="Arial" w:cs="Arial" w:eastAsia="Arial" w:hAnsi="Arial"/>
                <w:sz w:val="18"/>
                <w:szCs w:val="18"/>
                <w:color w:val="auto"/>
                <w:w w:val="86"/>
              </w:rPr>
              <w:t>774</w:t>
            </w:r>
          </w:p>
        </w:tc>
        <w:tc>
          <w:tcPr>
            <w:tcW w:w="100" w:type="dxa"/>
            <w:vAlign w:val="bottom"/>
          </w:tcPr>
          <w:p>
            <w:pPr>
              <w:spacing w:after="0"/>
              <w:rPr>
                <w:sz w:val="18"/>
                <w:szCs w:val="18"/>
                <w:color w:val="auto"/>
              </w:rPr>
            </w:pPr>
          </w:p>
        </w:tc>
      </w:tr>
      <w:tr>
        <w:trPr>
          <w:trHeight w:val="216"/>
        </w:trPr>
        <w:tc>
          <w:tcPr>
            <w:tcW w:w="9000" w:type="dxa"/>
            <w:vAlign w:val="bottom"/>
            <w:shd w:val="clear" w:color="auto" w:fill="CCEEFF"/>
          </w:tcPr>
          <w:p>
            <w:pPr>
              <w:spacing w:after="0"/>
              <w:rPr>
                <w:sz w:val="20"/>
                <w:szCs w:val="20"/>
                <w:color w:val="auto"/>
              </w:rPr>
            </w:pPr>
            <w:r>
              <w:rPr>
                <w:rFonts w:ascii="Arial" w:cs="Arial" w:eastAsia="Arial" w:hAnsi="Arial"/>
                <w:sz w:val="18"/>
                <w:szCs w:val="18"/>
                <w:color w:val="auto"/>
              </w:rPr>
              <w:t>2008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1020"/>
              <w:spacing w:after="0"/>
              <w:rPr>
                <w:sz w:val="20"/>
                <w:szCs w:val="20"/>
                <w:color w:val="auto"/>
              </w:rPr>
            </w:pPr>
            <w:r>
              <w:rPr>
                <w:rFonts w:ascii="Arial" w:cs="Arial" w:eastAsia="Arial" w:hAnsi="Arial"/>
                <w:sz w:val="18"/>
                <w:szCs w:val="18"/>
                <w:color w:val="auto"/>
                <w:w w:val="86"/>
              </w:rPr>
              <w:t>791</w:t>
            </w:r>
          </w:p>
        </w:tc>
        <w:tc>
          <w:tcPr>
            <w:tcW w:w="100" w:type="dxa"/>
            <w:vAlign w:val="bottom"/>
            <w:shd w:val="clear" w:color="auto" w:fill="CCEEFF"/>
          </w:tcPr>
          <w:p>
            <w:pPr>
              <w:spacing w:after="0"/>
              <w:rPr>
                <w:sz w:val="18"/>
                <w:szCs w:val="18"/>
                <w:color w:val="auto"/>
              </w:rPr>
            </w:pPr>
          </w:p>
        </w:tc>
      </w:tr>
      <w:tr>
        <w:trPr>
          <w:trHeight w:val="216"/>
        </w:trPr>
        <w:tc>
          <w:tcPr>
            <w:tcW w:w="9000" w:type="dxa"/>
            <w:vAlign w:val="bottom"/>
          </w:tcPr>
          <w:p>
            <w:pPr>
              <w:spacing w:after="0"/>
              <w:rPr>
                <w:sz w:val="20"/>
                <w:szCs w:val="20"/>
                <w:color w:val="auto"/>
              </w:rPr>
            </w:pPr>
            <w:r>
              <w:rPr>
                <w:rFonts w:ascii="Arial" w:cs="Arial" w:eastAsia="Arial" w:hAnsi="Arial"/>
                <w:sz w:val="18"/>
                <w:szCs w:val="18"/>
                <w:color w:val="auto"/>
              </w:rPr>
              <w:t>2009</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ind w:left="1020"/>
              <w:spacing w:after="0"/>
              <w:rPr>
                <w:sz w:val="20"/>
                <w:szCs w:val="20"/>
                <w:color w:val="auto"/>
              </w:rPr>
            </w:pPr>
            <w:r>
              <w:rPr>
                <w:rFonts w:ascii="Arial" w:cs="Arial" w:eastAsia="Arial" w:hAnsi="Arial"/>
                <w:sz w:val="18"/>
                <w:szCs w:val="18"/>
                <w:color w:val="auto"/>
                <w:w w:val="86"/>
              </w:rPr>
              <w:t>809</w:t>
            </w:r>
          </w:p>
        </w:tc>
        <w:tc>
          <w:tcPr>
            <w:tcW w:w="100" w:type="dxa"/>
            <w:vAlign w:val="bottom"/>
          </w:tcPr>
          <w:p>
            <w:pPr>
              <w:spacing w:after="0"/>
              <w:rPr>
                <w:sz w:val="18"/>
                <w:szCs w:val="18"/>
                <w:color w:val="auto"/>
              </w:rPr>
            </w:pPr>
          </w:p>
        </w:tc>
      </w:tr>
      <w:tr>
        <w:trPr>
          <w:trHeight w:val="216"/>
        </w:trPr>
        <w:tc>
          <w:tcPr>
            <w:tcW w:w="900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1020"/>
              <w:spacing w:after="0"/>
              <w:rPr>
                <w:sz w:val="20"/>
                <w:szCs w:val="20"/>
                <w:color w:val="auto"/>
              </w:rPr>
            </w:pPr>
            <w:r>
              <w:rPr>
                <w:rFonts w:ascii="Arial" w:cs="Arial" w:eastAsia="Arial" w:hAnsi="Arial"/>
                <w:sz w:val="18"/>
                <w:szCs w:val="18"/>
                <w:color w:val="auto"/>
                <w:w w:val="86"/>
              </w:rPr>
              <w:t>409</w:t>
            </w:r>
          </w:p>
        </w:tc>
        <w:tc>
          <w:tcPr>
            <w:tcW w:w="100" w:type="dxa"/>
            <w:vAlign w:val="bottom"/>
            <w:shd w:val="clear" w:color="auto" w:fill="CCEEFF"/>
          </w:tcPr>
          <w:p>
            <w:pPr>
              <w:spacing w:after="0"/>
              <w:rPr>
                <w:sz w:val="18"/>
                <w:szCs w:val="18"/>
                <w:color w:val="auto"/>
              </w:rPr>
            </w:pPr>
          </w:p>
        </w:tc>
      </w:tr>
      <w:tr>
        <w:trPr>
          <w:trHeight w:val="217"/>
        </w:trPr>
        <w:tc>
          <w:tcPr>
            <w:tcW w:w="9260" w:type="dxa"/>
            <w:vAlign w:val="bottom"/>
            <w:gridSpan w:val="2"/>
          </w:tcPr>
          <w:p>
            <w:pPr>
              <w:spacing w:after="0"/>
              <w:rPr>
                <w:sz w:val="20"/>
                <w:szCs w:val="20"/>
                <w:color w:val="auto"/>
              </w:rPr>
            </w:pPr>
            <w:r>
              <w:rPr>
                <w:rFonts w:ascii="Arial" w:cs="Arial" w:eastAsia="Arial" w:hAnsi="Arial"/>
                <w:sz w:val="18"/>
                <w:szCs w:val="18"/>
                <w:color w:val="auto"/>
              </w:rPr>
              <w:t>Total future minimum lease payments</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280" w:type="dxa"/>
            <w:vAlign w:val="bottom"/>
            <w:tcBorders>
              <w:top w:val="single" w:sz="8" w:color="auto"/>
              <w:bottom w:val="single" w:sz="8" w:color="auto"/>
            </w:tcBorders>
          </w:tcPr>
          <w:p>
            <w:pPr>
              <w:ind w:left="880"/>
              <w:spacing w:after="0"/>
              <w:rPr>
                <w:sz w:val="20"/>
                <w:szCs w:val="20"/>
                <w:color w:val="auto"/>
              </w:rPr>
            </w:pPr>
            <w:r>
              <w:rPr>
                <w:rFonts w:ascii="Arial" w:cs="Arial" w:eastAsia="Arial" w:hAnsi="Arial"/>
                <w:sz w:val="18"/>
                <w:szCs w:val="18"/>
                <w:color w:val="auto"/>
                <w:w w:val="84"/>
              </w:rPr>
              <w:t>3,539</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r>
    </w:tbl>
    <w:p>
      <w:pPr>
        <w:spacing w:after="0" w:line="20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Rent expense for fiscal 2005 was $354,000.</w:t>
      </w:r>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Indemnifications</w:t>
      </w:r>
    </w:p>
    <w:p>
      <w:pPr>
        <w:spacing w:after="0" w:line="225" w:lineRule="exact"/>
        <w:rPr>
          <w:sz w:val="20"/>
          <w:szCs w:val="20"/>
          <w:color w:val="auto"/>
        </w:rPr>
      </w:pPr>
    </w:p>
    <w:p>
      <w:pPr>
        <w:ind w:right="180" w:firstLine="259"/>
        <w:spacing w:after="0" w:line="257" w:lineRule="auto"/>
        <w:rPr>
          <w:sz w:val="20"/>
          <w:szCs w:val="20"/>
          <w:color w:val="auto"/>
        </w:rPr>
      </w:pPr>
      <w:r>
        <w:rPr>
          <w:rFonts w:ascii="Arial" w:cs="Arial" w:eastAsia="Arial" w:hAnsi="Arial"/>
          <w:sz w:val="18"/>
          <w:szCs w:val="18"/>
          <w:color w:val="auto"/>
        </w:rPr>
        <w:t>The Business indemnifies certain of its customers against claims that products purchased from the Business infringe upon a patent, copyright, trademark or trade secret of a third party. In the event of such a claim, the Business agrees to pay all litigation costs, including attorney fees, and any settlement payments or damages awarded directly related to the infringement. The indemnification provisions generally do not expire. The Business is not currently defending any intellectual property infringement claims and has not been informed of any pending infringement claims. Accordingly, the Business has not recorded a liability related to such indemnifications.</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Subsequent Event</w:t>
      </w:r>
    </w:p>
    <w:p>
      <w:pPr>
        <w:spacing w:after="0" w:line="229" w:lineRule="exact"/>
        <w:rPr>
          <w:sz w:val="20"/>
          <w:szCs w:val="20"/>
          <w:color w:val="auto"/>
        </w:rPr>
      </w:pPr>
    </w:p>
    <w:p>
      <w:pPr>
        <w:ind w:right="180" w:firstLine="259"/>
        <w:spacing w:after="0" w:line="312" w:lineRule="auto"/>
        <w:rPr>
          <w:sz w:val="20"/>
          <w:szCs w:val="20"/>
          <w:color w:val="auto"/>
        </w:rPr>
      </w:pPr>
      <w:r>
        <w:rPr>
          <w:rFonts w:ascii="Arial" w:cs="Arial" w:eastAsia="Arial" w:hAnsi="Arial"/>
          <w:sz w:val="16"/>
          <w:szCs w:val="16"/>
          <w:color w:val="auto"/>
        </w:rPr>
        <w:t>On August 29, 2005, QLogic entered into a definitive agreement to sell the Business to Marvell Technology Group Ltd. (“Marvell”) for $225 million, consisting of $180 million in cash and $45 million in Marvell’s common stock. The agreement provides for $12 million of the consideration to be placed in escrow to secure QLogic’s obligations under certain representation and warranty provisions. The transaction was completed on November 4, 2005.</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HARD DISK AND TAPE DRIVE CONTROLLER BUSINESS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 QLOGIC CORPORATION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STATEMENTS OF NET ASSETS TO BE SOLD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w:t>
            </w: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80" w:type="dxa"/>
            <w:vAlign w:val="bottom"/>
            <w:gridSpan w:val="2"/>
          </w:tcPr>
          <w:p>
            <w:pPr>
              <w:ind w:left="80"/>
              <w:spacing w:after="0"/>
              <w:rPr>
                <w:sz w:val="20"/>
                <w:szCs w:val="20"/>
                <w:color w:val="auto"/>
              </w:rPr>
            </w:pPr>
            <w:r>
              <w:rPr>
                <w:rFonts w:ascii="Arial" w:cs="Arial" w:eastAsia="Arial" w:hAnsi="Arial"/>
                <w:sz w:val="14"/>
                <w:szCs w:val="14"/>
                <w:b w:val="1"/>
                <w:bCs w:val="1"/>
                <w:color w:val="auto"/>
              </w:rPr>
              <w:t>April 3</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2005</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8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6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(In thousands)</w:t>
            </w:r>
          </w:p>
        </w:tc>
        <w:tc>
          <w:tcPr>
            <w:tcW w:w="9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8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6,627</w:t>
            </w:r>
          </w:p>
        </w:tc>
        <w:tc>
          <w:tcPr>
            <w:tcW w:w="5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7,133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Property and equipment, net</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6,532</w:t>
            </w: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Goodwill</w:t>
            </w:r>
          </w:p>
        </w:tc>
        <w:tc>
          <w:tcPr>
            <w:tcW w:w="24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312</w:t>
            </w: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312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340"/>
              <w:spacing w:after="0"/>
              <w:rPr>
                <w:sz w:val="20"/>
                <w:szCs w:val="20"/>
                <w:color w:val="auto"/>
              </w:rPr>
            </w:pPr>
            <w:r>
              <w:rPr>
                <w:rFonts w:ascii="Arial" w:cs="Arial" w:eastAsia="Arial" w:hAnsi="Arial"/>
                <w:sz w:val="18"/>
                <w:szCs w:val="18"/>
                <w:color w:val="auto"/>
              </w:rPr>
              <w:t>Total assets</w:t>
            </w:r>
          </w:p>
        </w:tc>
        <w:tc>
          <w:tcPr>
            <w:tcW w:w="24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13,471</w:t>
            </w: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13,466</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8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rent liability</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789</w:t>
            </w: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320" w:type="dxa"/>
            <w:vAlign w:val="bottom"/>
            <w:shd w:val="clear" w:color="auto" w:fill="CCEEFF"/>
          </w:tcPr>
          <w:p>
            <w:pPr>
              <w:spacing w:after="0"/>
              <w:rPr>
                <w:sz w:val="9"/>
                <w:szCs w:val="9"/>
                <w:color w:val="auto"/>
              </w:rPr>
            </w:pPr>
          </w:p>
        </w:tc>
        <w:tc>
          <w:tcPr>
            <w:tcW w:w="240" w:type="dxa"/>
            <w:vAlign w:val="bottom"/>
            <w:shd w:val="clear" w:color="auto" w:fill="CCEEFF"/>
          </w:tcPr>
          <w:p>
            <w:pPr>
              <w:spacing w:after="0"/>
              <w:rPr>
                <w:sz w:val="9"/>
                <w:szCs w:val="9"/>
                <w:color w:val="auto"/>
              </w:rPr>
            </w:pPr>
          </w:p>
        </w:tc>
        <w:tc>
          <w:tcPr>
            <w:tcW w:w="114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400" w:type="dxa"/>
            <w:vAlign w:val="bottom"/>
            <w:shd w:val="clear" w:color="auto" w:fill="CCEEFF"/>
          </w:tcPr>
          <w:p>
            <w:pPr>
              <w:spacing w:after="0"/>
              <w:rPr>
                <w:sz w:val="9"/>
                <w:szCs w:val="9"/>
                <w:color w:val="auto"/>
              </w:rPr>
            </w:pPr>
          </w:p>
        </w:tc>
        <w:tc>
          <w:tcPr>
            <w:tcW w:w="9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125" w:right="239" w:bottom="0" w:gutter="0" w:footer="0" w:header="0"/>
        </w:sectPr>
      </w:pPr>
    </w:p>
    <w:bookmarkStart w:id="6" w:name="page7"/>
    <w:bookmarkEnd w:id="6"/>
    <w:p>
      <w:pPr>
        <w:spacing w:after="0" w:line="9" w:lineRule="exact"/>
        <w:rPr>
          <w:sz w:val="20"/>
          <w:szCs w:val="20"/>
          <w:color w:val="auto"/>
        </w:rPr>
      </w:pPr>
    </w:p>
    <w:p>
      <w:pPr>
        <w:ind w:left="360"/>
        <w:spacing w:after="0"/>
        <w:tabs>
          <w:tab w:leader="none" w:pos="8320" w:val="left"/>
          <w:tab w:leader="none" w:pos="9200" w:val="left"/>
          <w:tab w:leader="none" w:pos="9920" w:val="left"/>
          <w:tab w:leader="none" w:pos="10800" w:val="left"/>
        </w:tabs>
        <w:rPr>
          <w:sz w:val="20"/>
          <w:szCs w:val="20"/>
          <w:color w:val="auto"/>
        </w:rPr>
      </w:pPr>
      <w:r>
        <w:rPr>
          <w:rFonts w:ascii="Arial" w:cs="Arial" w:eastAsia="Arial" w:hAnsi="Arial"/>
          <w:sz w:val="18"/>
          <w:szCs w:val="18"/>
          <w:color w:val="auto"/>
        </w:rPr>
        <w:t>Net assets to be sold</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12,682</w:t>
        <w:tab/>
        <w:t>$</w:t>
      </w:r>
      <w:r>
        <w:rPr>
          <w:sz w:val="20"/>
          <w:szCs w:val="20"/>
          <w:color w:val="auto"/>
        </w:rPr>
        <w:tab/>
      </w:r>
      <w:r>
        <w:rPr>
          <w:rFonts w:ascii="Arial" w:cs="Arial" w:eastAsia="Arial" w:hAnsi="Arial"/>
          <w:sz w:val="16"/>
          <w:szCs w:val="16"/>
          <w:color w:val="auto"/>
        </w:rPr>
        <w:t>12,601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543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46620" cy="154305"/>
                    </a:xfrm>
                    <a:prstGeom prst="rect">
                      <a:avLst/>
                    </a:prstGeom>
                    <a:noFill/>
                  </pic:spPr>
                </pic:pic>
              </a:graphicData>
            </a:graphic>
          </wp:anchor>
        </w:drawing>
      </w:r>
    </w:p>
    <w:p>
      <w:pPr>
        <w:spacing w:after="0" w:line="23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See accompanying notes to condensed financial statements.</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HARD DISK AND TAPE DRIVE CONTROLLER BUSINESS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OF QLOGIC CORPORATION</w:t>
      </w:r>
    </w:p>
    <w:p>
      <w:pPr>
        <w:spacing w:after="0" w:line="20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STATEMENT OF DIRECT REVENUES AND DIRECT OPERATING EXPENSES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40" w:type="dxa"/>
            <w:vAlign w:val="bottom"/>
            <w:gridSpan w:val="6"/>
          </w:tcPr>
          <w:p>
            <w:pPr>
              <w:ind w:left="680"/>
              <w:spacing w:after="0"/>
              <w:rPr>
                <w:sz w:val="20"/>
                <w:szCs w:val="20"/>
                <w:color w:val="auto"/>
              </w:rPr>
            </w:pPr>
            <w:r>
              <w:rPr>
                <w:rFonts w:ascii="Arial" w:cs="Arial" w:eastAsia="Arial" w:hAnsi="Arial"/>
                <w:sz w:val="14"/>
                <w:szCs w:val="14"/>
                <w:b w:val="1"/>
                <w:bCs w:val="1"/>
                <w:color w:val="auto"/>
              </w:rPr>
              <w:t>Six Months Ended</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32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ind w:left="140"/>
              <w:spacing w:after="0" w:line="119" w:lineRule="exact"/>
              <w:rPr>
                <w:sz w:val="20"/>
                <w:szCs w:val="20"/>
                <w:color w:val="auto"/>
              </w:rPr>
            </w:pPr>
            <w:r>
              <w:rPr>
                <w:rFonts w:ascii="Arial" w:cs="Arial" w:eastAsia="Arial" w:hAnsi="Arial"/>
                <w:sz w:val="13"/>
                <w:szCs w:val="13"/>
                <w:b w:val="1"/>
                <w:bCs w:val="1"/>
                <w:color w:val="auto"/>
              </w:rPr>
              <w:t>October 2</w:t>
            </w:r>
          </w:p>
        </w:tc>
        <w:tc>
          <w:tcPr>
            <w:tcW w:w="10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tcPr>
          <w:p>
            <w:pPr>
              <w:jc w:val="right"/>
              <w:ind w:right="174"/>
              <w:spacing w:after="0" w:line="119" w:lineRule="exact"/>
              <w:rPr>
                <w:sz w:val="20"/>
                <w:szCs w:val="20"/>
                <w:color w:val="auto"/>
              </w:rPr>
            </w:pPr>
            <w:r>
              <w:rPr>
                <w:rFonts w:ascii="Arial" w:cs="Arial" w:eastAsia="Arial" w:hAnsi="Arial"/>
                <w:sz w:val="13"/>
                <w:szCs w:val="13"/>
                <w:b w:val="1"/>
                <w:bCs w:val="1"/>
                <w:color w:val="auto"/>
              </w:rPr>
              <w:t>September 26</w:t>
            </w: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2005</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8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740" w:type="dxa"/>
            <w:vAlign w:val="bottom"/>
            <w:gridSpan w:val="5"/>
          </w:tcPr>
          <w:p>
            <w:pPr>
              <w:jc w:val="right"/>
              <w:ind w:right="954"/>
              <w:spacing w:after="0"/>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8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Direct revenues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81,492</w:t>
            </w:r>
          </w:p>
        </w:tc>
        <w:tc>
          <w:tcPr>
            <w:tcW w:w="2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Direct cost of revenues</w:t>
            </w:r>
          </w:p>
        </w:tc>
        <w:tc>
          <w:tcPr>
            <w:tcW w:w="24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34,546</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25,278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Gross profit</w:t>
            </w:r>
          </w:p>
        </w:tc>
        <w:tc>
          <w:tcPr>
            <w:tcW w:w="24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46,946</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38,191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83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Direct operating expenses:</w:t>
            </w: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Engineering and development</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6,900</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7,042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Sales and marketing</w:t>
            </w:r>
          </w:p>
        </w:tc>
        <w:tc>
          <w:tcPr>
            <w:tcW w:w="24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2,545</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2,312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533</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direct operating expenses</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9,978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83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Excess of direct revenues over direct operating expenses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36,968</w:t>
            </w:r>
          </w:p>
        </w:tc>
        <w:tc>
          <w:tcPr>
            <w:tcW w:w="2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28,392</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8320" w:type="dxa"/>
            <w:vAlign w:val="bottom"/>
            <w:tcBorders>
              <w:top w:val="single" w:sz="8" w:color="CCEEFF"/>
            </w:tcBorders>
          </w:tcPr>
          <w:p>
            <w:pPr>
              <w:jc w:val="center"/>
              <w:ind w:left="2970"/>
              <w:spacing w:after="0"/>
              <w:rPr>
                <w:sz w:val="20"/>
                <w:szCs w:val="20"/>
                <w:color w:val="auto"/>
              </w:rPr>
            </w:pPr>
            <w:r>
              <w:rPr>
                <w:rFonts w:ascii="Arial" w:cs="Arial" w:eastAsia="Arial" w:hAnsi="Arial"/>
                <w:sz w:val="18"/>
                <w:szCs w:val="18"/>
                <w:color w:val="auto"/>
                <w:w w:val="88"/>
              </w:rPr>
              <w:t>See accompanying notes to condensed financial statements.</w:t>
            </w:r>
          </w:p>
        </w:tc>
        <w:tc>
          <w:tcPr>
            <w:tcW w:w="240" w:type="dxa"/>
            <w:vAlign w:val="bottom"/>
            <w:tcBorders>
              <w:top w:val="single" w:sz="8" w:color="auto"/>
            </w:tcBorders>
          </w:tcPr>
          <w:p>
            <w:pPr>
              <w:spacing w:after="0"/>
              <w:rPr>
                <w:sz w:val="24"/>
                <w:szCs w:val="24"/>
                <w:color w:val="auto"/>
              </w:rPr>
            </w:pPr>
          </w:p>
        </w:tc>
        <w:tc>
          <w:tcPr>
            <w:tcW w:w="1140" w:type="dxa"/>
            <w:vAlign w:val="bottom"/>
            <w:tcBorders>
              <w:top w:val="single" w:sz="8" w:color="auto"/>
            </w:tcBorders>
          </w:tcPr>
          <w:p>
            <w:pPr>
              <w:spacing w:after="0"/>
              <w:rPr>
                <w:sz w:val="24"/>
                <w:szCs w:val="24"/>
                <w:color w:val="auto"/>
              </w:rPr>
            </w:pPr>
          </w:p>
        </w:tc>
        <w:tc>
          <w:tcPr>
            <w:tcW w:w="120" w:type="dxa"/>
            <w:vAlign w:val="bottom"/>
            <w:tcBorders>
              <w:top w:val="single" w:sz="8" w:color="CCEEFF"/>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200" w:type="dxa"/>
            <w:vAlign w:val="bottom"/>
            <w:tcBorders>
              <w:top w:val="single" w:sz="8" w:color="auto"/>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8340" w:type="dxa"/>
            <w:vAlign w:val="bottom"/>
            <w:gridSpan w:val="2"/>
          </w:tcPr>
          <w:p>
            <w:pPr>
              <w:jc w:val="right"/>
              <w:ind w:right="2450"/>
              <w:spacing w:after="0"/>
              <w:rPr>
                <w:sz w:val="20"/>
                <w:szCs w:val="20"/>
                <w:color w:val="auto"/>
              </w:rPr>
            </w:pPr>
            <w:r>
              <w:rPr>
                <w:rFonts w:ascii="Arial" w:cs="Arial" w:eastAsia="Arial" w:hAnsi="Arial"/>
                <w:sz w:val="18"/>
                <w:szCs w:val="18"/>
                <w:color w:val="auto"/>
              </w:rPr>
              <w:t>13</w:t>
            </w: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3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HARD DISK AND TAPE DRIVE CONTROLLER BUSINESS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OF QLOGIC CORPORATION</w:t>
      </w:r>
    </w:p>
    <w:p>
      <w:pPr>
        <w:spacing w:after="0" w:line="20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NOTES TO CONDENSED FINANCIAL STATEMENTS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Description of Business</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General Business Information</w:t>
      </w:r>
    </w:p>
    <w:p>
      <w:pPr>
        <w:spacing w:after="0" w:line="225" w:lineRule="exact"/>
        <w:rPr>
          <w:sz w:val="20"/>
          <w:szCs w:val="20"/>
          <w:color w:val="auto"/>
        </w:rPr>
      </w:pPr>
    </w:p>
    <w:p>
      <w:pPr>
        <w:ind w:right="160" w:firstLine="259"/>
        <w:spacing w:after="0" w:line="264" w:lineRule="auto"/>
        <w:rPr>
          <w:sz w:val="20"/>
          <w:szCs w:val="20"/>
          <w:color w:val="auto"/>
        </w:rPr>
      </w:pPr>
      <w:r>
        <w:rPr>
          <w:rFonts w:ascii="Arial" w:cs="Arial" w:eastAsia="Arial" w:hAnsi="Arial"/>
          <w:sz w:val="18"/>
          <w:szCs w:val="18"/>
          <w:color w:val="auto"/>
        </w:rPr>
        <w:t>The Hard Disk and Tape Drive Controller Business (the Business) is comprised of a group of products within QLogic Corporation (QLogic). The Business designs and supplies controller chips for data storage peripherals, such as hard disk drives and tape drives. The Business markets and distributes its products primarily to original equipment manufacturers through an independent sales representative firm.</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Basis of Presentation</w:t>
      </w:r>
    </w:p>
    <w:p>
      <w:pPr>
        <w:spacing w:after="0" w:line="229" w:lineRule="exact"/>
        <w:rPr>
          <w:sz w:val="20"/>
          <w:szCs w:val="20"/>
          <w:color w:val="auto"/>
        </w:rPr>
      </w:pPr>
    </w:p>
    <w:p>
      <w:pPr>
        <w:ind w:right="80" w:firstLine="259"/>
        <w:spacing w:after="0" w:line="257" w:lineRule="auto"/>
        <w:rPr>
          <w:sz w:val="20"/>
          <w:szCs w:val="20"/>
          <w:color w:val="auto"/>
        </w:rPr>
      </w:pPr>
      <w:r>
        <w:rPr>
          <w:rFonts w:ascii="Arial" w:cs="Arial" w:eastAsia="Arial" w:hAnsi="Arial"/>
          <w:sz w:val="18"/>
          <w:szCs w:val="18"/>
          <w:color w:val="auto"/>
        </w:rPr>
        <w:t>The accompanying financial statements have been prepared from the books and records maintained by QLogic. The Business was not operated as a separate entity, but was an integrated part of QLogic’s consolidated business. In the opinion of management, the accompanying unaudited condensed financial statements contain all adjustments necessary to fairly present the net assets to be sold and the direct revenues and direct operating expenses of the Business. The direct revenues and direct operating expenses for the six months ended October 2, 2005 are not necessarily indicative of the results that may be expected for the entire fiscal year.</w:t>
      </w:r>
    </w:p>
    <w:p>
      <w:pPr>
        <w:spacing w:after="0" w:line="188" w:lineRule="exact"/>
        <w:rPr>
          <w:sz w:val="20"/>
          <w:szCs w:val="20"/>
          <w:color w:val="auto"/>
        </w:rPr>
      </w:pPr>
    </w:p>
    <w:p>
      <w:pPr>
        <w:ind w:right="20" w:firstLine="259"/>
        <w:spacing w:after="0" w:line="289" w:lineRule="auto"/>
        <w:rPr>
          <w:sz w:val="20"/>
          <w:szCs w:val="20"/>
          <w:color w:val="auto"/>
        </w:rPr>
      </w:pPr>
      <w:r>
        <w:rPr>
          <w:rFonts w:ascii="Arial" w:cs="Arial" w:eastAsia="Arial" w:hAnsi="Arial"/>
          <w:sz w:val="16"/>
          <w:szCs w:val="16"/>
          <w:color w:val="auto"/>
        </w:rPr>
        <w:t>The statement of net assets to be sold includes only the specific assets and liabilities related to the Business that are expected to be sold. The statement of direct revenues and direct operating expenses includes the net revenues and operating expenses directly attributable to the development, manufacture, sale and distribution of the products comprising the Business. Direct expenses included in the accompanying financial statements include salaries and wages, fringe benefits, depreciation, rent and other expenses. The statement also includes an allocation of certain engineering and development costs attributable to the design of the products comprising the Business. QLogic management believes that the allocations are reasonable; however, these allocated expenses are not necessarily indicative of costs that would be incurred on a stand-alone basis due to economies of scale, differences in management judgement, a requirement for more or fewer employees, or other factors. Future results of operations and financial position could differ materially from the historical amounts presented herein. The statement of direct revenues and direct operating expenses do not include interest income, income taxes or any other indirect expenses not noted above. Complete financial statements were not prepared as the Business was not maintained as a separate reporting unit.</w:t>
      </w:r>
    </w:p>
    <w:p>
      <w:pPr>
        <w:spacing w:after="0" w:line="167" w:lineRule="exact"/>
        <w:rPr>
          <w:sz w:val="20"/>
          <w:szCs w:val="20"/>
          <w:color w:val="auto"/>
        </w:rPr>
      </w:pPr>
    </w:p>
    <w:p>
      <w:pPr>
        <w:ind w:right="140" w:firstLine="259"/>
        <w:spacing w:after="0" w:line="259" w:lineRule="auto"/>
        <w:rPr>
          <w:sz w:val="20"/>
          <w:szCs w:val="20"/>
          <w:color w:val="auto"/>
        </w:rPr>
      </w:pPr>
      <w:r>
        <w:rPr>
          <w:rFonts w:ascii="Arial" w:cs="Arial" w:eastAsia="Arial" w:hAnsi="Arial"/>
          <w:sz w:val="18"/>
          <w:szCs w:val="18"/>
          <w:color w:val="auto"/>
        </w:rPr>
        <w:t>The accompanying financial statements have been prepared in accordance with accounting principles generally accepted in the United States of America. The preparation of financial statements in accordance with accounting principles generally accepted in the United States of America requires management to make estimates that affect the amounts reported in the Business’ financial statements and accompanying notes. Actual results could differ from these estimates.</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All significant intercompany transactions and balances have been eliminated from these financial statements.</w:t>
      </w:r>
    </w:p>
    <w:p>
      <w:pPr>
        <w:sectPr>
          <w:pgSz w:w="11900" w:h="16847" w:orient="portrait"/>
          <w:cols w:equalWidth="0" w:num="1">
            <w:col w:w="11440"/>
          </w:cols>
          <w:pgMar w:left="240" w:top="125" w:right="219" w:bottom="0" w:gutter="0" w:footer="0" w:header="0"/>
        </w:sectPr>
      </w:pPr>
    </w:p>
    <w:bookmarkStart w:id="7" w:name="page8"/>
    <w:bookmarkEnd w:id="7"/>
    <w:p>
      <w:pPr>
        <w:spacing w:after="0" w:line="62"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cost of revenues</w:t>
      </w:r>
    </w:p>
    <w:p>
      <w:pPr>
        <w:spacing w:after="0" w:line="225" w:lineRule="exact"/>
        <w:rPr>
          <w:sz w:val="20"/>
          <w:szCs w:val="20"/>
          <w:color w:val="auto"/>
        </w:rPr>
      </w:pPr>
    </w:p>
    <w:p>
      <w:pPr>
        <w:ind w:right="120" w:firstLine="259"/>
        <w:spacing w:after="0" w:line="277" w:lineRule="auto"/>
        <w:rPr>
          <w:sz w:val="20"/>
          <w:szCs w:val="20"/>
          <w:color w:val="auto"/>
        </w:rPr>
      </w:pPr>
      <w:r>
        <w:rPr>
          <w:rFonts w:ascii="Arial" w:cs="Arial" w:eastAsia="Arial" w:hAnsi="Arial"/>
          <w:sz w:val="18"/>
          <w:szCs w:val="18"/>
          <w:color w:val="auto"/>
        </w:rPr>
        <w:t>Direct cost of revenues includes all variable and fixed costs associated with manufacturing and testing the product, including the cost of goods purchased from third parties, direct labor, indirect labor, packaging supplies and fixed costs such as depreciation.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engineering and development</w:t>
      </w:r>
    </w:p>
    <w:p>
      <w:pPr>
        <w:spacing w:after="0" w:line="225" w:lineRule="exact"/>
        <w:rPr>
          <w:sz w:val="20"/>
          <w:szCs w:val="20"/>
          <w:color w:val="auto"/>
        </w:rPr>
      </w:pPr>
    </w:p>
    <w:p>
      <w:pPr>
        <w:jc w:val="both"/>
        <w:ind w:right="580" w:firstLine="259"/>
        <w:spacing w:after="0" w:line="264" w:lineRule="auto"/>
        <w:rPr>
          <w:sz w:val="20"/>
          <w:szCs w:val="20"/>
          <w:color w:val="auto"/>
        </w:rPr>
      </w:pPr>
      <w:r>
        <w:rPr>
          <w:rFonts w:ascii="Arial" w:cs="Arial" w:eastAsia="Arial" w:hAnsi="Arial"/>
          <w:sz w:val="18"/>
          <w:szCs w:val="18"/>
          <w:color w:val="auto"/>
        </w:rPr>
        <w:t>Direct engineering and development costs consist of costs related to the development of new products and process technology and are expensed as incurred. Direct engineering and development costs includes certain expenses allocated to the Business based upon specific identification of expenses incurred or management estimates of resources utilized.</w:t>
      </w:r>
    </w:p>
    <w:p>
      <w:pPr>
        <w:spacing w:after="0" w:line="181"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sales and marketing expenses</w:t>
      </w:r>
    </w:p>
    <w:p>
      <w:pPr>
        <w:spacing w:after="0" w:line="225" w:lineRule="exact"/>
        <w:rPr>
          <w:sz w:val="20"/>
          <w:szCs w:val="20"/>
          <w:color w:val="auto"/>
        </w:rPr>
      </w:pPr>
    </w:p>
    <w:p>
      <w:pPr>
        <w:ind w:right="700" w:firstLine="259"/>
        <w:spacing w:after="0" w:line="277" w:lineRule="auto"/>
        <w:rPr>
          <w:sz w:val="20"/>
          <w:szCs w:val="20"/>
          <w:color w:val="auto"/>
        </w:rPr>
      </w:pPr>
      <w:r>
        <w:rPr>
          <w:rFonts w:ascii="Arial" w:cs="Arial" w:eastAsia="Arial" w:hAnsi="Arial"/>
          <w:sz w:val="18"/>
          <w:szCs w:val="18"/>
          <w:color w:val="auto"/>
        </w:rPr>
        <w:t>Direct sales and marketing expenses consists primarily of commissions to an independent sales representative firm and the costs of various direct marketing activities.</w:t>
      </w:r>
    </w:p>
    <w:p>
      <w:pPr>
        <w:spacing w:after="0" w:line="170"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color w:val="auto"/>
        </w:rPr>
        <w:t>Direct general and administrative expenses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color w:val="auto"/>
        </w:rPr>
        <w:t>Direct general and administrative expenses consist of facility costs directly related to or allocable to the Business.</w:t>
      </w:r>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Corporate Overhead Costs</w:t>
      </w:r>
    </w:p>
    <w:p>
      <w:pPr>
        <w:spacing w:after="0" w:line="225" w:lineRule="exact"/>
        <w:rPr>
          <w:sz w:val="20"/>
          <w:szCs w:val="20"/>
          <w:color w:val="auto"/>
        </w:rPr>
      </w:pPr>
    </w:p>
    <w:p>
      <w:pPr>
        <w:jc w:val="both"/>
        <w:ind w:right="200" w:firstLine="259"/>
        <w:spacing w:after="0" w:line="312" w:lineRule="auto"/>
        <w:rPr>
          <w:sz w:val="20"/>
          <w:szCs w:val="20"/>
          <w:color w:val="auto"/>
        </w:rPr>
      </w:pPr>
      <w:r>
        <w:rPr>
          <w:rFonts w:ascii="Arial" w:cs="Arial" w:eastAsia="Arial" w:hAnsi="Arial"/>
          <w:sz w:val="16"/>
          <w:szCs w:val="16"/>
          <w:color w:val="auto"/>
        </w:rPr>
        <w:t>Corporate overhead costs relating to functions such as executive, finance, accounting, human resources, legal and information technology have not been allocated to the Business because these costs are not separately identified in the accounting records for the Business. In addition, management believes that these costs would not be representative of the costs that would have been or will be incurred by the Business operating independently from QLogic.</w:t>
      </w:r>
    </w:p>
    <w:p>
      <w:pPr>
        <w:spacing w:after="0" w:line="147"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firstLine="259"/>
        <w:spacing w:after="0" w:line="277" w:lineRule="auto"/>
        <w:rPr>
          <w:sz w:val="20"/>
          <w:szCs w:val="20"/>
          <w:color w:val="auto"/>
        </w:rPr>
      </w:pPr>
      <w:r>
        <w:rPr>
          <w:rFonts w:ascii="Arial" w:cs="Arial" w:eastAsia="Arial" w:hAnsi="Arial"/>
          <w:sz w:val="18"/>
          <w:szCs w:val="18"/>
          <w:color w:val="auto"/>
        </w:rPr>
        <w:t>Goodwill included in the accompanying statement of net assets to be sold represents the portion of the QLogic corporate goodwill that was allocated to the Business based on relative fair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Inventories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Components of inventories are as follows:</w:t>
      </w:r>
    </w:p>
    <w:p>
      <w:pPr>
        <w:spacing w:after="0" w:line="204"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7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5"/>
              </w:rPr>
              <w:t>October 2,</w:t>
            </w:r>
          </w:p>
        </w:tc>
        <w:tc>
          <w:tcPr>
            <w:tcW w:w="380" w:type="dxa"/>
            <w:vAlign w:val="bottom"/>
          </w:tcPr>
          <w:p>
            <w:pPr>
              <w:spacing w:after="0"/>
              <w:rPr>
                <w:sz w:val="14"/>
                <w:szCs w:val="14"/>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April 3,</w:t>
            </w:r>
          </w:p>
        </w:tc>
      </w:tr>
      <w:tr>
        <w:trPr>
          <w:trHeight w:val="171"/>
        </w:trPr>
        <w:tc>
          <w:tcPr>
            <w:tcW w:w="73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19"/>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417"/>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r>
      <w:tr>
        <w:trPr>
          <w:trHeight w:val="142"/>
        </w:trPr>
        <w:tc>
          <w:tcPr>
            <w:tcW w:w="73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700" w:type="dxa"/>
            <w:vAlign w:val="bottom"/>
            <w:gridSpan w:val="3"/>
          </w:tcPr>
          <w:p>
            <w:pPr>
              <w:ind w:left="760"/>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9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Raw materials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2,469</w:t>
            </w:r>
          </w:p>
        </w:tc>
        <w:tc>
          <w:tcPr>
            <w:tcW w:w="3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2,833</w:t>
            </w:r>
          </w:p>
        </w:tc>
      </w:tr>
      <w:tr>
        <w:trPr>
          <w:trHeight w:val="216"/>
        </w:trPr>
        <w:tc>
          <w:tcPr>
            <w:tcW w:w="7320" w:type="dxa"/>
            <w:vAlign w:val="bottom"/>
          </w:tcPr>
          <w:p>
            <w:pPr>
              <w:spacing w:after="0"/>
              <w:rPr>
                <w:sz w:val="20"/>
                <w:szCs w:val="20"/>
                <w:color w:val="auto"/>
              </w:rPr>
            </w:pPr>
            <w:r>
              <w:rPr>
                <w:rFonts w:ascii="Arial" w:cs="Arial" w:eastAsia="Arial" w:hAnsi="Arial"/>
                <w:sz w:val="18"/>
                <w:szCs w:val="18"/>
                <w:color w:val="auto"/>
              </w:rPr>
              <w:t>Finished goods</w:t>
            </w:r>
          </w:p>
        </w:tc>
        <w:tc>
          <w:tcPr>
            <w:tcW w:w="220" w:type="dxa"/>
            <w:vAlign w:val="bottom"/>
          </w:tcPr>
          <w:p>
            <w:pPr>
              <w:spacing w:after="0"/>
              <w:rPr>
                <w:sz w:val="18"/>
                <w:szCs w:val="18"/>
                <w:color w:val="auto"/>
              </w:rPr>
            </w:pPr>
          </w:p>
        </w:tc>
        <w:tc>
          <w:tcPr>
            <w:tcW w:w="1320" w:type="dxa"/>
            <w:vAlign w:val="bottom"/>
            <w:gridSpan w:val="2"/>
          </w:tcPr>
          <w:p>
            <w:pPr>
              <w:ind w:left="700"/>
              <w:spacing w:after="0"/>
              <w:rPr>
                <w:sz w:val="20"/>
                <w:szCs w:val="20"/>
                <w:color w:val="auto"/>
              </w:rPr>
            </w:pPr>
            <w:r>
              <w:rPr>
                <w:rFonts w:ascii="Arial" w:cs="Arial" w:eastAsia="Arial" w:hAnsi="Arial"/>
                <w:sz w:val="18"/>
                <w:szCs w:val="18"/>
                <w:color w:val="auto"/>
              </w:rPr>
              <w:t>4,158</w:t>
            </w:r>
          </w:p>
        </w:tc>
        <w:tc>
          <w:tcPr>
            <w:tcW w:w="38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4,300</w:t>
            </w:r>
          </w:p>
        </w:tc>
      </w:tr>
      <w:tr>
        <w:trPr>
          <w:trHeight w:val="217"/>
        </w:trPr>
        <w:tc>
          <w:tcPr>
            <w:tcW w:w="73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w w:val="84"/>
              </w:rPr>
              <w:t>6,627</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Subsequent Event</w:t>
      </w:r>
    </w:p>
    <w:p>
      <w:pPr>
        <w:spacing w:after="0" w:line="229" w:lineRule="exact"/>
        <w:rPr>
          <w:sz w:val="20"/>
          <w:szCs w:val="20"/>
          <w:color w:val="auto"/>
        </w:rPr>
      </w:pPr>
    </w:p>
    <w:p>
      <w:pPr>
        <w:ind w:right="180" w:firstLine="259"/>
        <w:spacing w:after="0" w:line="312" w:lineRule="auto"/>
        <w:rPr>
          <w:sz w:val="20"/>
          <w:szCs w:val="20"/>
          <w:color w:val="auto"/>
        </w:rPr>
      </w:pPr>
      <w:r>
        <w:rPr>
          <w:rFonts w:ascii="Arial" w:cs="Arial" w:eastAsia="Arial" w:hAnsi="Arial"/>
          <w:sz w:val="16"/>
          <w:szCs w:val="16"/>
          <w:color w:val="auto"/>
        </w:rPr>
        <w:t>On August 29, 2005, QLogic entered into a definitive agreement to sell the Business to Marvell Technology Group Ltd. (“Marvell”) for $225 million, consisting of $180 million in cash and $45 million in Marvell’s common stock. The agreement provides for $12 million of the consideration to be placed in escrow to secure QLogic’s obligations under certain representation and warranty provisions. The transaction was completed on November 4, 2005.</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tabs>
          <w:tab w:leader="none" w:pos="1340" w:val="left"/>
        </w:tabs>
        <w:rPr>
          <w:sz w:val="20"/>
          <w:szCs w:val="20"/>
          <w:color w:val="auto"/>
        </w:rPr>
      </w:pPr>
      <w:r>
        <w:rPr>
          <w:rFonts w:ascii="Arial" w:cs="Arial" w:eastAsia="Arial" w:hAnsi="Arial"/>
          <w:sz w:val="18"/>
          <w:szCs w:val="18"/>
          <w:color w:val="auto"/>
        </w:rPr>
        <w:t>ITEM 9.01(b)</w:t>
      </w:r>
      <w:r>
        <w:rPr>
          <w:sz w:val="20"/>
          <w:szCs w:val="20"/>
          <w:color w:val="auto"/>
        </w:rPr>
        <w:tab/>
      </w:r>
      <w:r>
        <w:rPr>
          <w:rFonts w:ascii="Arial" w:cs="Arial" w:eastAsia="Arial" w:hAnsi="Arial"/>
          <w:sz w:val="17"/>
          <w:szCs w:val="17"/>
          <w:color w:val="auto"/>
        </w:rPr>
        <w:t>PRO FORMA FINANCIAL INFORMATION</w:t>
      </w:r>
    </w:p>
    <w:p>
      <w:pPr>
        <w:spacing w:after="0" w:line="221"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UNAUDITED PRO FORMA CONDENSED COMBINED CONSOLIDATED BALANCE SHEET OF MARVELL TECHNOLOGY GROUP LTD AND THE HARD DISK AND TAPE DRIVE CONTROLLER BUSINESS OF QLOGIC CORPORATION</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0" w:type="dxa"/>
            <w:vAlign w:val="bottom"/>
            <w:gridSpan w:val="7"/>
          </w:tcPr>
          <w:p>
            <w:pPr>
              <w:ind w:left="960"/>
              <w:spacing w:after="0"/>
              <w:rPr>
                <w:sz w:val="20"/>
                <w:szCs w:val="20"/>
                <w:color w:val="auto"/>
              </w:rPr>
            </w:pPr>
            <w:r>
              <w:rPr>
                <w:rFonts w:ascii="Arial" w:cs="Arial" w:eastAsia="Arial" w:hAnsi="Arial"/>
                <w:sz w:val="14"/>
                <w:szCs w:val="14"/>
                <w:b w:val="1"/>
                <w:bCs w:val="1"/>
                <w:color w:val="auto"/>
              </w:rPr>
              <w:t>Historical</w:t>
            </w:r>
          </w:p>
        </w:tc>
        <w:tc>
          <w:tcPr>
            <w:tcW w:w="1680" w:type="dxa"/>
            <w:vAlign w:val="bottom"/>
            <w:gridSpan w:val="2"/>
            <w:vMerge w:val="restart"/>
          </w:tcPr>
          <w:p>
            <w:pPr>
              <w:jc w:val="center"/>
              <w:ind w:right="700"/>
              <w:spacing w:after="0"/>
              <w:rPr>
                <w:sz w:val="20"/>
                <w:szCs w:val="20"/>
                <w:color w:val="auto"/>
              </w:rPr>
            </w:pPr>
            <w:r>
              <w:rPr>
                <w:rFonts w:ascii="Arial" w:cs="Arial" w:eastAsia="Arial" w:hAnsi="Arial"/>
                <w:sz w:val="14"/>
                <w:szCs w:val="14"/>
                <w:b w:val="1"/>
                <w:bCs w:val="1"/>
                <w:color w:val="auto"/>
                <w:w w:val="94"/>
              </w:rPr>
              <w:t>Pro Forma</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8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rPr>
              <w:t>Marvell at</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tcPr>
          <w:p>
            <w:pPr>
              <w:jc w:val="center"/>
              <w:ind w:right="36"/>
              <w:spacing w:after="0" w:line="119" w:lineRule="exact"/>
              <w:rPr>
                <w:sz w:val="20"/>
                <w:szCs w:val="20"/>
                <w:color w:val="auto"/>
              </w:rPr>
            </w:pPr>
            <w:r>
              <w:rPr>
                <w:rFonts w:ascii="Arial" w:cs="Arial" w:eastAsia="Arial" w:hAnsi="Arial"/>
                <w:sz w:val="13"/>
                <w:szCs w:val="13"/>
                <w:b w:val="1"/>
                <w:bCs w:val="1"/>
                <w:color w:val="auto"/>
                <w:w w:val="97"/>
              </w:rPr>
              <w:t>QLogic Business at</w:t>
            </w:r>
          </w:p>
        </w:tc>
        <w:tc>
          <w:tcPr>
            <w:tcW w:w="420" w:type="dxa"/>
            <w:vAlign w:val="bottom"/>
            <w:gridSpan w:val="2"/>
          </w:tcPr>
          <w:p>
            <w:pPr>
              <w:spacing w:after="0"/>
              <w:rPr>
                <w:sz w:val="10"/>
                <w:szCs w:val="10"/>
                <w:color w:val="auto"/>
              </w:rPr>
            </w:pPr>
          </w:p>
        </w:tc>
        <w:tc>
          <w:tcPr>
            <w:tcW w:w="168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340" w:type="dxa"/>
            <w:vAlign w:val="bottom"/>
            <w:gridSpan w:val="2"/>
            <w:vMerge w:val="restart"/>
          </w:tcPr>
          <w:p>
            <w:pPr>
              <w:jc w:val="right"/>
              <w:ind w:right="52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38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3"/>
              </w:rPr>
              <w:t>July 30,</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20" w:type="dxa"/>
            <w:vAlign w:val="bottom"/>
            <w:gridSpan w:val="3"/>
          </w:tcPr>
          <w:p>
            <w:pPr>
              <w:jc w:val="center"/>
              <w:ind w:right="520"/>
              <w:spacing w:after="0" w:line="149" w:lineRule="exact"/>
              <w:rPr>
                <w:sz w:val="20"/>
                <w:szCs w:val="20"/>
                <w:color w:val="auto"/>
              </w:rPr>
            </w:pPr>
            <w:r>
              <w:rPr>
                <w:rFonts w:ascii="Arial" w:cs="Arial" w:eastAsia="Arial" w:hAnsi="Arial"/>
                <w:sz w:val="14"/>
                <w:szCs w:val="14"/>
                <w:b w:val="1"/>
                <w:bCs w:val="1"/>
                <w:color w:val="auto"/>
                <w:w w:val="92"/>
              </w:rPr>
              <w:t>October 2,</w:t>
            </w:r>
          </w:p>
        </w:tc>
        <w:tc>
          <w:tcPr>
            <w:tcW w:w="168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60" w:type="dxa"/>
            <w:vAlign w:val="bottom"/>
          </w:tcPr>
          <w:p>
            <w:pPr>
              <w:jc w:val="center"/>
              <w:ind w:right="156"/>
              <w:spacing w:after="0"/>
              <w:rPr>
                <w:sz w:val="20"/>
                <w:szCs w:val="20"/>
                <w:color w:val="auto"/>
              </w:rPr>
            </w:pPr>
            <w:r>
              <w:rPr>
                <w:rFonts w:ascii="Arial" w:cs="Arial" w:eastAsia="Arial" w:hAnsi="Arial"/>
                <w:sz w:val="14"/>
                <w:szCs w:val="14"/>
                <w:b w:val="1"/>
                <w:bCs w:val="1"/>
                <w:color w:val="auto"/>
                <w:w w:val="89"/>
              </w:rPr>
              <w:t>2005</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jc w:val="center"/>
              <w:ind w:right="16"/>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8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95"/>
              </w:rPr>
              <w:t>(Note 3)</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Combined</w:t>
            </w:r>
          </w:p>
        </w:tc>
        <w:tc>
          <w:tcPr>
            <w:tcW w:w="0" w:type="dxa"/>
            <w:vAlign w:val="bottom"/>
          </w:tcPr>
          <w:p>
            <w:pPr>
              <w:spacing w:after="0"/>
              <w:rPr>
                <w:sz w:val="1"/>
                <w:szCs w:val="1"/>
                <w:color w:val="auto"/>
              </w:rPr>
            </w:pPr>
          </w:p>
        </w:tc>
      </w:tr>
      <w:tr>
        <w:trPr>
          <w:trHeight w:val="142"/>
        </w:trPr>
        <w:tc>
          <w:tcPr>
            <w:tcW w:w="38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3400" w:type="dxa"/>
            <w:vAlign w:val="bottom"/>
            <w:tcBorders>
              <w:top w:val="single" w:sz="8" w:color="auto"/>
            </w:tcBorders>
            <w:gridSpan w:val="5"/>
          </w:tcPr>
          <w:p>
            <w:pPr>
              <w:jc w:val="right"/>
              <w:ind w:right="134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20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tcPr>
          <w:p>
            <w:pPr>
              <w:spacing w:after="0"/>
              <w:rPr>
                <w:sz w:val="20"/>
                <w:szCs w:val="20"/>
                <w:color w:val="auto"/>
              </w:rPr>
            </w:pPr>
            <w:r>
              <w:rPr>
                <w:rFonts w:ascii="Arial" w:cs="Arial" w:eastAsia="Arial" w:hAnsi="Arial"/>
                <w:sz w:val="18"/>
                <w:szCs w:val="18"/>
                <w:color w:val="auto"/>
              </w:rPr>
              <w:t>Current assets:</w:t>
            </w: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251,987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720" w:type="dxa"/>
            <w:vAlign w:val="bottom"/>
            <w:gridSpan w:val="3"/>
            <w:shd w:val="clear" w:color="auto" w:fill="CCEEFF"/>
          </w:tcPr>
          <w:p>
            <w:pPr>
              <w:ind w:left="1120"/>
              <w:spacing w:after="0"/>
              <w:rPr>
                <w:sz w:val="20"/>
                <w:szCs w:val="20"/>
                <w:color w:val="auto"/>
              </w:rPr>
            </w:pPr>
            <w:r>
              <w:rPr>
                <w:rFonts w:ascii="Arial" w:cs="Arial" w:eastAsia="Arial" w:hAnsi="Arial"/>
                <w:sz w:val="18"/>
                <w:szCs w:val="18"/>
                <w:color w:val="auto"/>
              </w:rPr>
              <w:t>—   $</w:t>
            </w:r>
          </w:p>
        </w:tc>
        <w:tc>
          <w:tcPr>
            <w:tcW w:w="16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(184,032)(b)</w:t>
            </w:r>
          </w:p>
        </w:tc>
        <w:tc>
          <w:tcPr>
            <w:tcW w:w="3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67,955</w:t>
            </w:r>
          </w:p>
        </w:tc>
        <w:tc>
          <w:tcPr>
            <w:tcW w:w="0" w:type="dxa"/>
            <w:vAlign w:val="bottom"/>
          </w:tcPr>
          <w:p>
            <w:pPr>
              <w:spacing w:after="0"/>
              <w:rPr>
                <w:sz w:val="1"/>
                <w:szCs w:val="1"/>
                <w:color w:val="auto"/>
              </w:rPr>
            </w:pPr>
          </w:p>
        </w:tc>
      </w:tr>
      <w:tr>
        <w:trPr>
          <w:trHeight w:val="216"/>
        </w:trPr>
        <w:tc>
          <w:tcPr>
            <w:tcW w:w="388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595,077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7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16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gridSpan w:val="2"/>
          </w:tcPr>
          <w:p>
            <w:pPr>
              <w:jc w:val="right"/>
              <w:ind w:right="140"/>
              <w:spacing w:after="0"/>
              <w:rPr>
                <w:sz w:val="20"/>
                <w:szCs w:val="20"/>
                <w:color w:val="auto"/>
              </w:rPr>
            </w:pPr>
            <w:r>
              <w:rPr>
                <w:rFonts w:ascii="Arial" w:cs="Arial" w:eastAsia="Arial" w:hAnsi="Arial"/>
                <w:sz w:val="18"/>
                <w:szCs w:val="18"/>
                <w:color w:val="auto"/>
              </w:rPr>
              <w:t>595,077</w:t>
            </w: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w:t>
            </w: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210,209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210,209</w:t>
            </w:r>
          </w:p>
        </w:tc>
        <w:tc>
          <w:tcPr>
            <w:tcW w:w="0" w:type="dxa"/>
            <w:vAlign w:val="bottom"/>
          </w:tcPr>
          <w:p>
            <w:pPr>
              <w:spacing w:after="0"/>
              <w:rPr>
                <w:sz w:val="1"/>
                <w:szCs w:val="1"/>
                <w:color w:val="auto"/>
              </w:rPr>
            </w:pPr>
          </w:p>
        </w:tc>
      </w:tr>
      <w:tr>
        <w:trPr>
          <w:trHeight w:val="216"/>
        </w:trPr>
        <w:tc>
          <w:tcPr>
            <w:tcW w:w="388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114,187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520" w:type="dxa"/>
            <w:vAlign w:val="bottom"/>
            <w:gridSpan w:val="2"/>
          </w:tcPr>
          <w:p>
            <w:pPr>
              <w:jc w:val="right"/>
              <w:ind w:right="220"/>
              <w:spacing w:after="0"/>
              <w:rPr>
                <w:sz w:val="20"/>
                <w:szCs w:val="20"/>
                <w:color w:val="auto"/>
              </w:rPr>
            </w:pPr>
            <w:r>
              <w:rPr>
                <w:rFonts w:ascii="Arial" w:cs="Arial" w:eastAsia="Arial" w:hAnsi="Arial"/>
                <w:sz w:val="18"/>
                <w:szCs w:val="18"/>
                <w:color w:val="auto"/>
              </w:rPr>
              <w:t>6,627</w:t>
            </w:r>
          </w:p>
        </w:tc>
        <w:tc>
          <w:tcPr>
            <w:tcW w:w="200" w:type="dxa"/>
            <w:vAlign w:val="bottom"/>
          </w:tcPr>
          <w:p>
            <w:pPr>
              <w:spacing w:after="0"/>
              <w:rPr>
                <w:sz w:val="18"/>
                <w:szCs w:val="18"/>
                <w:color w:val="auto"/>
              </w:rPr>
            </w:pPr>
          </w:p>
        </w:tc>
        <w:tc>
          <w:tcPr>
            <w:tcW w:w="1680" w:type="dxa"/>
            <w:vAlign w:val="bottom"/>
            <w:gridSpan w:val="2"/>
          </w:tcPr>
          <w:p>
            <w:pPr>
              <w:jc w:val="right"/>
              <w:ind w:right="340"/>
              <w:spacing w:after="0"/>
              <w:rPr>
                <w:sz w:val="20"/>
                <w:szCs w:val="20"/>
                <w:color w:val="auto"/>
              </w:rPr>
            </w:pPr>
            <w:r>
              <w:rPr>
                <w:rFonts w:ascii="Arial" w:cs="Arial" w:eastAsia="Arial" w:hAnsi="Arial"/>
                <w:sz w:val="18"/>
                <w:szCs w:val="18"/>
                <w:color w:val="auto"/>
              </w:rPr>
              <w:t>12,986(i)</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gridSpan w:val="2"/>
          </w:tcPr>
          <w:p>
            <w:pPr>
              <w:jc w:val="right"/>
              <w:ind w:right="140"/>
              <w:spacing w:after="0"/>
              <w:rPr>
                <w:sz w:val="20"/>
                <w:szCs w:val="20"/>
                <w:color w:val="auto"/>
              </w:rPr>
            </w:pPr>
            <w:r>
              <w:rPr>
                <w:rFonts w:ascii="Arial" w:cs="Arial" w:eastAsia="Arial" w:hAnsi="Arial"/>
                <w:sz w:val="18"/>
                <w:szCs w:val="18"/>
                <w:color w:val="auto"/>
              </w:rPr>
              <w:t>133,800</w:t>
            </w: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85,250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85,250</w:t>
            </w:r>
          </w:p>
        </w:tc>
        <w:tc>
          <w:tcPr>
            <w:tcW w:w="0" w:type="dxa"/>
            <w:vAlign w:val="bottom"/>
          </w:tcPr>
          <w:p>
            <w:pPr>
              <w:spacing w:after="0"/>
              <w:rPr>
                <w:sz w:val="1"/>
                <w:szCs w:val="1"/>
                <w:color w:val="auto"/>
              </w:rPr>
            </w:pPr>
          </w:p>
        </w:tc>
      </w:tr>
      <w:tr>
        <w:trPr>
          <w:trHeight w:val="210"/>
        </w:trPr>
        <w:tc>
          <w:tcPr>
            <w:tcW w:w="3880" w:type="dxa"/>
            <w:vAlign w:val="bottom"/>
          </w:tcPr>
          <w:p>
            <w:pPr>
              <w:ind w:left="360"/>
              <w:spacing w:after="0"/>
              <w:rPr>
                <w:sz w:val="20"/>
                <w:szCs w:val="20"/>
                <w:color w:val="auto"/>
              </w:rPr>
            </w:pPr>
            <w:r>
              <w:rPr>
                <w:rFonts w:ascii="Arial" w:cs="Arial" w:eastAsia="Arial" w:hAnsi="Arial"/>
                <w:sz w:val="18"/>
                <w:szCs w:val="18"/>
                <w:color w:val="auto"/>
              </w:rPr>
              <w:t>Total current assets</w:t>
            </w:r>
          </w:p>
        </w:tc>
        <w:tc>
          <w:tcPr>
            <w:tcW w:w="7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1,256,710</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6,627</w:t>
            </w:r>
          </w:p>
        </w:tc>
        <w:tc>
          <w:tcPr>
            <w:tcW w:w="2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(171,046)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1,092,291</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210,427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6,532</w:t>
            </w: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216,959</w:t>
            </w:r>
          </w:p>
        </w:tc>
        <w:tc>
          <w:tcPr>
            <w:tcW w:w="0" w:type="dxa"/>
            <w:vAlign w:val="bottom"/>
          </w:tcPr>
          <w:p>
            <w:pPr>
              <w:spacing w:after="0"/>
              <w:rPr>
                <w:sz w:val="1"/>
                <w:szCs w:val="1"/>
                <w:color w:val="auto"/>
              </w:rPr>
            </w:pPr>
          </w:p>
        </w:tc>
      </w:tr>
      <w:tr>
        <w:trPr>
          <w:trHeight w:val="216"/>
        </w:trPr>
        <w:tc>
          <w:tcPr>
            <w:tcW w:w="3880" w:type="dxa"/>
            <w:vAlign w:val="bottom"/>
          </w:tcPr>
          <w:p>
            <w:pPr>
              <w:spacing w:after="0"/>
              <w:rPr>
                <w:sz w:val="20"/>
                <w:szCs w:val="20"/>
                <w:color w:val="auto"/>
              </w:rPr>
            </w:pPr>
            <w:r>
              <w:rPr>
                <w:rFonts w:ascii="Arial" w:cs="Arial" w:eastAsia="Arial" w:hAnsi="Arial"/>
                <w:sz w:val="18"/>
                <w:szCs w:val="18"/>
                <w:color w:val="auto"/>
              </w:rPr>
              <w:t>Goodwill</w:t>
            </w: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1,480,225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520" w:type="dxa"/>
            <w:vAlign w:val="bottom"/>
            <w:gridSpan w:val="2"/>
          </w:tcPr>
          <w:p>
            <w:pPr>
              <w:jc w:val="right"/>
              <w:ind w:right="220"/>
              <w:spacing w:after="0"/>
              <w:rPr>
                <w:sz w:val="20"/>
                <w:szCs w:val="20"/>
                <w:color w:val="auto"/>
              </w:rPr>
            </w:pPr>
            <w:r>
              <w:rPr>
                <w:rFonts w:ascii="Arial" w:cs="Arial" w:eastAsia="Arial" w:hAnsi="Arial"/>
                <w:sz w:val="18"/>
                <w:szCs w:val="18"/>
                <w:color w:val="auto"/>
              </w:rPr>
              <w:t>312</w:t>
            </w:r>
          </w:p>
        </w:tc>
        <w:tc>
          <w:tcPr>
            <w:tcW w:w="200" w:type="dxa"/>
            <w:vAlign w:val="bottom"/>
          </w:tcPr>
          <w:p>
            <w:pPr>
              <w:spacing w:after="0"/>
              <w:rPr>
                <w:sz w:val="18"/>
                <w:szCs w:val="18"/>
                <w:color w:val="auto"/>
              </w:rPr>
            </w:pPr>
          </w:p>
        </w:tc>
        <w:tc>
          <w:tcPr>
            <w:tcW w:w="1680" w:type="dxa"/>
            <w:vAlign w:val="bottom"/>
            <w:gridSpan w:val="2"/>
          </w:tcPr>
          <w:p>
            <w:pPr>
              <w:jc w:val="right"/>
              <w:ind w:right="100"/>
              <w:spacing w:after="0"/>
              <w:rPr>
                <w:sz w:val="20"/>
                <w:szCs w:val="20"/>
                <w:color w:val="auto"/>
              </w:rPr>
            </w:pPr>
            <w:r>
              <w:rPr>
                <w:rFonts w:ascii="Arial" w:cs="Arial" w:eastAsia="Arial" w:hAnsi="Arial"/>
                <w:sz w:val="18"/>
                <w:szCs w:val="18"/>
                <w:color w:val="auto"/>
              </w:rPr>
              <w:t>90,848(a)(e)</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gridSpan w:val="2"/>
          </w:tcPr>
          <w:p>
            <w:pPr>
              <w:jc w:val="right"/>
              <w:ind w:right="140"/>
              <w:spacing w:after="0"/>
              <w:rPr>
                <w:sz w:val="20"/>
                <w:szCs w:val="20"/>
                <w:color w:val="auto"/>
              </w:rPr>
            </w:pPr>
            <w:r>
              <w:rPr>
                <w:rFonts w:ascii="Arial" w:cs="Arial" w:eastAsia="Arial" w:hAnsi="Arial"/>
                <w:sz w:val="18"/>
                <w:szCs w:val="18"/>
                <w:color w:val="auto"/>
              </w:rPr>
              <w:t>1,571,385</w:t>
            </w:r>
          </w:p>
        </w:tc>
        <w:tc>
          <w:tcPr>
            <w:tcW w:w="0" w:type="dxa"/>
            <w:vAlign w:val="bottom"/>
          </w:tcPr>
          <w:p>
            <w:pPr>
              <w:spacing w:after="0"/>
              <w:rPr>
                <w:sz w:val="1"/>
                <w:szCs w:val="1"/>
                <w:color w:val="auto"/>
              </w:rPr>
            </w:pPr>
          </w:p>
        </w:tc>
      </w:tr>
      <w:tr>
        <w:trPr>
          <w:trHeight w:val="111"/>
        </w:trPr>
        <w:tc>
          <w:tcPr>
            <w:tcW w:w="3880" w:type="dxa"/>
            <w:vAlign w:val="bottom"/>
            <w:shd w:val="clear" w:color="auto" w:fill="CCEEFF"/>
          </w:tcPr>
          <w:p>
            <w:pPr>
              <w:spacing w:after="0"/>
              <w:rPr>
                <w:sz w:val="9"/>
                <w:szCs w:val="9"/>
                <w:color w:val="auto"/>
              </w:rPr>
            </w:pPr>
          </w:p>
        </w:tc>
        <w:tc>
          <w:tcPr>
            <w:tcW w:w="720" w:type="dxa"/>
            <w:vAlign w:val="bottom"/>
            <w:shd w:val="clear" w:color="auto" w:fill="CCEEFF"/>
          </w:tcPr>
          <w:p>
            <w:pPr>
              <w:spacing w:after="0"/>
              <w:rPr>
                <w:sz w:val="9"/>
                <w:szCs w:val="9"/>
                <w:color w:val="auto"/>
              </w:rPr>
            </w:pPr>
          </w:p>
        </w:tc>
        <w:tc>
          <w:tcPr>
            <w:tcW w:w="240" w:type="dxa"/>
            <w:vAlign w:val="bottom"/>
            <w:shd w:val="clear" w:color="auto" w:fill="CCEEFF"/>
          </w:tcPr>
          <w:p>
            <w:pPr>
              <w:spacing w:after="0"/>
              <w:rPr>
                <w:sz w:val="9"/>
                <w:szCs w:val="9"/>
                <w:color w:val="auto"/>
              </w:rPr>
            </w:pPr>
          </w:p>
        </w:tc>
        <w:tc>
          <w:tcPr>
            <w:tcW w:w="116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30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200" w:type="dxa"/>
            <w:vAlign w:val="bottom"/>
            <w:shd w:val="clear" w:color="auto" w:fill="CCEEFF"/>
          </w:tcPr>
          <w:p>
            <w:pPr>
              <w:spacing w:after="0"/>
              <w:rPr>
                <w:sz w:val="9"/>
                <w:szCs w:val="9"/>
                <w:color w:val="auto"/>
              </w:rPr>
            </w:pPr>
          </w:p>
        </w:tc>
        <w:tc>
          <w:tcPr>
            <w:tcW w:w="1180" w:type="dxa"/>
            <w:vAlign w:val="bottom"/>
            <w:shd w:val="clear" w:color="auto" w:fill="CCEEFF"/>
          </w:tcPr>
          <w:p>
            <w:pPr>
              <w:spacing w:after="0"/>
              <w:rPr>
                <w:sz w:val="9"/>
                <w:szCs w:val="9"/>
                <w:color w:val="auto"/>
              </w:rPr>
            </w:pPr>
          </w:p>
        </w:tc>
        <w:tc>
          <w:tcPr>
            <w:tcW w:w="5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240" w:type="dxa"/>
            <w:vAlign w:val="bottom"/>
            <w:shd w:val="clear" w:color="auto" w:fill="CCEEFF"/>
          </w:tcPr>
          <w:p>
            <w:pPr>
              <w:spacing w:after="0"/>
              <w:rPr>
                <w:sz w:val="9"/>
                <w:szCs w:val="9"/>
                <w:color w:val="auto"/>
              </w:rPr>
            </w:pPr>
          </w:p>
        </w:tc>
        <w:tc>
          <w:tcPr>
            <w:tcW w:w="1200" w:type="dxa"/>
            <w:vAlign w:val="bottom"/>
            <w:shd w:val="clear" w:color="auto" w:fill="CCEEFF"/>
          </w:tcPr>
          <w:p>
            <w:pPr>
              <w:spacing w:after="0"/>
              <w:rPr>
                <w:sz w:val="9"/>
                <w:szCs w:val="9"/>
                <w:color w:val="auto"/>
              </w:rPr>
            </w:pPr>
          </w:p>
        </w:tc>
        <w:tc>
          <w:tcPr>
            <w:tcW w:w="14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341" w:right="239" w:bottom="0" w:gutter="0" w:footer="0" w:header="0"/>
        </w:sectPr>
      </w:pPr>
    </w:p>
    <w:bookmarkStart w:id="8" w:name="page9"/>
    <w:bookmarkEnd w:id="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40,899</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123,300(f)</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164,199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52,700</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52,700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920" w:type="dxa"/>
            <w:vAlign w:val="bottom"/>
            <w:tcBorders>
              <w:top w:val="single" w:sz="8" w:color="CCEEFF"/>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assets</w:t>
            </w:r>
          </w:p>
        </w:tc>
        <w:tc>
          <w:tcPr>
            <w:tcW w:w="66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jc w:val="right"/>
              <w:ind w:right="22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3,040,961</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500" w:type="dxa"/>
            <w:vAlign w:val="bottom"/>
            <w:tcBorders>
              <w:top w:val="single" w:sz="8" w:color="auto"/>
              <w:bottom w:val="single" w:sz="8" w:color="auto"/>
            </w:tcBorders>
            <w:shd w:val="clear" w:color="auto" w:fill="CCEEFF"/>
          </w:tcPr>
          <w:p>
            <w:pPr>
              <w:jc w:val="right"/>
              <w:ind w:right="31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13,471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43,102</w:t>
            </w:r>
          </w:p>
        </w:tc>
        <w:tc>
          <w:tcPr>
            <w:tcW w:w="5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400" w:type="dxa"/>
            <w:vAlign w:val="bottom"/>
            <w:tcBorders>
              <w:top w:val="single" w:sz="8" w:color="auto"/>
              <w:bottom w:val="single" w:sz="8" w:color="auto"/>
            </w:tcBorders>
            <w:shd w:val="clear" w:color="auto" w:fill="CCEEFF"/>
          </w:tcPr>
          <w:p>
            <w:pPr>
              <w:jc w:val="right"/>
              <w:ind w:right="24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3,097,534</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9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Current liabilities:</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payable</w:t>
            </w:r>
          </w:p>
        </w:tc>
        <w:tc>
          <w:tcPr>
            <w:tcW w:w="1040" w:type="dxa"/>
            <w:vAlign w:val="bottom"/>
            <w:gridSpan w:val="2"/>
            <w:shd w:val="clear" w:color="auto" w:fill="CCEEFF"/>
          </w:tcPr>
          <w:p>
            <w:pPr>
              <w:jc w:val="right"/>
              <w:ind w:right="225"/>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139,674</w:t>
            </w:r>
          </w:p>
        </w:tc>
        <w:tc>
          <w:tcPr>
            <w:tcW w:w="58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jc w:val="right"/>
              <w:ind w:right="245"/>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139,674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Accrued liabilities</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54,060</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789</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2,131(d)</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56,980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4,150</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17,660</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17,660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15,840</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15,840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2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660" w:type="dxa"/>
            <w:vAlign w:val="bottom"/>
          </w:tcPr>
          <w:p>
            <w:pPr>
              <w:spacing w:after="0"/>
              <w:rPr>
                <w:sz w:val="18"/>
                <w:szCs w:val="18"/>
                <w:color w:val="auto"/>
              </w:rPr>
            </w:pPr>
          </w:p>
        </w:tc>
        <w:tc>
          <w:tcPr>
            <w:tcW w:w="38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231,384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789</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2,131</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234,304</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21,678</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21,678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63,841</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63,841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33,675</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33,675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660" w:type="dxa"/>
            <w:vAlign w:val="bottom"/>
            <w:tcBorders>
              <w:bottom w:val="single" w:sz="8" w:color="CCEEFF"/>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350,578</w:t>
            </w: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5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789</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2,131</w:t>
            </w:r>
          </w:p>
        </w:tc>
        <w:tc>
          <w:tcPr>
            <w:tcW w:w="5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40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353,498</w:t>
            </w: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9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Shareholders’ equity:</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Common stock</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564</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2(c)</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3,086,751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45,581(c)</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3,132,332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(1,966)</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(1,966)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Accumulated other comprehensive loss</w:t>
            </w: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(2,682)</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(2,682)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Retained earnings (accumulated deficit)</w:t>
            </w:r>
          </w:p>
        </w:tc>
        <w:tc>
          <w:tcPr>
            <w:tcW w:w="6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(392,284)</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12,682</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(4,612)(a)(h)</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(384,214)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660" w:type="dxa"/>
            <w:vAlign w:val="bottom"/>
            <w:tcBorders>
              <w:bottom w:val="single" w:sz="8" w:color="CCEEFF"/>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2,690,383</w:t>
            </w: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5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12,682</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40,971</w:t>
            </w:r>
          </w:p>
        </w:tc>
        <w:tc>
          <w:tcPr>
            <w:tcW w:w="5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40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2,744,036</w:t>
            </w: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9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660" w:type="dxa"/>
            <w:vAlign w:val="bottom"/>
            <w:tcBorders>
              <w:bottom w:val="single" w:sz="8" w:color="CCEEFF"/>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jc w:val="right"/>
              <w:ind w:right="225"/>
              <w:spacing w:after="0"/>
              <w:rPr>
                <w:sz w:val="20"/>
                <w:szCs w:val="20"/>
                <w:color w:val="auto"/>
              </w:rPr>
            </w:pPr>
            <w:r>
              <w:rPr>
                <w:rFonts w:ascii="Arial" w:cs="Arial" w:eastAsia="Arial" w:hAnsi="Arial"/>
                <w:sz w:val="15"/>
                <w:szCs w:val="15"/>
                <w:color w:val="auto"/>
                <w:w w:val="71"/>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3,040,961</w:t>
            </w:r>
          </w:p>
        </w:tc>
        <w:tc>
          <w:tcPr>
            <w:tcW w:w="14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ind w:right="31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13,471</w:t>
            </w:r>
          </w:p>
        </w:tc>
        <w:tc>
          <w:tcPr>
            <w:tcW w:w="1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43,102</w:t>
            </w:r>
          </w:p>
        </w:tc>
        <w:tc>
          <w:tcPr>
            <w:tcW w:w="54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ind w:right="245"/>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3,097,534</w:t>
            </w:r>
          </w:p>
        </w:tc>
        <w:tc>
          <w:tcPr>
            <w:tcW w:w="14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UNAUDITED PRO FORMA CONDENSED COMBINED CONSOLIDATED STATEMENT OF OPERATIONS OF MARVELL TECHNOLOGY GROUP LTD AND THE HARD DISK AND TAPE DRIVE CONTROLLER BUSINESS OF QLOGIC CORPORATION</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000" w:type="dxa"/>
            <w:vAlign w:val="bottom"/>
            <w:gridSpan w:val="6"/>
          </w:tcPr>
          <w:p>
            <w:pPr>
              <w:ind w:left="980"/>
              <w:spacing w:after="0"/>
              <w:rPr>
                <w:sz w:val="20"/>
                <w:szCs w:val="20"/>
                <w:color w:val="auto"/>
              </w:rPr>
            </w:pPr>
            <w:r>
              <w:rPr>
                <w:rFonts w:ascii="Arial" w:cs="Arial" w:eastAsia="Arial" w:hAnsi="Arial"/>
                <w:sz w:val="14"/>
                <w:szCs w:val="14"/>
                <w:b w:val="1"/>
                <w:bCs w:val="1"/>
                <w:color w:val="auto"/>
              </w:rPr>
              <w:t>Historical</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8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center"/>
              <w:ind w:right="320"/>
              <w:spacing w:after="0" w:line="119" w:lineRule="exact"/>
              <w:rPr>
                <w:sz w:val="20"/>
                <w:szCs w:val="20"/>
                <w:color w:val="auto"/>
              </w:rPr>
            </w:pPr>
            <w:r>
              <w:rPr>
                <w:rFonts w:ascii="Arial" w:cs="Arial" w:eastAsia="Arial" w:hAnsi="Arial"/>
                <w:sz w:val="13"/>
                <w:szCs w:val="13"/>
                <w:b w:val="1"/>
                <w:bCs w:val="1"/>
                <w:color w:val="auto"/>
              </w:rPr>
              <w:t>Marvell</w:t>
            </w:r>
          </w:p>
        </w:tc>
        <w:tc>
          <w:tcPr>
            <w:tcW w:w="12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tcPr>
          <w:p>
            <w:pPr>
              <w:jc w:val="center"/>
              <w:ind w:right="36"/>
              <w:spacing w:after="0" w:line="119" w:lineRule="exact"/>
              <w:rPr>
                <w:sz w:val="20"/>
                <w:szCs w:val="20"/>
                <w:color w:val="auto"/>
              </w:rPr>
            </w:pPr>
            <w:r>
              <w:rPr>
                <w:rFonts w:ascii="Arial" w:cs="Arial" w:eastAsia="Arial" w:hAnsi="Arial"/>
                <w:sz w:val="13"/>
                <w:szCs w:val="13"/>
                <w:b w:val="1"/>
                <w:bCs w:val="1"/>
                <w:color w:val="auto"/>
                <w:w w:val="96"/>
              </w:rPr>
              <w:t>QLogic Business</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3"/>
              </w:rPr>
              <w:t>Six Months</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3"/>
              </w:rPr>
              <w:t>Six Months</w:t>
            </w:r>
          </w:p>
        </w:tc>
        <w:tc>
          <w:tcPr>
            <w:tcW w:w="180" w:type="dxa"/>
            <w:vAlign w:val="bottom"/>
          </w:tcPr>
          <w:p>
            <w:pPr>
              <w:spacing w:after="0"/>
              <w:rPr>
                <w:sz w:val="12"/>
                <w:szCs w:val="12"/>
                <w:color w:val="auto"/>
              </w:rPr>
            </w:pPr>
          </w:p>
        </w:tc>
        <w:tc>
          <w:tcPr>
            <w:tcW w:w="152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97"/>
              </w:rPr>
              <w:t>Pro Forma</w:t>
            </w:r>
          </w:p>
        </w:tc>
        <w:tc>
          <w:tcPr>
            <w:tcW w:w="2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Ended</w:t>
            </w:r>
          </w:p>
        </w:tc>
        <w:tc>
          <w:tcPr>
            <w:tcW w:w="180" w:type="dxa"/>
            <w:vAlign w:val="bottom"/>
          </w:tcPr>
          <w:p>
            <w:pPr>
              <w:spacing w:after="0"/>
              <w:rPr>
                <w:sz w:val="12"/>
                <w:szCs w:val="12"/>
                <w:color w:val="auto"/>
              </w:rPr>
            </w:pPr>
          </w:p>
        </w:tc>
        <w:tc>
          <w:tcPr>
            <w:tcW w:w="15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240" w:type="dxa"/>
            <w:vAlign w:val="bottom"/>
            <w:gridSpan w:val="3"/>
            <w:vMerge w:val="restart"/>
          </w:tcPr>
          <w:p>
            <w:pPr>
              <w:ind w:left="12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July 30,</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October 2,</w:t>
            </w:r>
          </w:p>
        </w:tc>
        <w:tc>
          <w:tcPr>
            <w:tcW w:w="180" w:type="dxa"/>
            <w:vAlign w:val="bottom"/>
          </w:tcPr>
          <w:p>
            <w:pPr>
              <w:spacing w:after="0"/>
              <w:rPr>
                <w:sz w:val="12"/>
                <w:szCs w:val="12"/>
                <w:color w:val="auto"/>
              </w:rPr>
            </w:pPr>
          </w:p>
        </w:tc>
        <w:tc>
          <w:tcPr>
            <w:tcW w:w="152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4"/>
              </w:rPr>
              <w:t>Adjustments</w:t>
            </w:r>
          </w:p>
        </w:tc>
        <w:tc>
          <w:tcPr>
            <w:tcW w:w="22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60" w:type="dxa"/>
            <w:vAlign w:val="bottom"/>
          </w:tcPr>
          <w:p>
            <w:pPr>
              <w:jc w:val="center"/>
              <w:ind w:right="114"/>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60" w:type="dxa"/>
            <w:vAlign w:val="bottom"/>
          </w:tcPr>
          <w:p>
            <w:pPr>
              <w:jc w:val="center"/>
              <w:ind w:right="56"/>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2"/>
              </w:rPr>
              <w:t>(Note 3)</w:t>
            </w:r>
          </w:p>
        </w:tc>
        <w:tc>
          <w:tcPr>
            <w:tcW w:w="220" w:type="dxa"/>
            <w:vAlign w:val="bottom"/>
          </w:tcPr>
          <w:p>
            <w:pPr>
              <w:spacing w:after="0"/>
              <w:rPr>
                <w:sz w:val="14"/>
                <w:szCs w:val="14"/>
                <w:color w:val="auto"/>
              </w:rPr>
            </w:pPr>
          </w:p>
        </w:tc>
        <w:tc>
          <w:tcPr>
            <w:tcW w:w="1240" w:type="dxa"/>
            <w:vAlign w:val="bottom"/>
            <w:gridSpan w:val="3"/>
          </w:tcPr>
          <w:p>
            <w:pPr>
              <w:ind w:left="140"/>
              <w:spacing w:after="0"/>
              <w:rPr>
                <w:sz w:val="20"/>
                <w:szCs w:val="20"/>
                <w:color w:val="auto"/>
              </w:rPr>
            </w:pPr>
            <w:r>
              <w:rPr>
                <w:rFonts w:ascii="Arial" w:cs="Arial" w:eastAsia="Arial" w:hAnsi="Arial"/>
                <w:sz w:val="14"/>
                <w:szCs w:val="14"/>
                <w:b w:val="1"/>
                <w:bCs w:val="1"/>
                <w:color w:val="auto"/>
              </w:rPr>
              <w:t>Combined</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4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Borders>
              <w:top w:val="single" w:sz="8" w:color="auto"/>
            </w:tcBorders>
          </w:tcPr>
          <w:p>
            <w:pPr>
              <w:spacing w:after="0"/>
              <w:rPr>
                <w:sz w:val="15"/>
                <w:szCs w:val="15"/>
                <w:color w:val="auto"/>
              </w:rPr>
            </w:pPr>
          </w:p>
        </w:tc>
        <w:tc>
          <w:tcPr>
            <w:tcW w:w="116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3180" w:type="dxa"/>
            <w:vAlign w:val="bottom"/>
            <w:tcBorders>
              <w:top w:val="single" w:sz="8" w:color="auto"/>
            </w:tcBorders>
            <w:gridSpan w:val="5"/>
          </w:tcPr>
          <w:p>
            <w:pPr>
              <w:jc w:val="right"/>
              <w:ind w:right="340"/>
              <w:spacing w:after="0"/>
              <w:rPr>
                <w:sz w:val="20"/>
                <w:szCs w:val="20"/>
                <w:color w:val="auto"/>
              </w:rPr>
            </w:pPr>
            <w:r>
              <w:rPr>
                <w:rFonts w:ascii="Arial" w:cs="Arial" w:eastAsia="Arial" w:hAnsi="Arial"/>
                <w:sz w:val="14"/>
                <w:szCs w:val="14"/>
                <w:b w:val="1"/>
                <w:bCs w:val="1"/>
                <w:color w:val="auto"/>
                <w:w w:val="91"/>
              </w:rPr>
              <w:t>(in thousands, except for per share amounts)</w:t>
            </w:r>
          </w:p>
        </w:tc>
        <w:tc>
          <w:tcPr>
            <w:tcW w:w="220" w:type="dxa"/>
            <w:vAlign w:val="bottom"/>
            <w:tcBorders>
              <w:top w:val="single" w:sz="8" w:color="auto"/>
            </w:tcBorders>
          </w:tcPr>
          <w:p>
            <w:pPr>
              <w:spacing w:after="0"/>
              <w:rPr>
                <w:sz w:val="15"/>
                <w:szCs w:val="15"/>
                <w:color w:val="auto"/>
              </w:rPr>
            </w:pPr>
          </w:p>
        </w:tc>
        <w:tc>
          <w:tcPr>
            <w:tcW w:w="114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4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81,492</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836,716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Operating expenses:</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 (1)</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358,890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34,546</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393,436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rPr>
              <w:t>Research and development (1)</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145,062</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6,900</w:t>
            </w: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151,962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 (1)</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42,264</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2,545</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44,809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rPr>
              <w:t>General and administrative (1)</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15,078</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533</w:t>
            </w: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15,611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stock-based compensation</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1,388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w w:val="96"/>
              </w:rPr>
              <w:t>Amortization/write-off of acquired intangible assets and other</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39,512</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520" w:type="dxa"/>
            <w:vAlign w:val="bottom"/>
            <w:gridSpan w:val="2"/>
          </w:tcPr>
          <w:p>
            <w:pPr>
              <w:jc w:val="right"/>
              <w:ind w:right="40"/>
              <w:spacing w:after="0"/>
              <w:rPr>
                <w:sz w:val="20"/>
                <w:szCs w:val="20"/>
                <w:color w:val="auto"/>
              </w:rPr>
            </w:pPr>
            <w:r>
              <w:rPr>
                <w:rFonts w:ascii="Arial" w:cs="Arial" w:eastAsia="Arial" w:hAnsi="Arial"/>
                <w:sz w:val="18"/>
                <w:szCs w:val="18"/>
                <w:color w:val="auto"/>
              </w:rPr>
              <w:t>30,850(g)</w:t>
            </w:r>
          </w:p>
        </w:tc>
        <w:tc>
          <w:tcPr>
            <w:tcW w:w="22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70,362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operating expenses</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602,194</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12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44,524</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30,850</w:t>
            </w: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677,568</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Operating income</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153,030</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36,968</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(30,850)</w:t>
            </w: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159,148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(2,236)(j)</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5,760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2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161,026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36,968</w:t>
            </w:r>
          </w:p>
        </w:tc>
        <w:tc>
          <w:tcPr>
            <w:tcW w:w="22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(33,086)</w:t>
            </w:r>
          </w:p>
        </w:tc>
        <w:tc>
          <w:tcPr>
            <w:tcW w:w="34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164,908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20,192</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20,192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8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200" w:type="dxa"/>
            <w:vAlign w:val="bottom"/>
          </w:tcPr>
          <w:p>
            <w:pPr>
              <w:spacing w:after="0"/>
              <w:rPr>
                <w:sz w:val="18"/>
                <w:szCs w:val="18"/>
                <w:color w:val="auto"/>
              </w:rPr>
            </w:pP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140,834</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36,968</w:t>
            </w:r>
          </w:p>
        </w:tc>
        <w:tc>
          <w:tcPr>
            <w:tcW w:w="220" w:type="dxa"/>
            <w:vAlign w:val="bottom"/>
          </w:tcPr>
          <w:p>
            <w:pPr>
              <w:spacing w:after="0"/>
              <w:rPr>
                <w:sz w:val="18"/>
                <w:szCs w:val="18"/>
                <w:color w:val="auto"/>
              </w:rPr>
            </w:pPr>
          </w:p>
        </w:tc>
        <w:tc>
          <w:tcPr>
            <w:tcW w:w="180" w:type="dxa"/>
            <w:vAlign w:val="bottom"/>
            <w:tcBorders>
              <w:top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(33,086</w:t>
            </w:r>
          </w:p>
        </w:tc>
        <w:tc>
          <w:tcPr>
            <w:tcW w:w="340" w:type="dxa"/>
            <w:vAlign w:val="bottom"/>
          </w:tcPr>
          <w:p>
            <w:pPr>
              <w:jc w:val="right"/>
              <w:ind w:right="20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144,716</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8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2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vMerge w:val="continue"/>
          </w:tcPr>
          <w:p>
            <w:pPr>
              <w:spacing w:after="0"/>
              <w:rPr>
                <w:sz w:val="19"/>
                <w:szCs w:val="19"/>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Basic net income per share</w:t>
            </w:r>
          </w:p>
        </w:tc>
        <w:tc>
          <w:tcPr>
            <w:tcW w:w="4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0.50</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0.52</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Diluted net income per share</w:t>
            </w: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6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1180" w:type="dxa"/>
            <w:vAlign w:val="bottom"/>
            <w:tcBorders>
              <w:top w:val="single" w:sz="8" w:color="CCEEFF"/>
              <w:bottom w:val="single" w:sz="8" w:color="CCEEFF"/>
            </w:tcBorders>
            <w:shd w:val="clear" w:color="auto" w:fill="CCEEFF"/>
          </w:tcPr>
          <w:p>
            <w:pPr>
              <w:spacing w:after="0"/>
              <w:rPr>
                <w:sz w:val="19"/>
                <w:szCs w:val="19"/>
                <w:color w:val="auto"/>
              </w:rPr>
            </w:pPr>
          </w:p>
        </w:tc>
        <w:tc>
          <w:tcPr>
            <w:tcW w:w="34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0.46</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279,855</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980</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280,835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Weighted average shares — diluted</w:t>
            </w:r>
          </w:p>
        </w:tc>
        <w:tc>
          <w:tcPr>
            <w:tcW w:w="20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311,921</w:t>
            </w: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6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980</w:t>
            </w:r>
          </w:p>
        </w:tc>
        <w:tc>
          <w:tcPr>
            <w:tcW w:w="34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312,901</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(1)  Excludes amortization of stock-based compensation</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80"/>
              <w:spacing w:after="0"/>
              <w:rPr>
                <w:sz w:val="20"/>
                <w:szCs w:val="20"/>
                <w:color w:val="auto"/>
              </w:rPr>
            </w:pPr>
            <w:r>
              <w:rPr>
                <w:rFonts w:ascii="Arial" w:cs="Arial" w:eastAsia="Arial" w:hAnsi="Arial"/>
                <w:sz w:val="18"/>
                <w:szCs w:val="18"/>
                <w:color w:val="auto"/>
              </w:rPr>
              <w:t>Cost of goods sold</w:t>
            </w:r>
          </w:p>
        </w:tc>
        <w:tc>
          <w:tcPr>
            <w:tcW w:w="4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879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879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80"/>
              <w:spacing w:after="0"/>
              <w:rPr>
                <w:sz w:val="20"/>
                <w:szCs w:val="20"/>
                <w:color w:val="auto"/>
              </w:rPr>
            </w:pPr>
            <w:r>
              <w:rPr>
                <w:rFonts w:ascii="Arial" w:cs="Arial" w:eastAsia="Arial" w:hAnsi="Arial"/>
                <w:sz w:val="18"/>
                <w:szCs w:val="18"/>
                <w:color w:val="auto"/>
              </w:rPr>
              <w:t>Selling and marketing</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268</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268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80"/>
              <w:spacing w:after="0"/>
              <w:rPr>
                <w:sz w:val="20"/>
                <w:szCs w:val="20"/>
                <w:color w:val="auto"/>
              </w:rPr>
            </w:pPr>
            <w:r>
              <w:rPr>
                <w:rFonts w:ascii="Arial" w:cs="Arial" w:eastAsia="Arial" w:hAnsi="Arial"/>
                <w:sz w:val="18"/>
                <w:szCs w:val="18"/>
                <w:color w:val="auto"/>
              </w:rPr>
              <w:t>General and administrative</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1,388</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1,388</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ectPr>
          <w:pgSz w:w="11900" w:h="16838" w:orient="portrait"/>
          <w:cols w:equalWidth="0" w:num="1">
            <w:col w:w="11420"/>
          </w:cols>
          <w:pgMar w:left="240" w:top="140" w:right="239" w:bottom="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87630</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40" w:right="239" w:bottom="0" w:gutter="0" w:footer="0" w:header="0"/>
          <w:type w:val="continuous"/>
        </w:sectPr>
      </w:pPr>
    </w:p>
    <w:bookmarkStart w:id="9" w:name="page10"/>
    <w:bookmarkEnd w:id="9"/>
    <w:p>
      <w:pPr>
        <w:spacing w:after="0" w:line="11"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UNAUDITED PRO FORMA CONDENSED COMBINED CONSOLIDATED STATEMENT OF OPERATIONS OF MARVELL TECHNOLOGY GROUP LTD AND THE HARD DISK AND TAPE DRIVE CONTROLLER BUSINESS OF QLOGIC CORPORATION</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000" w:type="dxa"/>
            <w:vAlign w:val="bottom"/>
            <w:gridSpan w:val="6"/>
          </w:tcPr>
          <w:p>
            <w:pPr>
              <w:ind w:left="980"/>
              <w:spacing w:after="0"/>
              <w:rPr>
                <w:sz w:val="20"/>
                <w:szCs w:val="20"/>
                <w:color w:val="auto"/>
              </w:rPr>
            </w:pPr>
            <w:r>
              <w:rPr>
                <w:rFonts w:ascii="Arial" w:cs="Arial" w:eastAsia="Arial" w:hAnsi="Arial"/>
                <w:sz w:val="14"/>
                <w:szCs w:val="14"/>
                <w:b w:val="1"/>
                <w:bCs w:val="1"/>
                <w:color w:val="auto"/>
              </w:rPr>
              <w:t>Historical</w:t>
            </w: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8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center"/>
              <w:ind w:right="320"/>
              <w:spacing w:after="0" w:line="119" w:lineRule="exact"/>
              <w:rPr>
                <w:sz w:val="20"/>
                <w:szCs w:val="20"/>
                <w:color w:val="auto"/>
              </w:rPr>
            </w:pPr>
            <w:r>
              <w:rPr>
                <w:rFonts w:ascii="Arial" w:cs="Arial" w:eastAsia="Arial" w:hAnsi="Arial"/>
                <w:sz w:val="13"/>
                <w:szCs w:val="13"/>
                <w:b w:val="1"/>
                <w:bCs w:val="1"/>
                <w:color w:val="auto"/>
              </w:rPr>
              <w:t>Marvell</w:t>
            </w:r>
          </w:p>
        </w:tc>
        <w:tc>
          <w:tcPr>
            <w:tcW w:w="12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tcPr>
          <w:p>
            <w:pPr>
              <w:jc w:val="center"/>
              <w:ind w:right="36"/>
              <w:spacing w:after="0" w:line="119" w:lineRule="exact"/>
              <w:rPr>
                <w:sz w:val="20"/>
                <w:szCs w:val="20"/>
                <w:color w:val="auto"/>
              </w:rPr>
            </w:pPr>
            <w:r>
              <w:rPr>
                <w:rFonts w:ascii="Arial" w:cs="Arial" w:eastAsia="Arial" w:hAnsi="Arial"/>
                <w:sz w:val="13"/>
                <w:szCs w:val="13"/>
                <w:b w:val="1"/>
                <w:bCs w:val="1"/>
                <w:color w:val="auto"/>
                <w:w w:val="96"/>
              </w:rPr>
              <w:t>QLogic Business</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2"/>
              </w:rPr>
              <w:t>Year</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Year</w:t>
            </w:r>
          </w:p>
        </w:tc>
        <w:tc>
          <w:tcPr>
            <w:tcW w:w="180" w:type="dxa"/>
            <w:vAlign w:val="bottom"/>
          </w:tcPr>
          <w:p>
            <w:pPr>
              <w:spacing w:after="0"/>
              <w:rPr>
                <w:sz w:val="12"/>
                <w:szCs w:val="12"/>
                <w:color w:val="auto"/>
              </w:rPr>
            </w:pPr>
          </w:p>
        </w:tc>
        <w:tc>
          <w:tcPr>
            <w:tcW w:w="152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97"/>
              </w:rPr>
              <w:t>Pro Forma</w:t>
            </w:r>
          </w:p>
        </w:tc>
        <w:tc>
          <w:tcPr>
            <w:tcW w:w="2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Ended</w:t>
            </w:r>
          </w:p>
        </w:tc>
        <w:tc>
          <w:tcPr>
            <w:tcW w:w="180" w:type="dxa"/>
            <w:vAlign w:val="bottom"/>
          </w:tcPr>
          <w:p>
            <w:pPr>
              <w:spacing w:after="0"/>
              <w:rPr>
                <w:sz w:val="12"/>
                <w:szCs w:val="12"/>
                <w:color w:val="auto"/>
              </w:rPr>
            </w:pPr>
          </w:p>
        </w:tc>
        <w:tc>
          <w:tcPr>
            <w:tcW w:w="15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24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January 29,</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rPr>
              <w:t>April 3,</w:t>
            </w:r>
          </w:p>
        </w:tc>
        <w:tc>
          <w:tcPr>
            <w:tcW w:w="180" w:type="dxa"/>
            <w:vAlign w:val="bottom"/>
          </w:tcPr>
          <w:p>
            <w:pPr>
              <w:spacing w:after="0"/>
              <w:rPr>
                <w:sz w:val="12"/>
                <w:szCs w:val="12"/>
                <w:color w:val="auto"/>
              </w:rPr>
            </w:pPr>
          </w:p>
        </w:tc>
        <w:tc>
          <w:tcPr>
            <w:tcW w:w="152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4"/>
              </w:rPr>
              <w:t>Adjustments</w:t>
            </w:r>
          </w:p>
        </w:tc>
        <w:tc>
          <w:tcPr>
            <w:tcW w:w="22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60" w:type="dxa"/>
            <w:vAlign w:val="bottom"/>
          </w:tcPr>
          <w:p>
            <w:pPr>
              <w:jc w:val="center"/>
              <w:ind w:right="115"/>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60" w:type="dxa"/>
            <w:vAlign w:val="bottom"/>
          </w:tcPr>
          <w:p>
            <w:pPr>
              <w:jc w:val="center"/>
              <w:ind w:right="56"/>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2"/>
              </w:rPr>
              <w:t>(Note 3)</w:t>
            </w:r>
          </w:p>
        </w:tc>
        <w:tc>
          <w:tcPr>
            <w:tcW w:w="220" w:type="dxa"/>
            <w:vAlign w:val="bottom"/>
          </w:tcPr>
          <w:p>
            <w:pPr>
              <w:spacing w:after="0"/>
              <w:rPr>
                <w:sz w:val="14"/>
                <w:szCs w:val="14"/>
                <w:color w:val="auto"/>
              </w:rPr>
            </w:pPr>
          </w:p>
        </w:tc>
        <w:tc>
          <w:tcPr>
            <w:tcW w:w="1240" w:type="dxa"/>
            <w:vAlign w:val="bottom"/>
            <w:gridSpan w:val="2"/>
          </w:tcPr>
          <w:p>
            <w:pPr>
              <w:ind w:left="140"/>
              <w:spacing w:after="0"/>
              <w:rPr>
                <w:sz w:val="20"/>
                <w:szCs w:val="20"/>
                <w:color w:val="auto"/>
              </w:rPr>
            </w:pPr>
            <w:r>
              <w:rPr>
                <w:rFonts w:ascii="Arial" w:cs="Arial" w:eastAsia="Arial" w:hAnsi="Arial"/>
                <w:sz w:val="14"/>
                <w:szCs w:val="14"/>
                <w:b w:val="1"/>
                <w:bCs w:val="1"/>
                <w:color w:val="auto"/>
              </w:rPr>
              <w:t>Combined</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4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Borders>
              <w:top w:val="single" w:sz="8" w:color="auto"/>
            </w:tcBorders>
          </w:tcPr>
          <w:p>
            <w:pPr>
              <w:spacing w:after="0"/>
              <w:rPr>
                <w:sz w:val="15"/>
                <w:szCs w:val="15"/>
                <w:color w:val="auto"/>
              </w:rPr>
            </w:pPr>
          </w:p>
        </w:tc>
        <w:tc>
          <w:tcPr>
            <w:tcW w:w="116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3180" w:type="dxa"/>
            <w:vAlign w:val="bottom"/>
            <w:tcBorders>
              <w:top w:val="single" w:sz="8" w:color="auto"/>
            </w:tcBorders>
            <w:gridSpan w:val="5"/>
          </w:tcPr>
          <w:p>
            <w:pPr>
              <w:jc w:val="right"/>
              <w:ind w:right="340"/>
              <w:spacing w:after="0"/>
              <w:rPr>
                <w:sz w:val="20"/>
                <w:szCs w:val="20"/>
                <w:color w:val="auto"/>
              </w:rPr>
            </w:pPr>
            <w:r>
              <w:rPr>
                <w:rFonts w:ascii="Arial" w:cs="Arial" w:eastAsia="Arial" w:hAnsi="Arial"/>
                <w:sz w:val="14"/>
                <w:szCs w:val="14"/>
                <w:b w:val="1"/>
                <w:bCs w:val="1"/>
                <w:color w:val="auto"/>
                <w:w w:val="91"/>
              </w:rPr>
              <w:t>(in thousands, except for per share amounts)</w:t>
            </w:r>
          </w:p>
        </w:tc>
        <w:tc>
          <w:tcPr>
            <w:tcW w:w="220" w:type="dxa"/>
            <w:vAlign w:val="bottom"/>
            <w:tcBorders>
              <w:top w:val="single" w:sz="8" w:color="auto"/>
            </w:tcBorders>
          </w:tcPr>
          <w:p>
            <w:pPr>
              <w:spacing w:after="0"/>
              <w:rPr>
                <w:sz w:val="15"/>
                <w:szCs w:val="15"/>
                <w:color w:val="auto"/>
              </w:rPr>
            </w:pPr>
          </w:p>
        </w:tc>
        <w:tc>
          <w:tcPr>
            <w:tcW w:w="1140" w:type="dxa"/>
            <w:vAlign w:val="bottom"/>
            <w:tcBorders>
              <w:top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20" w:type="dxa"/>
            <w:vAlign w:val="bottom"/>
            <w:vMerge w:val="restart"/>
          </w:tcPr>
          <w:p>
            <w:pPr>
              <w:spacing w:after="0"/>
              <w:rPr>
                <w:sz w:val="15"/>
                <w:szCs w:val="15"/>
                <w:color w:val="auto"/>
              </w:rPr>
            </w:pPr>
          </w:p>
        </w:tc>
        <w:tc>
          <w:tcPr>
            <w:tcW w:w="4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143,185</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1,367,765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Operating expenses:</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 (1)</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581,757</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57,247</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639,004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rPr>
              <w:t>Research and development (1)</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263,261</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14,441</w:t>
            </w: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277,702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 (1)</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76,570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4,894</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rPr>
              <w:t>General and administrative (1)</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32,220</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1,241</w:t>
            </w: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33,461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stock-based compensation</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3,977</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w w:val="96"/>
              </w:rPr>
              <w:t>Amortization/write-off of acquired intangible assets and other</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102,534</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520" w:type="dxa"/>
            <w:vAlign w:val="bottom"/>
            <w:gridSpan w:val="2"/>
          </w:tcPr>
          <w:p>
            <w:pPr>
              <w:jc w:val="right"/>
              <w:ind w:right="40"/>
              <w:spacing w:after="0"/>
              <w:rPr>
                <w:sz w:val="20"/>
                <w:szCs w:val="20"/>
                <w:color w:val="auto"/>
              </w:rPr>
            </w:pPr>
            <w:r>
              <w:rPr>
                <w:rFonts w:ascii="Arial" w:cs="Arial" w:eastAsia="Arial" w:hAnsi="Arial"/>
                <w:sz w:val="18"/>
                <w:szCs w:val="18"/>
                <w:color w:val="auto"/>
              </w:rPr>
              <w:t>61,700(g)</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164,234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Facilities consolidation</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20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1,062,733</w:t>
            </w: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77,823</w:t>
            </w:r>
          </w:p>
        </w:tc>
        <w:tc>
          <w:tcPr>
            <w:tcW w:w="22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61,700</w:t>
            </w:r>
          </w:p>
        </w:tc>
        <w:tc>
          <w:tcPr>
            <w:tcW w:w="34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1,202,256</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161,847</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65,362</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(61,700)</w:t>
            </w: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165,509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7,657</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520" w:type="dxa"/>
            <w:vAlign w:val="bottom"/>
            <w:gridSpan w:val="2"/>
          </w:tcPr>
          <w:p>
            <w:pPr>
              <w:jc w:val="right"/>
              <w:ind w:right="20"/>
              <w:spacing w:after="0"/>
              <w:rPr>
                <w:sz w:val="20"/>
                <w:szCs w:val="20"/>
                <w:color w:val="auto"/>
              </w:rPr>
            </w:pPr>
            <w:r>
              <w:rPr>
                <w:rFonts w:ascii="Arial" w:cs="Arial" w:eastAsia="Arial" w:hAnsi="Arial"/>
                <w:sz w:val="18"/>
                <w:szCs w:val="18"/>
                <w:color w:val="auto"/>
              </w:rPr>
              <w:t>(3,121)(j)</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4,536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169,504</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65,362</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(64,821)</w:t>
            </w: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170,045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27,843</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27,843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141,661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65,362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(64,821</w:t>
            </w:r>
          </w:p>
        </w:tc>
        <w:tc>
          <w:tcPr>
            <w:tcW w:w="340" w:type="dxa"/>
            <w:vAlign w:val="bottom"/>
            <w:tcBorders>
              <w:top w:val="single" w:sz="8" w:color="CCEEFF"/>
              <w:bottom w:val="single" w:sz="8" w:color="CCEEFF"/>
            </w:tcBorders>
            <w:shd w:val="clear" w:color="auto" w:fill="CCEEFF"/>
          </w:tcPr>
          <w:p>
            <w:pPr>
              <w:jc w:val="right"/>
              <w:ind w:right="20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142,202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0.53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shd w:val="clear" w:color="auto" w:fill="CCEEFF"/>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220" w:type="dxa"/>
            <w:vAlign w:val="bottom"/>
            <w:tcBorders>
              <w:bottom w:val="single" w:sz="8" w:color="auto"/>
            </w:tcBorders>
            <w:shd w:val="clear" w:color="auto" w:fill="000000"/>
          </w:tcPr>
          <w:p>
            <w:pPr>
              <w:spacing w:after="0" w:line="20" w:lineRule="exact"/>
              <w:rPr>
                <w:sz w:val="1"/>
                <w:szCs w:val="1"/>
                <w:color w:val="auto"/>
              </w:rPr>
            </w:pPr>
          </w:p>
        </w:tc>
        <w:tc>
          <w:tcPr>
            <w:tcW w:w="1160" w:type="dxa"/>
            <w:vAlign w:val="bottom"/>
            <w:tcBorders>
              <w:bottom w:val="single" w:sz="8" w:color="auto"/>
            </w:tcBorders>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60" w:type="dxa"/>
            <w:vAlign w:val="bottom"/>
            <w:shd w:val="clear" w:color="auto" w:fill="CCEEFF"/>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80" w:type="dxa"/>
            <w:vAlign w:val="bottom"/>
            <w:shd w:val="clear" w:color="auto" w:fill="CCEEFF"/>
          </w:tcPr>
          <w:p>
            <w:pPr>
              <w:spacing w:after="0" w:line="20" w:lineRule="exact"/>
              <w:rPr>
                <w:sz w:val="1"/>
                <w:szCs w:val="1"/>
                <w:color w:val="auto"/>
              </w:rPr>
            </w:pPr>
          </w:p>
        </w:tc>
        <w:tc>
          <w:tcPr>
            <w:tcW w:w="1180" w:type="dxa"/>
            <w:vAlign w:val="bottom"/>
            <w:shd w:val="clear" w:color="auto" w:fill="CCEEFF"/>
          </w:tcPr>
          <w:p>
            <w:pPr>
              <w:spacing w:after="0" w:line="20" w:lineRule="exact"/>
              <w:rPr>
                <w:sz w:val="1"/>
                <w:szCs w:val="1"/>
                <w:color w:val="auto"/>
              </w:rPr>
            </w:pPr>
          </w:p>
        </w:tc>
        <w:tc>
          <w:tcPr>
            <w:tcW w:w="340" w:type="dxa"/>
            <w:vAlign w:val="bottom"/>
            <w:shd w:val="clear" w:color="auto" w:fill="CCEEFF"/>
          </w:tcPr>
          <w:p>
            <w:pPr>
              <w:spacing w:after="0" w:line="20" w:lineRule="exact"/>
              <w:rPr>
                <w:sz w:val="1"/>
                <w:szCs w:val="1"/>
                <w:color w:val="auto"/>
              </w:rPr>
            </w:pPr>
          </w:p>
        </w:tc>
        <w:tc>
          <w:tcPr>
            <w:tcW w:w="220" w:type="dxa"/>
            <w:vAlign w:val="bottom"/>
            <w:tcBorders>
              <w:bottom w:val="single" w:sz="8" w:color="auto"/>
            </w:tcBorders>
            <w:shd w:val="clear" w:color="auto" w:fill="000000"/>
          </w:tcPr>
          <w:p>
            <w:pPr>
              <w:spacing w:after="0" w:line="20" w:lineRule="exact"/>
              <w:rPr>
                <w:sz w:val="1"/>
                <w:szCs w:val="1"/>
                <w:color w:val="auto"/>
              </w:rPr>
            </w:pPr>
          </w:p>
        </w:tc>
        <w:tc>
          <w:tcPr>
            <w:tcW w:w="114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40" w:type="dxa"/>
            <w:vAlign w:val="bottom"/>
            <w:gridSpan w:val="2"/>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200" w:type="dxa"/>
            <w:vAlign w:val="bottom"/>
          </w:tcPr>
          <w:p>
            <w:pPr>
              <w:spacing w:after="0"/>
              <w:rPr>
                <w:sz w:val="18"/>
                <w:szCs w:val="18"/>
                <w:color w:val="auto"/>
              </w:rPr>
            </w:pPr>
          </w:p>
        </w:tc>
        <w:tc>
          <w:tcPr>
            <w:tcW w:w="220" w:type="dxa"/>
            <w:vAlign w:val="bottom"/>
          </w:tcPr>
          <w:p>
            <w:pPr>
              <w:jc w:val="right"/>
              <w:ind w:right="30"/>
              <w:spacing w:after="0" w:line="203" w:lineRule="exact"/>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line="203" w:lineRule="exact"/>
              <w:rPr>
                <w:sz w:val="20"/>
                <w:szCs w:val="20"/>
                <w:color w:val="auto"/>
              </w:rPr>
            </w:pPr>
            <w:r>
              <w:rPr>
                <w:rFonts w:ascii="Arial" w:cs="Arial" w:eastAsia="Arial" w:hAnsi="Arial"/>
                <w:sz w:val="18"/>
                <w:szCs w:val="18"/>
                <w:color w:val="auto"/>
              </w:rPr>
              <w:t>0.47</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jc w:val="right"/>
              <w:ind w:right="30"/>
              <w:spacing w:after="0" w:line="203" w:lineRule="exact"/>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line="203" w:lineRule="exact"/>
              <w:rPr>
                <w:sz w:val="20"/>
                <w:szCs w:val="20"/>
                <w:color w:val="auto"/>
              </w:rPr>
            </w:pPr>
            <w:r>
              <w:rPr>
                <w:rFonts w:ascii="Arial" w:cs="Arial" w:eastAsia="Arial" w:hAnsi="Arial"/>
                <w:sz w:val="18"/>
                <w:szCs w:val="18"/>
                <w:color w:val="auto"/>
              </w:rPr>
              <w:t>0.47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8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18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269,687</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980</w:t>
            </w:r>
          </w:p>
        </w:tc>
        <w:tc>
          <w:tcPr>
            <w:tcW w:w="22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270,667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299,012</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980</w:t>
            </w: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299,992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ind w:left="400" w:hanging="392"/>
        <w:spacing w:after="0"/>
        <w:tabs>
          <w:tab w:leader="none" w:pos="40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Excludes amortization of stock-based compensation</w:t>
      </w:r>
    </w:p>
    <w:p>
      <w:pPr>
        <w:spacing w:after="0" w:line="29" w:lineRule="exact"/>
        <w:rPr>
          <w:sz w:val="20"/>
          <w:szCs w:val="20"/>
          <w:color w:val="auto"/>
        </w:rPr>
      </w:pPr>
    </w:p>
    <w:tbl>
      <w:tblPr>
        <w:tblLayout w:type="fixed"/>
        <w:tblInd w:w="0" w:type="dxa"/>
        <w:tblCellMar>
          <w:top w:w="0" w:type="dxa"/>
          <w:left w:w="0" w:type="dxa"/>
          <w:bottom w:w="0" w:type="dxa"/>
          <w:right w:w="0" w:type="dxa"/>
        </w:tblCellMar>
      </w:tblPr>
      <w:tr>
        <w:trPr>
          <w:trHeight w:val="196"/>
        </w:trPr>
        <w:tc>
          <w:tcPr>
            <w:tcW w:w="370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35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3700" w:type="dxa"/>
            <w:vAlign w:val="bottom"/>
          </w:tcPr>
          <w:p>
            <w:pPr>
              <w:ind w:left="400"/>
              <w:spacing w:after="0"/>
              <w:rPr>
                <w:sz w:val="20"/>
                <w:szCs w:val="20"/>
                <w:color w:val="auto"/>
              </w:rPr>
            </w:pPr>
            <w:r>
              <w:rPr>
                <w:rFonts w:ascii="Arial" w:cs="Arial" w:eastAsia="Arial" w:hAnsi="Arial"/>
                <w:sz w:val="18"/>
                <w:szCs w:val="18"/>
                <w:color w:val="auto"/>
              </w:rPr>
              <w:t>Cost of goods sold</w:t>
            </w:r>
          </w:p>
        </w:tc>
        <w:tc>
          <w:tcPr>
            <w:tcW w:w="1880" w:type="dxa"/>
            <w:vAlign w:val="bottom"/>
            <w:gridSpan w:val="2"/>
          </w:tcPr>
          <w:p>
            <w:pPr>
              <w:jc w:val="right"/>
              <w:ind w:right="35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85</w:t>
            </w:r>
          </w:p>
        </w:tc>
        <w:tc>
          <w:tcPr>
            <w:tcW w:w="3540" w:type="dxa"/>
            <w:vAlign w:val="bottom"/>
          </w:tcPr>
          <w:p>
            <w:pPr>
              <w:spacing w:after="0"/>
              <w:rPr>
                <w:sz w:val="18"/>
                <w:szCs w:val="18"/>
                <w:color w:val="auto"/>
              </w:rPr>
            </w:pPr>
          </w:p>
        </w:tc>
        <w:tc>
          <w:tcPr>
            <w:tcW w:w="520" w:type="dxa"/>
            <w:vAlign w:val="bottom"/>
          </w:tcPr>
          <w:p>
            <w:pPr>
              <w:jc w:val="right"/>
              <w:ind w:right="33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85</w:t>
            </w:r>
          </w:p>
        </w:tc>
        <w:tc>
          <w:tcPr>
            <w:tcW w:w="80" w:type="dxa"/>
            <w:vAlign w:val="bottom"/>
          </w:tcPr>
          <w:p>
            <w:pPr>
              <w:spacing w:after="0"/>
              <w:rPr>
                <w:sz w:val="18"/>
                <w:szCs w:val="18"/>
                <w:color w:val="auto"/>
              </w:rPr>
            </w:pPr>
          </w:p>
        </w:tc>
      </w:tr>
      <w:tr>
        <w:trPr>
          <w:trHeight w:val="216"/>
        </w:trPr>
        <w:tc>
          <w:tcPr>
            <w:tcW w:w="3700" w:type="dxa"/>
            <w:vAlign w:val="bottom"/>
            <w:shd w:val="clear" w:color="auto" w:fill="CCEEFF"/>
          </w:tcPr>
          <w:p>
            <w:pPr>
              <w:ind w:left="400"/>
              <w:spacing w:after="0"/>
              <w:rPr>
                <w:sz w:val="20"/>
                <w:szCs w:val="20"/>
                <w:color w:val="auto"/>
              </w:rPr>
            </w:pPr>
            <w:r>
              <w:rPr>
                <w:rFonts w:ascii="Arial" w:cs="Arial" w:eastAsia="Arial" w:hAnsi="Arial"/>
                <w:sz w:val="18"/>
                <w:szCs w:val="18"/>
                <w:color w:val="auto"/>
              </w:rPr>
              <w:t>Research and development</w:t>
            </w:r>
          </w:p>
        </w:tc>
        <w:tc>
          <w:tcPr>
            <w:tcW w:w="13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2,473</w:t>
            </w:r>
          </w:p>
        </w:tc>
        <w:tc>
          <w:tcPr>
            <w:tcW w:w="35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2,473</w:t>
            </w:r>
          </w:p>
        </w:tc>
        <w:tc>
          <w:tcPr>
            <w:tcW w:w="80" w:type="dxa"/>
            <w:vAlign w:val="bottom"/>
            <w:shd w:val="clear" w:color="auto" w:fill="CCEEFF"/>
          </w:tcPr>
          <w:p>
            <w:pPr>
              <w:spacing w:after="0"/>
              <w:rPr>
                <w:sz w:val="18"/>
                <w:szCs w:val="18"/>
                <w:color w:val="auto"/>
              </w:rPr>
            </w:pPr>
          </w:p>
        </w:tc>
      </w:tr>
      <w:tr>
        <w:trPr>
          <w:trHeight w:val="216"/>
        </w:trPr>
        <w:tc>
          <w:tcPr>
            <w:tcW w:w="3700" w:type="dxa"/>
            <w:vAlign w:val="bottom"/>
          </w:tcPr>
          <w:p>
            <w:pPr>
              <w:ind w:left="400"/>
              <w:spacing w:after="0"/>
              <w:rPr>
                <w:sz w:val="20"/>
                <w:szCs w:val="20"/>
                <w:color w:val="auto"/>
              </w:rPr>
            </w:pPr>
            <w:r>
              <w:rPr>
                <w:rFonts w:ascii="Arial" w:cs="Arial" w:eastAsia="Arial" w:hAnsi="Arial"/>
                <w:sz w:val="18"/>
                <w:szCs w:val="18"/>
                <w:color w:val="auto"/>
              </w:rPr>
              <w:t>Selling and marketing</w:t>
            </w:r>
          </w:p>
        </w:tc>
        <w:tc>
          <w:tcPr>
            <w:tcW w:w="1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380" w:type="dxa"/>
            <w:vAlign w:val="bottom"/>
            <w:gridSpan w:val="2"/>
          </w:tcPr>
          <w:p>
            <w:pPr>
              <w:jc w:val="right"/>
              <w:ind w:right="3540"/>
              <w:spacing w:after="0"/>
              <w:rPr>
                <w:sz w:val="20"/>
                <w:szCs w:val="20"/>
                <w:color w:val="auto"/>
              </w:rPr>
            </w:pPr>
            <w:r>
              <w:rPr>
                <w:rFonts w:ascii="Arial" w:cs="Arial" w:eastAsia="Arial" w:hAnsi="Arial"/>
                <w:sz w:val="18"/>
                <w:szCs w:val="18"/>
                <w:color w:val="auto"/>
              </w:rPr>
              <w:t>462</w:t>
            </w:r>
          </w:p>
        </w:tc>
        <w:tc>
          <w:tcPr>
            <w:tcW w:w="52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462</w:t>
            </w:r>
          </w:p>
        </w:tc>
        <w:tc>
          <w:tcPr>
            <w:tcW w:w="80" w:type="dxa"/>
            <w:vAlign w:val="bottom"/>
          </w:tcPr>
          <w:p>
            <w:pPr>
              <w:spacing w:after="0"/>
              <w:rPr>
                <w:sz w:val="18"/>
                <w:szCs w:val="18"/>
                <w:color w:val="auto"/>
              </w:rPr>
            </w:pPr>
          </w:p>
        </w:tc>
      </w:tr>
      <w:tr>
        <w:trPr>
          <w:trHeight w:val="216"/>
        </w:trPr>
        <w:tc>
          <w:tcPr>
            <w:tcW w:w="3700" w:type="dxa"/>
            <w:vAlign w:val="bottom"/>
            <w:shd w:val="clear" w:color="auto" w:fill="CCEEFF"/>
          </w:tcPr>
          <w:p>
            <w:pPr>
              <w:ind w:left="400"/>
              <w:spacing w:after="0"/>
              <w:rPr>
                <w:sz w:val="20"/>
                <w:szCs w:val="20"/>
                <w:color w:val="auto"/>
              </w:rPr>
            </w:pPr>
            <w:r>
              <w:rPr>
                <w:rFonts w:ascii="Arial" w:cs="Arial" w:eastAsia="Arial" w:hAnsi="Arial"/>
                <w:sz w:val="18"/>
                <w:szCs w:val="18"/>
                <w:color w:val="auto"/>
              </w:rPr>
              <w:t>General and administrative</w:t>
            </w:r>
          </w:p>
        </w:tc>
        <w:tc>
          <w:tcPr>
            <w:tcW w:w="13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380" w:type="dxa"/>
            <w:vAlign w:val="bottom"/>
            <w:gridSpan w:val="2"/>
            <w:shd w:val="clear" w:color="auto" w:fill="CCEEFF"/>
          </w:tcPr>
          <w:p>
            <w:pPr>
              <w:jc w:val="right"/>
              <w:ind w:right="3540"/>
              <w:spacing w:after="0"/>
              <w:rPr>
                <w:sz w:val="20"/>
                <w:szCs w:val="20"/>
                <w:color w:val="auto"/>
              </w:rPr>
            </w:pPr>
            <w:r>
              <w:rPr>
                <w:rFonts w:ascii="Arial" w:cs="Arial" w:eastAsia="Arial" w:hAnsi="Arial"/>
                <w:sz w:val="18"/>
                <w:szCs w:val="18"/>
                <w:color w:val="auto"/>
              </w:rPr>
              <w:t>957</w:t>
            </w:r>
          </w:p>
        </w:tc>
        <w:tc>
          <w:tcPr>
            <w:tcW w:w="5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957</w:t>
            </w:r>
          </w:p>
        </w:tc>
        <w:tc>
          <w:tcPr>
            <w:tcW w:w="80" w:type="dxa"/>
            <w:vAlign w:val="bottom"/>
            <w:shd w:val="clear" w:color="auto" w:fill="CCEEFF"/>
          </w:tcPr>
          <w:p>
            <w:pPr>
              <w:spacing w:after="0"/>
              <w:rPr>
                <w:sz w:val="18"/>
                <w:szCs w:val="18"/>
                <w:color w:val="auto"/>
              </w:rPr>
            </w:pPr>
          </w:p>
        </w:tc>
      </w:tr>
      <w:tr>
        <w:trPr>
          <w:trHeight w:val="217"/>
        </w:trPr>
        <w:tc>
          <w:tcPr>
            <w:tcW w:w="37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540" w:type="dxa"/>
            <w:vAlign w:val="bottom"/>
            <w:tcBorders>
              <w:top w:val="single" w:sz="8" w:color="auto"/>
              <w:bottom w:val="single" w:sz="8" w:color="auto"/>
            </w:tcBorders>
          </w:tcPr>
          <w:p>
            <w:pPr>
              <w:jc w:val="right"/>
              <w:ind w:right="35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3,977</w:t>
            </w:r>
          </w:p>
        </w:tc>
        <w:tc>
          <w:tcPr>
            <w:tcW w:w="3540" w:type="dxa"/>
            <w:vAlign w:val="bottom"/>
          </w:tcPr>
          <w:p>
            <w:pPr>
              <w:spacing w:after="0"/>
              <w:rPr>
                <w:sz w:val="18"/>
                <w:szCs w:val="18"/>
                <w:color w:val="auto"/>
              </w:rPr>
            </w:pPr>
          </w:p>
        </w:tc>
        <w:tc>
          <w:tcPr>
            <w:tcW w:w="520" w:type="dxa"/>
            <w:vAlign w:val="bottom"/>
            <w:tcBorders>
              <w:top w:val="single" w:sz="8" w:color="auto"/>
              <w:bottom w:val="single" w:sz="8" w:color="auto"/>
            </w:tcBorders>
          </w:tcPr>
          <w:p>
            <w:pPr>
              <w:jc w:val="right"/>
              <w:ind w:right="3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3,977</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NOTES TO UNAUDITED PRO FORMA CONDENSED COMBINED CONSOLIDATED FINANCIAL STATEMENTS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Basis of presentation</w:t>
      </w:r>
    </w:p>
    <w:p>
      <w:pPr>
        <w:spacing w:after="0" w:line="229" w:lineRule="exact"/>
        <w:rPr>
          <w:sz w:val="20"/>
          <w:szCs w:val="20"/>
          <w:color w:val="auto"/>
        </w:rPr>
      </w:pPr>
    </w:p>
    <w:p>
      <w:pPr>
        <w:ind w:right="80" w:firstLine="259"/>
        <w:spacing w:after="0" w:line="270" w:lineRule="auto"/>
        <w:rPr>
          <w:sz w:val="20"/>
          <w:szCs w:val="20"/>
          <w:color w:val="auto"/>
        </w:rPr>
      </w:pPr>
      <w:r>
        <w:rPr>
          <w:rFonts w:ascii="Arial" w:cs="Arial" w:eastAsia="Arial" w:hAnsi="Arial"/>
          <w:sz w:val="17"/>
          <w:szCs w:val="17"/>
          <w:color w:val="auto"/>
        </w:rPr>
        <w:t>The following unaudited pro forma condensed combined consolidated financial information gives the effect to the acquisition of the hard disk and tape drive controller business (the “Business”) of QLogic Corporation (“QLogic”) by Marvell Technology Group Ltd. (“Marvell”). The acquisition will be accounted for using the purchase method of accounting in accordance with Statement of Financial Accounting Standards No. 141, “Business Combinations.” Under the purchase method of accounting, the total estimated purchase price, calculated as described in Note 2 to these unaudited pro forma condensed combined consolidated financial statements, is allocated to the net tangible and intangible assets of the Business acquired in connection with the asset purchase agreement (“APA”), based on the fair values as of the completion of the acquisition. Management has estimated the fair value of assets acquired from the Business. In determining these fair values, management has considered the net realizable value attributable to net tangible and intangible assets of the Business. Management’s final valuation of the fair value of assets acquired was based on the actual net tangible and intangible assets of the Business that exist as of the date of the completion of the acquisition.</w:t>
      </w:r>
    </w:p>
    <w:p>
      <w:pPr>
        <w:spacing w:after="0" w:line="182" w:lineRule="exact"/>
        <w:rPr>
          <w:sz w:val="20"/>
          <w:szCs w:val="20"/>
          <w:color w:val="auto"/>
        </w:rPr>
      </w:pPr>
    </w:p>
    <w:p>
      <w:pPr>
        <w:ind w:right="40" w:firstLine="259"/>
        <w:spacing w:after="0" w:line="287" w:lineRule="auto"/>
        <w:rPr>
          <w:sz w:val="20"/>
          <w:szCs w:val="20"/>
          <w:color w:val="auto"/>
        </w:rPr>
      </w:pPr>
      <w:r>
        <w:rPr>
          <w:rFonts w:ascii="Arial" w:cs="Arial" w:eastAsia="Arial" w:hAnsi="Arial"/>
          <w:sz w:val="16"/>
          <w:szCs w:val="16"/>
          <w:color w:val="auto"/>
        </w:rPr>
        <w:t>The Business was not operated as a stand-alone business, but was an integrated part of QLogic’s consolidated business. As such, no separate audited financial statements of the Business have ever been prepared and QLogic has not maintained the distinct and separate accounts necessary to prepare the full financial statements of the Business. The statements of net assets to be sold include only the specific assets and liabilities related to the Business that were sold to Marvell. The statements of direct revenues and direct operating expenses include the net revenues and operating expenses directly attributable to the development, manufacture, sale and distribution of the products comprising the Business. Direct expenses included in the accompanying financial statements also include an allocation of certain engineering and development costs attributable to the design of the products comprising the Business. QLogic management believes that the allocations are reasonable; however, these allocated expenses are not necessarily indicative of costs that would be incurred on a stand-alone basis due to economies of scale, differences in management judgment, a requirement for more or fewer employees, and other factors. Future results of operations and financial position could differ materially from the historical amounts presented herein. The statements of direct revenues and direct operating expenses of the Business do not include interest income, income taxes or any other indirect expenses not noted above. Complete financial statements for the Business were not prepared as the Business was not maintained as a separate reporting unit and therefore it was impracticable to prepare full financial statements as required by Rule 3-05 of Regulation S-X.</w:t>
      </w:r>
    </w:p>
    <w:p>
      <w:pPr>
        <w:sectPr>
          <w:pgSz w:w="11900" w:h="16849" w:orient="portrait"/>
          <w:cols w:equalWidth="0" w:num="1">
            <w:col w:w="11420"/>
          </w:cols>
          <w:pgMar w:left="240" w:top="580" w:right="239" w:bottom="0" w:gutter="0" w:footer="0" w:header="0"/>
        </w:sectPr>
      </w:pPr>
    </w:p>
    <w:bookmarkStart w:id="10" w:name="page11"/>
    <w:bookmarkEnd w:id="10"/>
    <w:p>
      <w:pPr>
        <w:ind w:left="260"/>
        <w:spacing w:after="0"/>
        <w:rPr>
          <w:sz w:val="20"/>
          <w:szCs w:val="20"/>
          <w:color w:val="auto"/>
        </w:rPr>
      </w:pPr>
      <w:r>
        <w:rPr>
          <w:rFonts w:ascii="Arial" w:cs="Arial" w:eastAsia="Arial" w:hAnsi="Arial"/>
          <w:sz w:val="17"/>
          <w:szCs w:val="17"/>
          <w:color w:val="auto"/>
        </w:rPr>
        <w:t>The unaudited pro forma condensed combined consolidated balance sheet as of July 30, 2005 gives the effect to the acquisition as if it occurred on</w:t>
      </w:r>
    </w:p>
    <w:p>
      <w:pPr>
        <w:spacing w:after="0" w:line="35" w:lineRule="exact"/>
        <w:rPr>
          <w:sz w:val="20"/>
          <w:szCs w:val="20"/>
          <w:color w:val="auto"/>
        </w:rPr>
      </w:pPr>
    </w:p>
    <w:p>
      <w:pPr>
        <w:ind w:right="20"/>
        <w:spacing w:after="0" w:line="295" w:lineRule="auto"/>
        <w:rPr>
          <w:sz w:val="20"/>
          <w:szCs w:val="20"/>
          <w:color w:val="auto"/>
        </w:rPr>
      </w:pPr>
      <w:r>
        <w:rPr>
          <w:rFonts w:ascii="Arial" w:cs="Arial" w:eastAsia="Arial" w:hAnsi="Arial"/>
          <w:sz w:val="16"/>
          <w:szCs w:val="16"/>
          <w:color w:val="auto"/>
        </w:rPr>
        <w:t>July 30, 2005 and, due to the different fiscal period ends, combines the historical balance sheet of Marvell at July 30, 2005 and the condensed statement of net assets to be sold of the Business at October 2, 2005. The Marvell consolidated balance sheet information was derived from its unaudited July 30, 2005 consolidated balance sheet included in its Quarterly Report on 10-Q for the fiscal quarter ended July 30, 2005. The statement of net assets to be sold of the Business included therein was derived from the unaudited condensed statement of net assets to be sold of the Business as of October 2, 2005 included herein.</w:t>
      </w:r>
    </w:p>
    <w:p>
      <w:pPr>
        <w:spacing w:after="0" w:line="162"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The unaudited pro forma condensed combined consolidated statement of operations for the six months ended July 30, 2005 and year ended January 29, 2005 are presented as if the transaction was consummated on February 1, 2004 and, due to different fiscal period ends, combines the historical results of Marvell for the six months ended July 30, 2005 and year ended January 29, 2005 and the historical results of the Business for the six months ended October 2, 2005 and year ended April 3, 2005. The results of Marvell’s consolidated statement of operations for the six months ended July 30, 2005 were derived from its unaudited statement of operations included in its Quarterly Reports on Form 10-Q for the fiscal quarter ended July 30, 2005 and the results of the Marvell’s consolidated statement of operations for the year ended January 29, 2005 were derived from its Annual Report on Form 10-K for the fiscal year ended January 29, 2005. The statement of direct revenues and direct operating expenses of the Business for the six months ended October 2, 2005 were derived from the unaudited financial statements included herein and the statement of direct revenues and direct operating expenses of the Business for the year ended April 3, 2005 were derived from the audited financial statements included herein.</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firstLine="259"/>
        <w:spacing w:after="0" w:line="272" w:lineRule="auto"/>
        <w:rPr>
          <w:sz w:val="20"/>
          <w:szCs w:val="20"/>
          <w:color w:val="auto"/>
        </w:rPr>
      </w:pPr>
      <w:r>
        <w:rPr>
          <w:rFonts w:ascii="Arial" w:cs="Arial" w:eastAsia="Arial" w:hAnsi="Arial"/>
          <w:sz w:val="17"/>
          <w:szCs w:val="17"/>
          <w:color w:val="auto"/>
        </w:rPr>
        <w:t>The unaudited pro forma condensed combined financial statements have been prepared by Marvell management for illustrative purposes only and is not necessarily indicative of the condensed consolidating financial position or the results of operations in future periods or the results that actually would have been realized had Marvell and the Business been a combined company during the specified periods. The pro forma adjustments are based on the information available at the time of the preparation of this statement. The unaudited pro forma condensed combined consolidated financial statements, including any notes thereto, are qualified in their entirety by reference to, and should be read in conjunction with, the historical consolidated financial statements of Marvell included in its Form 10-K for the fiscal year ended January 29, 2005 filed with the Securities and Exchange Commission and Form 10-Q for the fiscal quarter ended July 30, 2005 filed with the Securities and Exchange Commission.</w:t>
      </w:r>
    </w:p>
    <w:p>
      <w:pPr>
        <w:spacing w:after="0" w:line="178" w:lineRule="exact"/>
        <w:rPr>
          <w:sz w:val="20"/>
          <w:szCs w:val="20"/>
          <w:color w:val="auto"/>
        </w:rPr>
      </w:pPr>
    </w:p>
    <w:p>
      <w:pPr>
        <w:ind w:right="700" w:firstLine="259"/>
        <w:spacing w:after="0" w:line="342" w:lineRule="auto"/>
        <w:rPr>
          <w:sz w:val="20"/>
          <w:szCs w:val="20"/>
          <w:color w:val="auto"/>
        </w:rPr>
      </w:pPr>
      <w:r>
        <w:rPr>
          <w:rFonts w:ascii="Arial" w:cs="Arial" w:eastAsia="Arial" w:hAnsi="Arial"/>
          <w:sz w:val="16"/>
          <w:szCs w:val="16"/>
          <w:color w:val="auto"/>
        </w:rPr>
        <w:t>Marvell acquired certain assets and intellectual property of QLogic. The acquired Business designs and supplies controller chips for data storage peripherals, such as hard disk and tape drives. The products are marketed and distributed primarily to original equipment manufacturers.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Purchase price allocation</w:t>
      </w:r>
    </w:p>
    <w:p>
      <w:pPr>
        <w:spacing w:after="0" w:line="229" w:lineRule="exact"/>
        <w:rPr>
          <w:sz w:val="20"/>
          <w:szCs w:val="20"/>
          <w:color w:val="auto"/>
        </w:rPr>
      </w:pPr>
    </w:p>
    <w:p>
      <w:pPr>
        <w:ind w:right="160" w:firstLine="259"/>
        <w:spacing w:after="0" w:line="264" w:lineRule="auto"/>
        <w:rPr>
          <w:sz w:val="20"/>
          <w:szCs w:val="20"/>
          <w:color w:val="auto"/>
        </w:rPr>
      </w:pPr>
      <w:r>
        <w:rPr>
          <w:rFonts w:ascii="Arial" w:cs="Arial" w:eastAsia="Arial" w:hAnsi="Arial"/>
          <w:sz w:val="18"/>
          <w:szCs w:val="18"/>
          <w:color w:val="auto"/>
        </w:rPr>
        <w:t>On November 4, 2005, Marvell acquired the hard disk and tape drive controller semiconductor business (the “Business”) of QLogic Corporation. Under terms of the agreement, Marvell issued a combination of $184.0 million in cash and 980,499 shares of its common stock valued at $45.6 million for total consideration of $229.6 million.</w:t>
      </w:r>
    </w:p>
    <w:p>
      <w:pPr>
        <w:spacing w:after="0" w:line="181" w:lineRule="exact"/>
        <w:rPr>
          <w:sz w:val="20"/>
          <w:szCs w:val="20"/>
          <w:color w:val="auto"/>
        </w:rPr>
      </w:pPr>
    </w:p>
    <w:p>
      <w:pPr>
        <w:ind w:right="460" w:firstLine="259"/>
        <w:spacing w:after="0" w:line="277" w:lineRule="auto"/>
        <w:rPr>
          <w:sz w:val="20"/>
          <w:szCs w:val="20"/>
          <w:color w:val="auto"/>
        </w:rPr>
      </w:pPr>
      <w:r>
        <w:rPr>
          <w:rFonts w:ascii="Arial" w:cs="Arial" w:eastAsia="Arial" w:hAnsi="Arial"/>
          <w:sz w:val="18"/>
          <w:szCs w:val="18"/>
          <w:color w:val="auto"/>
        </w:rPr>
        <w:t>The preliminary estimated purchase price of the Business is estimated to be approximately $232.5 million, which has been determined as follows (in 000’s):</w:t>
      </w:r>
    </w:p>
    <w:p>
      <w:pPr>
        <w:spacing w:after="0" w:line="185" w:lineRule="exact"/>
        <w:rPr>
          <w:sz w:val="20"/>
          <w:szCs w:val="20"/>
          <w:color w:val="auto"/>
        </w:rPr>
      </w:pPr>
    </w:p>
    <w:tbl>
      <w:tblPr>
        <w:tblLayout w:type="fixed"/>
        <w:tblInd w:w="660" w:type="dxa"/>
        <w:tblCellMar>
          <w:top w:w="0" w:type="dxa"/>
          <w:left w:w="0" w:type="dxa"/>
          <w:bottom w:w="0" w:type="dxa"/>
          <w:right w:w="0" w:type="dxa"/>
        </w:tblCellMar>
      </w:tblPr>
      <w:tr>
        <w:trPr>
          <w:trHeight w:val="216"/>
        </w:trPr>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184,032</w:t>
            </w:r>
          </w:p>
        </w:tc>
        <w:tc>
          <w:tcPr>
            <w:tcW w:w="120" w:type="dxa"/>
            <w:vAlign w:val="bottom"/>
            <w:shd w:val="clear" w:color="auto" w:fill="CCEEFF"/>
          </w:tcPr>
          <w:p>
            <w:pPr>
              <w:spacing w:after="0"/>
              <w:rPr>
                <w:sz w:val="18"/>
                <w:szCs w:val="18"/>
                <w:color w:val="auto"/>
              </w:rPr>
            </w:pPr>
          </w:p>
        </w:tc>
      </w:tr>
      <w:tr>
        <w:trPr>
          <w:trHeight w:val="216"/>
        </w:trPr>
        <w:tc>
          <w:tcPr>
            <w:tcW w:w="8240" w:type="dxa"/>
            <w:vAlign w:val="bottom"/>
          </w:tcPr>
          <w:p>
            <w:pPr>
              <w:spacing w:after="0"/>
              <w:rPr>
                <w:sz w:val="20"/>
                <w:szCs w:val="20"/>
                <w:color w:val="auto"/>
              </w:rPr>
            </w:pPr>
            <w:r>
              <w:rPr>
                <w:rFonts w:ascii="Arial" w:cs="Arial" w:eastAsia="Arial" w:hAnsi="Arial"/>
                <w:sz w:val="18"/>
                <w:szCs w:val="18"/>
                <w:color w:val="auto"/>
              </w:rPr>
              <w:t>Value of Marvell common stock issued</w:t>
            </w:r>
          </w:p>
        </w:tc>
        <w:tc>
          <w:tcPr>
            <w:tcW w:w="4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45,583</w:t>
            </w:r>
          </w:p>
        </w:tc>
      </w:tr>
      <w:tr>
        <w:trPr>
          <w:trHeight w:val="216"/>
        </w:trPr>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Estimated transaction costs</w:t>
            </w:r>
          </w:p>
        </w:tc>
        <w:tc>
          <w:tcPr>
            <w:tcW w:w="4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120" w:type="dxa"/>
            <w:vAlign w:val="bottom"/>
            <w:shd w:val="clear" w:color="auto" w:fill="CCEEFF"/>
          </w:tcPr>
          <w:p>
            <w:pPr>
              <w:spacing w:after="0"/>
              <w:rPr>
                <w:sz w:val="18"/>
                <w:szCs w:val="18"/>
                <w:color w:val="auto"/>
              </w:rPr>
            </w:pPr>
          </w:p>
        </w:tc>
      </w:tr>
      <w:tr>
        <w:trPr>
          <w:trHeight w:val="217"/>
        </w:trPr>
        <w:tc>
          <w:tcPr>
            <w:tcW w:w="8240" w:type="dxa"/>
            <w:vAlign w:val="bottom"/>
          </w:tcPr>
          <w:p>
            <w:pPr>
              <w:ind w:left="360"/>
              <w:spacing w:after="0"/>
              <w:rPr>
                <w:sz w:val="20"/>
                <w:szCs w:val="20"/>
                <w:color w:val="auto"/>
              </w:rPr>
            </w:pPr>
            <w:r>
              <w:rPr>
                <w:rFonts w:ascii="Arial" w:cs="Arial" w:eastAsia="Arial" w:hAnsi="Arial"/>
                <w:sz w:val="18"/>
                <w:szCs w:val="18"/>
                <w:color w:val="auto"/>
              </w:rPr>
              <w:t>Total estimated purchase price</w:t>
            </w:r>
          </w:p>
        </w:tc>
        <w:tc>
          <w:tcPr>
            <w:tcW w:w="420" w:type="dxa"/>
            <w:vAlign w:val="bottom"/>
            <w:tcBorders>
              <w:bottom w:val="single" w:sz="8" w:color="auto"/>
            </w:tcBorders>
          </w:tcPr>
          <w:p>
            <w:pPr>
              <w:jc w:val="right"/>
              <w:ind w:right="2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232,535</w:t>
            </w:r>
          </w:p>
        </w:tc>
        <w:tc>
          <w:tcPr>
            <w:tcW w:w="120" w:type="dxa"/>
            <w:vAlign w:val="bottom"/>
          </w:tcPr>
          <w:p>
            <w:pPr>
              <w:spacing w:after="0"/>
              <w:rPr>
                <w:sz w:val="18"/>
                <w:szCs w:val="18"/>
                <w:color w:val="auto"/>
              </w:rPr>
            </w:pPr>
          </w:p>
        </w:tc>
      </w:tr>
    </w:tbl>
    <w:p>
      <w:pPr>
        <w:spacing w:after="0" w:line="202" w:lineRule="exact"/>
        <w:rPr>
          <w:sz w:val="20"/>
          <w:szCs w:val="20"/>
          <w:color w:val="auto"/>
        </w:rPr>
      </w:pPr>
    </w:p>
    <w:p>
      <w:pPr>
        <w:ind w:right="460" w:firstLine="259"/>
        <w:spacing w:after="0" w:line="277" w:lineRule="auto"/>
        <w:rPr>
          <w:sz w:val="20"/>
          <w:szCs w:val="20"/>
          <w:color w:val="auto"/>
        </w:rPr>
      </w:pPr>
      <w:r>
        <w:rPr>
          <w:rFonts w:ascii="Arial" w:cs="Arial" w:eastAsia="Arial" w:hAnsi="Arial"/>
          <w:sz w:val="18"/>
          <w:szCs w:val="18"/>
          <w:color w:val="auto"/>
        </w:rPr>
        <w:t>The value of the 980,499 shares of Marvell common stock issued was determined based on the average price of Marvell common stock over a 5-day period including the two days before and after August 29, 2005 (the announcement date), or $46.49 per share.</w:t>
      </w:r>
    </w:p>
    <w:p>
      <w:pPr>
        <w:spacing w:after="0" w:line="170"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Under the purchase method of accounting, the total estimated purchase price as shown in the table is allocated to the Business’ net tangible and intangible assets based on their estimated fair values as of the date of the completion of the acquisition. Based on management estimates of the fair values acquired as described in the introduction to these unaudited pro forma condensed combined consolidated financial statements, the preliminary estimated purchase price allocation is as follows (in 000’s):</w:t>
      </w:r>
    </w:p>
    <w:p>
      <w:pPr>
        <w:spacing w:after="0" w:line="201" w:lineRule="exact"/>
        <w:rPr>
          <w:sz w:val="20"/>
          <w:szCs w:val="20"/>
          <w:color w:val="auto"/>
        </w:rPr>
      </w:pPr>
    </w:p>
    <w:tbl>
      <w:tblPr>
        <w:tblLayout w:type="fixed"/>
        <w:tblInd w:w="660" w:type="dxa"/>
        <w:tblCellMar>
          <w:top w:w="0" w:type="dxa"/>
          <w:left w:w="0" w:type="dxa"/>
          <w:bottom w:w="0" w:type="dxa"/>
          <w:right w:w="0" w:type="dxa"/>
        </w:tblCellMar>
      </w:tblPr>
      <w:tr>
        <w:trPr>
          <w:trHeight w:val="216"/>
        </w:trPr>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25,215</w:t>
            </w:r>
          </w:p>
        </w:tc>
      </w:tr>
      <w:tr>
        <w:trPr>
          <w:trHeight w:val="216"/>
        </w:trPr>
        <w:tc>
          <w:tcPr>
            <w:tcW w:w="824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4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42,700</w:t>
            </w:r>
          </w:p>
        </w:tc>
      </w:tr>
      <w:tr>
        <w:trPr>
          <w:trHeight w:val="216"/>
        </w:trPr>
        <w:tc>
          <w:tcPr>
            <w:tcW w:w="824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4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26,400</w:t>
            </w:r>
          </w:p>
        </w:tc>
      </w:tr>
      <w:tr>
        <w:trPr>
          <w:trHeight w:val="216"/>
        </w:trPr>
        <w:tc>
          <w:tcPr>
            <w:tcW w:w="8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54,200</w:t>
            </w:r>
          </w:p>
        </w:tc>
      </w:tr>
      <w:tr>
        <w:trPr>
          <w:trHeight w:val="216"/>
        </w:trPr>
        <w:tc>
          <w:tcPr>
            <w:tcW w:w="8240" w:type="dxa"/>
            <w:vAlign w:val="bottom"/>
          </w:tcPr>
          <w:p>
            <w:pPr>
              <w:spacing w:after="0"/>
              <w:rPr>
                <w:sz w:val="20"/>
                <w:szCs w:val="20"/>
                <w:color w:val="auto"/>
              </w:rPr>
            </w:pPr>
            <w:r>
              <w:rPr>
                <w:rFonts w:ascii="Arial" w:cs="Arial" w:eastAsia="Arial" w:hAnsi="Arial"/>
                <w:sz w:val="18"/>
                <w:szCs w:val="18"/>
                <w:color w:val="auto"/>
              </w:rPr>
              <w:t>In-process technology</w:t>
            </w:r>
          </w:p>
        </w:tc>
        <w:tc>
          <w:tcPr>
            <w:tcW w:w="4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4,300</w:t>
            </w:r>
          </w:p>
        </w:tc>
        <w:tc>
          <w:tcPr>
            <w:tcW w:w="120" w:type="dxa"/>
            <w:vAlign w:val="bottom"/>
          </w:tcPr>
          <w:p>
            <w:pPr>
              <w:spacing w:after="0"/>
              <w:rPr>
                <w:sz w:val="18"/>
                <w:szCs w:val="18"/>
                <w:color w:val="auto"/>
              </w:rPr>
            </w:pPr>
          </w:p>
        </w:tc>
      </w:tr>
      <w:tr>
        <w:trPr>
          <w:trHeight w:val="216"/>
        </w:trPr>
        <w:tc>
          <w:tcPr>
            <w:tcW w:w="82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79,720</w:t>
            </w:r>
          </w:p>
        </w:tc>
      </w:tr>
      <w:tr>
        <w:trPr>
          <w:trHeight w:val="217"/>
        </w:trPr>
        <w:tc>
          <w:tcPr>
            <w:tcW w:w="8240" w:type="dxa"/>
            <w:vAlign w:val="bottom"/>
          </w:tcPr>
          <w:p>
            <w:pPr>
              <w:ind w:left="360"/>
              <w:spacing w:after="0"/>
              <w:rPr>
                <w:sz w:val="20"/>
                <w:szCs w:val="20"/>
                <w:color w:val="auto"/>
              </w:rPr>
            </w:pPr>
            <w:r>
              <w:rPr>
                <w:rFonts w:ascii="Arial" w:cs="Arial" w:eastAsia="Arial" w:hAnsi="Arial"/>
                <w:sz w:val="18"/>
                <w:szCs w:val="18"/>
                <w:color w:val="auto"/>
              </w:rPr>
              <w:t>Total estimated purchase price allocation</w:t>
            </w:r>
          </w:p>
        </w:tc>
        <w:tc>
          <w:tcPr>
            <w:tcW w:w="420" w:type="dxa"/>
            <w:vAlign w:val="bottom"/>
            <w:tcBorders>
              <w:top w:val="single" w:sz="8" w:color="auto"/>
              <w:bottom w:val="single" w:sz="8" w:color="auto"/>
            </w:tcBorders>
          </w:tcPr>
          <w:p>
            <w:pPr>
              <w:jc w:val="right"/>
              <w:ind w:right="2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232,535</w:t>
            </w:r>
          </w:p>
        </w:tc>
        <w:tc>
          <w:tcPr>
            <w:tcW w:w="120" w:type="dxa"/>
            <w:vAlign w:val="bottom"/>
          </w:tcPr>
          <w:p>
            <w:pPr>
              <w:spacing w:after="0"/>
              <w:rPr>
                <w:sz w:val="18"/>
                <w:szCs w:val="18"/>
                <w:color w:val="auto"/>
              </w:rPr>
            </w:pPr>
          </w:p>
        </w:tc>
      </w:tr>
    </w:tbl>
    <w:p>
      <w:pPr>
        <w:spacing w:after="0" w:line="202" w:lineRule="exact"/>
        <w:rPr>
          <w:sz w:val="20"/>
          <w:szCs w:val="20"/>
          <w:color w:val="auto"/>
        </w:rPr>
      </w:pPr>
    </w:p>
    <w:p>
      <w:pPr>
        <w:ind w:right="120" w:firstLine="259"/>
        <w:spacing w:after="0" w:line="279" w:lineRule="auto"/>
        <w:rPr>
          <w:sz w:val="20"/>
          <w:szCs w:val="20"/>
          <w:color w:val="auto"/>
        </w:rPr>
      </w:pPr>
      <w:r>
        <w:rPr>
          <w:rFonts w:ascii="Arial" w:cs="Arial" w:eastAsia="Arial" w:hAnsi="Arial"/>
          <w:sz w:val="17"/>
          <w:szCs w:val="17"/>
          <w:color w:val="auto"/>
        </w:rPr>
        <w:t>Existing technology comprises of products which have reached technological feasibility and includes the fibre channel hard disk controller (“HDC”), Small Computer System Interface (“SCSI”) HDC and the tape drive products of the hard disk and tape drive controller business of QLogic. Marvell expects to amortize the existing technology for the fibre channel HDC and SCSI HDC on a straight-line basis over an average estimated life of 1 year while the existing technology for the tape drive products is expected to be amortized on a straight-line basis over an average estimated life of 2 years.</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00" w:firstLine="259"/>
        <w:spacing w:after="0" w:line="264" w:lineRule="auto"/>
        <w:rPr>
          <w:sz w:val="20"/>
          <w:szCs w:val="20"/>
          <w:color w:val="auto"/>
        </w:rPr>
      </w:pPr>
      <w:r>
        <w:rPr>
          <w:rFonts w:ascii="Arial" w:cs="Arial" w:eastAsia="Arial" w:hAnsi="Arial"/>
          <w:sz w:val="18"/>
          <w:szCs w:val="18"/>
          <w:color w:val="auto"/>
        </w:rPr>
        <w:t>Core technology represents the subset of existing and in-process technology. The core technology represents the technology that is embedded in the existing technology that must be separately valued. Marvell expects to amortize the core technology on a straight-line basis over an average estimated life of 3 years.</w:t>
      </w:r>
    </w:p>
    <w:p>
      <w:pPr>
        <w:sectPr>
          <w:pgSz w:w="11900" w:h="16838" w:orient="portrait"/>
          <w:cols w:equalWidth="0" w:num="1">
            <w:col w:w="11420"/>
          </w:cols>
          <w:pgMar w:left="240" w:top="341" w:right="239" w:bottom="0" w:gutter="0" w:footer="0" w:header="0"/>
        </w:sectPr>
      </w:pPr>
    </w:p>
    <w:bookmarkStart w:id="11" w:name="page12"/>
    <w:bookmarkEnd w:id="11"/>
    <w:p>
      <w:pPr>
        <w:ind w:right="560" w:firstLine="259"/>
        <w:spacing w:after="0" w:line="308" w:lineRule="auto"/>
        <w:rPr>
          <w:sz w:val="20"/>
          <w:szCs w:val="20"/>
          <w:color w:val="auto"/>
        </w:rPr>
      </w:pPr>
      <w:r>
        <w:rPr>
          <w:rFonts w:ascii="Arial" w:cs="Arial" w:eastAsia="Arial" w:hAnsi="Arial"/>
          <w:sz w:val="17"/>
          <w:szCs w:val="17"/>
          <w:color w:val="auto"/>
        </w:rPr>
        <w:t>Customer relationships represent future projected revenue that will be derived from sales of future versions of existing products that will be sold to existing customers. Marvell expects to amortize customer relationships on a straight-line basis over an average estimated life of 4 years.</w:t>
      </w:r>
    </w:p>
    <w:p>
      <w:pPr>
        <w:spacing w:after="0" w:line="147" w:lineRule="exact"/>
        <w:rPr>
          <w:sz w:val="20"/>
          <w:szCs w:val="20"/>
          <w:color w:val="auto"/>
        </w:rPr>
      </w:pPr>
    </w:p>
    <w:p>
      <w:pPr>
        <w:ind w:right="220" w:firstLine="259"/>
        <w:spacing w:after="0" w:line="308" w:lineRule="auto"/>
        <w:rPr>
          <w:sz w:val="20"/>
          <w:szCs w:val="20"/>
          <w:color w:val="auto"/>
        </w:rPr>
      </w:pPr>
      <w:r>
        <w:rPr>
          <w:rFonts w:ascii="Arial" w:cs="Arial" w:eastAsia="Arial" w:hAnsi="Arial"/>
          <w:sz w:val="17"/>
          <w:szCs w:val="17"/>
          <w:color w:val="auto"/>
        </w:rPr>
        <w:t>Of the total estimated purchase price, a preliminary estimate of $4.3 million has been allocated to in-process research and development (“IPRD”) based upon management’s estimate of the fair values of assets acquired and will be charged to expense in the quarter ending January 28, 2006.</w:t>
      </w:r>
    </w:p>
    <w:p>
      <w:pPr>
        <w:spacing w:after="0" w:line="147" w:lineRule="exact"/>
        <w:rPr>
          <w:sz w:val="20"/>
          <w:szCs w:val="20"/>
          <w:color w:val="auto"/>
        </w:rPr>
      </w:pPr>
    </w:p>
    <w:p>
      <w:pPr>
        <w:ind w:right="1000" w:firstLine="259"/>
        <w:spacing w:after="0" w:line="277" w:lineRule="auto"/>
        <w:rPr>
          <w:sz w:val="20"/>
          <w:szCs w:val="20"/>
          <w:color w:val="auto"/>
        </w:rPr>
      </w:pPr>
      <w:r>
        <w:rPr>
          <w:rFonts w:ascii="Arial" w:cs="Arial" w:eastAsia="Arial" w:hAnsi="Arial"/>
          <w:sz w:val="18"/>
          <w:szCs w:val="18"/>
          <w:color w:val="auto"/>
        </w:rPr>
        <w:t>The Business is currently developing new products that qualify as IPRD. Projects that qualify as IPRD represent those that have not reached technological feasibility and which have no alternative use and therefore shall be immediately written-off.</w:t>
      </w:r>
    </w:p>
    <w:p>
      <w:pPr>
        <w:spacing w:after="0" w:line="170"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The preliminary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and rates between 13.0% and 18.3% were used for intangible assets.</w:t>
      </w:r>
    </w:p>
    <w:p>
      <w:pPr>
        <w:spacing w:after="0" w:line="165" w:lineRule="exact"/>
        <w:rPr>
          <w:sz w:val="20"/>
          <w:szCs w:val="20"/>
          <w:color w:val="auto"/>
        </w:rPr>
      </w:pPr>
    </w:p>
    <w:p>
      <w:pPr>
        <w:ind w:right="440" w:firstLine="259"/>
        <w:spacing w:after="0" w:line="277" w:lineRule="auto"/>
        <w:rPr>
          <w:sz w:val="20"/>
          <w:szCs w:val="20"/>
          <w:color w:val="auto"/>
        </w:rPr>
      </w:pPr>
      <w:r>
        <w:rPr>
          <w:rFonts w:ascii="Arial" w:cs="Arial" w:eastAsia="Arial" w:hAnsi="Arial"/>
          <w:sz w:val="18"/>
          <w:szCs w:val="18"/>
          <w:color w:val="auto"/>
        </w:rPr>
        <w:t>At the time of the acquisition, we estimated that projects were approximately 25.0% complete with aggregate costs to complete of $2.7 million. The projects were in process and expected to be completed in October 2006.</w:t>
      </w:r>
    </w:p>
    <w:p>
      <w:pPr>
        <w:spacing w:after="0" w:line="170" w:lineRule="exact"/>
        <w:rPr>
          <w:sz w:val="20"/>
          <w:szCs w:val="20"/>
          <w:color w:val="auto"/>
        </w:rPr>
      </w:pPr>
    </w:p>
    <w:p>
      <w:pPr>
        <w:jc w:val="both"/>
        <w:ind w:right="360" w:firstLine="259"/>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firstLine="259"/>
        <w:spacing w:after="0" w:line="277" w:lineRule="auto"/>
        <w:rPr>
          <w:sz w:val="20"/>
          <w:szCs w:val="20"/>
          <w:color w:val="auto"/>
        </w:rPr>
      </w:pPr>
      <w:r>
        <w:rPr>
          <w:rFonts w:ascii="Arial" w:cs="Arial" w:eastAsia="Arial" w:hAnsi="Arial"/>
          <w:sz w:val="18"/>
          <w:szCs w:val="18"/>
          <w:color w:val="auto"/>
        </w:rPr>
        <w:t>Of the total estimated purchase price, approximately $79.7 million has been allocated to goodwill. Goodwill represents the excess of the purchase price of an acquired business over the fair value of the underlying net tangible and intangible assets.</w:t>
      </w:r>
    </w:p>
    <w:p>
      <w:pPr>
        <w:spacing w:after="0" w:line="170" w:lineRule="exact"/>
        <w:rPr>
          <w:sz w:val="20"/>
          <w:szCs w:val="20"/>
          <w:color w:val="auto"/>
        </w:rPr>
      </w:pPr>
    </w:p>
    <w:p>
      <w:pPr>
        <w:ind w:right="140" w:firstLine="259"/>
        <w:spacing w:after="0" w:line="279" w:lineRule="auto"/>
        <w:rPr>
          <w:sz w:val="20"/>
          <w:szCs w:val="20"/>
          <w:color w:val="auto"/>
        </w:rPr>
      </w:pPr>
      <w:r>
        <w:rPr>
          <w:rFonts w:ascii="Arial" w:cs="Arial" w:eastAsia="Arial" w:hAnsi="Arial"/>
          <w:sz w:val="17"/>
          <w:szCs w:val="17"/>
          <w:color w:val="auto"/>
        </w:rPr>
        <w:t>In accordance with the Statement of Financial Accounting Standards No. 142, “Goodwill and Other Intangible Assets,” goodwill resulting from business combinations subsequent to June 30, 2001 will not be amortized but instead will be tested for impairment at least annually (more frequently if certain indicators are present). In the event that management determines that the value of goodwill has become impaired, the combined company will incur an accounting charge for the amount of impairment during the fiscal quarter in which the determination is made.</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Pro forma adjustments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pro forma adjustments included in the unaudited pro forma condensed combined consolidated financial statements are as follows:</w:t>
      </w:r>
    </w:p>
    <w:p>
      <w:pPr>
        <w:spacing w:after="0" w:line="225" w:lineRule="exact"/>
        <w:rPr>
          <w:sz w:val="20"/>
          <w:szCs w:val="20"/>
          <w:color w:val="auto"/>
        </w:rPr>
      </w:pPr>
    </w:p>
    <w:p>
      <w:pPr>
        <w:ind w:left="640" w:hanging="308"/>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remove corporate goodwill of $0.3 million allocated to the Business by QLogic.</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payment of $184.0 million in cash.</w:t>
      </w:r>
    </w:p>
    <w:p>
      <w:pPr>
        <w:spacing w:after="0" w:line="225" w:lineRule="exact"/>
        <w:rPr>
          <w:rFonts w:ascii="Arial" w:cs="Arial" w:eastAsia="Arial" w:hAnsi="Arial"/>
          <w:sz w:val="18"/>
          <w:szCs w:val="18"/>
          <w:color w:val="auto"/>
        </w:rPr>
      </w:pPr>
    </w:p>
    <w:p>
      <w:pPr>
        <w:ind w:left="5620" w:right="2800" w:hanging="5288"/>
        <w:spacing w:after="0" w:line="528" w:lineRule="auto"/>
        <w:tabs>
          <w:tab w:leader="none" w:pos="643"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increase in shareholders’ equity of Marvell as a result of the issuance of common shares. 21</w:t>
      </w:r>
    </w:p>
    <w:p>
      <w:pPr>
        <w:spacing w:after="0" w:line="39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estimated transaction costs of $2.9 million and to remove the deferred rent liability of $0.8 million.</w:t>
      </w:r>
    </w:p>
    <w:p>
      <w:pPr>
        <w:spacing w:after="0" w:line="225" w:lineRule="exact"/>
        <w:rPr>
          <w:rFonts w:ascii="Arial" w:cs="Arial" w:eastAsia="Arial" w:hAnsi="Arial"/>
          <w:sz w:val="18"/>
          <w:szCs w:val="18"/>
          <w:color w:val="auto"/>
        </w:rPr>
      </w:pPr>
    </w:p>
    <w:p>
      <w:pPr>
        <w:ind w:left="640" w:hanging="308"/>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intangible assets of $123.3 million.</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goodwill.</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amortization of the acquired intangible assets.</w:t>
      </w:r>
    </w:p>
    <w:p>
      <w:pPr>
        <w:spacing w:after="0" w:line="225" w:lineRule="exact"/>
        <w:rPr>
          <w:rFonts w:ascii="Arial" w:cs="Arial" w:eastAsia="Arial" w:hAnsi="Arial"/>
          <w:sz w:val="18"/>
          <w:szCs w:val="18"/>
          <w:color w:val="auto"/>
        </w:rPr>
      </w:pPr>
    </w:p>
    <w:p>
      <w:pPr>
        <w:ind w:left="660" w:right="60" w:hanging="328"/>
        <w:spacing w:after="0" w:line="277"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in-process research and development charge of $4.3 million. This adjustment is a non-recurring charge and therefore has been reflected in the pro forma balance sheet only.</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record inventory at fair value.</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Adjustment to reduce interest income for cash used in acquisition.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-2267585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Unaudited pro forma combined net income per share</w:t>
      </w:r>
    </w:p>
    <w:p>
      <w:pPr>
        <w:spacing w:after="0" w:line="229" w:lineRule="exact"/>
        <w:rPr>
          <w:sz w:val="20"/>
          <w:szCs w:val="20"/>
          <w:color w:val="auto"/>
        </w:rPr>
      </w:pPr>
    </w:p>
    <w:p>
      <w:pPr>
        <w:ind w:right="60" w:firstLine="259"/>
        <w:spacing w:after="0" w:line="297" w:lineRule="auto"/>
        <w:rPr>
          <w:sz w:val="20"/>
          <w:szCs w:val="20"/>
          <w:color w:val="auto"/>
        </w:rPr>
      </w:pPr>
      <w:r>
        <w:rPr>
          <w:rFonts w:ascii="Arial" w:cs="Arial" w:eastAsia="Arial" w:hAnsi="Arial"/>
          <w:sz w:val="16"/>
          <w:szCs w:val="16"/>
          <w:color w:val="auto"/>
        </w:rPr>
        <w:t>Shares used in the pro forma combined net income per share calculation reflect the addition of 980,499 shares of Marvell voting common stock estimated to be issued to QLogic as if they were outstanding from February 1, 2004. The 980,499 shares were determined in accordance with the APA whereby the issuance price was determined based on the average of the per share closing prices of Marvell common stock for the ten consecutive trading day period ending one trading day prior to the closing date and the $45.0 million aggregate fair market value of the common stock to be issued to QLogic under the APA. The closing date was November 4, 2005 and the price used to determine the number of shares to issue was $45.90 per share.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6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ectPr>
          <w:pgSz w:w="11900" w:h="16838" w:orient="portrait"/>
          <w:cols w:equalWidth="0" w:num="1">
            <w:col w:w="11400"/>
          </w:cols>
          <w:pgMar w:left="240" w:top="125" w:right="259" w:bottom="0" w:gutter="0" w:footer="0" w:header="0"/>
        </w:sectPr>
      </w:pPr>
    </w:p>
    <w:bookmarkStart w:id="12" w:name="page13"/>
    <w:bookmarkEnd w:id="12"/>
    <w:p>
      <w:pPr>
        <w:ind w:left="660"/>
        <w:spacing w:after="0"/>
        <w:rPr>
          <w:sz w:val="20"/>
          <w:szCs w:val="20"/>
          <w:color w:val="auto"/>
        </w:rPr>
      </w:pPr>
      <w:r>
        <w:rPr>
          <w:rFonts w:ascii="Arial" w:cs="Arial" w:eastAsia="Arial" w:hAnsi="Arial"/>
          <w:sz w:val="18"/>
          <w:szCs w:val="18"/>
          <w:color w:val="auto"/>
        </w:rPr>
        <w:t>Dated: January 13, 2006</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8540" w:type="dxa"/>
            <w:vAlign w:val="bottom"/>
            <w:gridSpan w:val="2"/>
          </w:tcPr>
          <w:p>
            <w:pPr>
              <w:ind w:left="2840"/>
              <w:spacing w:after="0"/>
              <w:rPr>
                <w:sz w:val="20"/>
                <w:szCs w:val="20"/>
                <w:color w:val="auto"/>
              </w:rPr>
            </w:pPr>
            <w:r>
              <w:rPr>
                <w:rFonts w:ascii="Arial" w:cs="Arial" w:eastAsia="Arial" w:hAnsi="Arial"/>
                <w:sz w:val="18"/>
                <w:szCs w:val="18"/>
                <w:color w:val="auto"/>
              </w:rPr>
              <w:t>MARVELL TECHNOLOGY GROUP LTD.</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8540" w:type="dxa"/>
            <w:vAlign w:val="bottom"/>
            <w:gridSpan w:val="2"/>
          </w:tcPr>
          <w:p>
            <w:pPr>
              <w:ind w:left="2840"/>
              <w:spacing w:after="0"/>
              <w:rPr>
                <w:sz w:val="20"/>
                <w:szCs w:val="20"/>
                <w:color w:val="auto"/>
              </w:rPr>
            </w:pPr>
            <w:r>
              <w:rPr>
                <w:rFonts w:ascii="Arial" w:cs="Arial" w:eastAsia="Arial" w:hAnsi="Arial"/>
                <w:sz w:val="18"/>
                <w:szCs w:val="18"/>
                <w:color w:val="auto"/>
              </w:rPr>
              <w:t>By:   /s/ George A. Hervey</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3260" w:type="dxa"/>
            <w:vAlign w:val="bottom"/>
          </w:tcPr>
          <w:p>
            <w:pPr>
              <w:spacing w:after="0"/>
              <w:rPr>
                <w:sz w:val="16"/>
                <w:szCs w:val="16"/>
                <w:color w:val="auto"/>
              </w:rPr>
            </w:pPr>
          </w:p>
        </w:tc>
        <w:tc>
          <w:tcPr>
            <w:tcW w:w="5280" w:type="dxa"/>
            <w:vAlign w:val="bottom"/>
            <w:tcBorders>
              <w:top w:val="single" w:sz="8" w:color="auto"/>
            </w:tcBorders>
          </w:tcPr>
          <w:p>
            <w:pPr>
              <w:jc w:val="center"/>
              <w:ind w:right="1590"/>
              <w:spacing w:after="0" w:line="195" w:lineRule="exact"/>
              <w:rPr>
                <w:sz w:val="20"/>
                <w:szCs w:val="20"/>
                <w:color w:val="auto"/>
              </w:rPr>
            </w:pPr>
            <w:r>
              <w:rPr>
                <w:rFonts w:ascii="Arial" w:cs="Arial" w:eastAsia="Arial" w:hAnsi="Arial"/>
                <w:sz w:val="18"/>
                <w:szCs w:val="18"/>
                <w:color w:val="auto"/>
                <w:w w:val="91"/>
              </w:rPr>
              <w:t>George A. Hervey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5280" w:type="dxa"/>
            <w:vAlign w:val="bottom"/>
          </w:tcPr>
          <w:p>
            <w:pPr>
              <w:jc w:val="center"/>
              <w:ind w:right="1590"/>
              <w:spacing w:after="0"/>
              <w:rPr>
                <w:sz w:val="20"/>
                <w:szCs w:val="20"/>
                <w:color w:val="auto"/>
              </w:rPr>
            </w:pPr>
            <w:r>
              <w:rPr>
                <w:rFonts w:ascii="Arial" w:cs="Arial" w:eastAsia="Arial" w:hAnsi="Arial"/>
                <w:sz w:val="18"/>
                <w:szCs w:val="18"/>
                <w:color w:val="auto"/>
                <w:w w:val="89"/>
              </w:rPr>
              <w:t>Vice President of Finance and</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3260" w:type="dxa"/>
            <w:vAlign w:val="bottom"/>
          </w:tcPr>
          <w:p>
            <w:pPr>
              <w:spacing w:after="0"/>
              <w:rPr>
                <w:sz w:val="20"/>
                <w:szCs w:val="20"/>
                <w:color w:val="auto"/>
              </w:rPr>
            </w:pPr>
          </w:p>
        </w:tc>
        <w:tc>
          <w:tcPr>
            <w:tcW w:w="5280" w:type="dxa"/>
            <w:vAlign w:val="bottom"/>
          </w:tcPr>
          <w:p>
            <w:pPr>
              <w:jc w:val="center"/>
              <w:ind w:right="1590"/>
              <w:spacing w:after="0"/>
              <w:rPr>
                <w:sz w:val="20"/>
                <w:szCs w:val="20"/>
                <w:color w:val="auto"/>
              </w:rPr>
            </w:pPr>
            <w:r>
              <w:rPr>
                <w:rFonts w:ascii="Arial" w:cs="Arial" w:eastAsia="Arial" w:hAnsi="Arial"/>
                <w:sz w:val="18"/>
                <w:szCs w:val="18"/>
                <w:color w:val="auto"/>
                <w:w w:val="94"/>
              </w:rPr>
              <w:t>Chief Financial Officer</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gridSpan w:val="4"/>
          </w:tcPr>
          <w:p>
            <w:pPr>
              <w:jc w:val="center"/>
              <w:ind w:left="4590"/>
              <w:spacing w:after="0"/>
              <w:rPr>
                <w:sz w:val="20"/>
                <w:szCs w:val="20"/>
                <w:color w:val="auto"/>
              </w:rPr>
            </w:pPr>
            <w:r>
              <w:rPr>
                <w:rFonts w:ascii="Arial" w:cs="Arial" w:eastAsia="Arial" w:hAnsi="Arial"/>
                <w:sz w:val="18"/>
                <w:szCs w:val="18"/>
                <w:color w:val="auto"/>
                <w:w w:val="89"/>
              </w:rPr>
              <w:t>23</w:t>
            </w:r>
          </w:p>
        </w:tc>
        <w:tc>
          <w:tcPr>
            <w:tcW w:w="5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560" w:type="dxa"/>
            <w:vAlign w:val="bottom"/>
            <w:tcBorders>
              <w:bottom w:val="single" w:sz="8" w:color="808080"/>
            </w:tcBorders>
          </w:tcPr>
          <w:p>
            <w:pPr>
              <w:spacing w:after="0"/>
              <w:rPr>
                <w:sz w:val="9"/>
                <w:szCs w:val="9"/>
                <w:color w:val="auto"/>
              </w:rPr>
            </w:pPr>
          </w:p>
        </w:tc>
        <w:tc>
          <w:tcPr>
            <w:tcW w:w="8540" w:type="dxa"/>
            <w:vAlign w:val="bottom"/>
            <w:tcBorders>
              <w:bottom w:val="single" w:sz="8" w:color="808080"/>
            </w:tcBorders>
            <w:gridSpan w:val="2"/>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75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8540" w:type="dxa"/>
            <w:vAlign w:val="bottom"/>
            <w:gridSpan w:val="2"/>
          </w:tcPr>
          <w:p>
            <w:pPr>
              <w:jc w:val="center"/>
              <w:ind w:right="2770"/>
              <w:spacing w:after="0"/>
              <w:rPr>
                <w:sz w:val="20"/>
                <w:szCs w:val="20"/>
                <w:color w:val="auto"/>
              </w:rPr>
            </w:pPr>
            <w:r>
              <w:rPr>
                <w:rFonts w:ascii="Arial" w:cs="Arial" w:eastAsia="Arial" w:hAnsi="Arial"/>
                <w:sz w:val="18"/>
                <w:szCs w:val="18"/>
                <w:b w:val="1"/>
                <w:bCs w:val="1"/>
                <w:color w:val="auto"/>
              </w:rPr>
              <w:t>INDEX TO EXHIBITS</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8540" w:type="dxa"/>
            <w:vAlign w:val="bottom"/>
            <w:gridSpan w:val="2"/>
            <w:vMerge w:val="restart"/>
          </w:tcPr>
          <w:p>
            <w:pPr>
              <w:ind w:left="314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00" w:type="dxa"/>
            <w:vAlign w:val="bottom"/>
            <w:gridSpan w:val="2"/>
          </w:tcPr>
          <w:p>
            <w:pPr>
              <w:spacing w:after="0"/>
              <w:rPr>
                <w:sz w:val="20"/>
                <w:szCs w:val="20"/>
                <w:color w:val="auto"/>
              </w:rPr>
            </w:pPr>
            <w:r>
              <w:rPr>
                <w:rFonts w:ascii="Arial" w:cs="Arial" w:eastAsia="Arial" w:hAnsi="Arial"/>
                <w:sz w:val="14"/>
                <w:szCs w:val="14"/>
                <w:b w:val="1"/>
                <w:bCs w:val="1"/>
                <w:color w:val="auto"/>
              </w:rPr>
              <w:t>No.</w:t>
            </w: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854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2.1*</w:t>
            </w:r>
          </w:p>
        </w:tc>
        <w:tc>
          <w:tcPr>
            <w:tcW w:w="380" w:type="dxa"/>
            <w:vAlign w:val="bottom"/>
            <w:tcBorders>
              <w:top w:val="single" w:sz="8" w:color="auto"/>
            </w:tcBorders>
          </w:tcPr>
          <w:p>
            <w:pPr>
              <w:spacing w:after="0"/>
              <w:rPr>
                <w:sz w:val="16"/>
                <w:szCs w:val="16"/>
                <w:color w:val="auto"/>
              </w:rPr>
            </w:pPr>
          </w:p>
        </w:tc>
        <w:tc>
          <w:tcPr>
            <w:tcW w:w="340" w:type="dxa"/>
            <w:vAlign w:val="bottom"/>
          </w:tcPr>
          <w:p>
            <w:pPr>
              <w:spacing w:after="0"/>
              <w:rPr>
                <w:sz w:val="16"/>
                <w:szCs w:val="16"/>
                <w:color w:val="auto"/>
              </w:rPr>
            </w:pPr>
          </w:p>
        </w:tc>
        <w:tc>
          <w:tcPr>
            <w:tcW w:w="10100" w:type="dxa"/>
            <w:vAlign w:val="bottom"/>
            <w:tcBorders>
              <w:top w:val="single" w:sz="8" w:color="auto"/>
            </w:tcBorders>
            <w:gridSpan w:val="3"/>
          </w:tcPr>
          <w:p>
            <w:pPr>
              <w:spacing w:after="0" w:line="195" w:lineRule="exact"/>
              <w:rPr>
                <w:sz w:val="20"/>
                <w:szCs w:val="20"/>
                <w:color w:val="auto"/>
              </w:rPr>
            </w:pPr>
            <w:r>
              <w:rPr>
                <w:rFonts w:ascii="Arial" w:cs="Arial" w:eastAsia="Arial" w:hAnsi="Arial"/>
                <w:sz w:val="18"/>
                <w:szCs w:val="18"/>
                <w:color w:val="auto"/>
                <w:w w:val="92"/>
              </w:rPr>
              <w:t>Asset Purchase Agreement dated as of August 29, 2005, by and among QLogic Corporation, Marvell Technology Group Ltd. and Marvell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440" w:type="dxa"/>
            <w:vAlign w:val="bottom"/>
            <w:gridSpan w:val="4"/>
          </w:tcPr>
          <w:p>
            <w:pPr>
              <w:ind w:left="340"/>
              <w:spacing w:after="0"/>
              <w:rPr>
                <w:sz w:val="20"/>
                <w:szCs w:val="20"/>
                <w:color w:val="auto"/>
              </w:rPr>
            </w:pPr>
            <w:r>
              <w:rPr>
                <w:rFonts w:ascii="Arial" w:cs="Arial" w:eastAsia="Arial" w:hAnsi="Arial"/>
                <w:sz w:val="18"/>
                <w:szCs w:val="18"/>
                <w:color w:val="auto"/>
                <w:w w:val="95"/>
              </w:rPr>
              <w:t>International Ltd. (incorporated by reference from Exhibit 2.1 of Marvell’s Quarterly Report on Form 10-Q filed with the Securities and</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440" w:type="dxa"/>
            <w:vAlign w:val="bottom"/>
            <w:gridSpan w:val="4"/>
          </w:tcPr>
          <w:p>
            <w:pPr>
              <w:ind w:left="340"/>
              <w:spacing w:after="0"/>
              <w:rPr>
                <w:sz w:val="20"/>
                <w:szCs w:val="20"/>
                <w:color w:val="auto"/>
              </w:rPr>
            </w:pPr>
            <w:r>
              <w:rPr>
                <w:rFonts w:ascii="Arial" w:cs="Arial" w:eastAsia="Arial" w:hAnsi="Arial"/>
                <w:sz w:val="18"/>
                <w:szCs w:val="18"/>
                <w:color w:val="auto"/>
              </w:rPr>
              <w:t>Exchange Commission on September 8, 2005).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gridSpan w:val="2"/>
          </w:tcPr>
          <w:p>
            <w:pPr>
              <w:spacing w:after="0"/>
              <w:rPr>
                <w:sz w:val="20"/>
                <w:szCs w:val="20"/>
                <w:color w:val="auto"/>
              </w:rPr>
            </w:pPr>
            <w:r>
              <w:rPr>
                <w:rFonts w:ascii="Arial" w:cs="Arial" w:eastAsia="Arial" w:hAnsi="Arial"/>
                <w:sz w:val="18"/>
                <w:szCs w:val="18"/>
                <w:color w:val="auto"/>
              </w:rPr>
              <w:t>23.1</w:t>
            </w:r>
          </w:p>
        </w:tc>
        <w:tc>
          <w:tcPr>
            <w:tcW w:w="380" w:type="dxa"/>
            <w:vAlign w:val="bottom"/>
          </w:tcPr>
          <w:p>
            <w:pPr>
              <w:spacing w:after="0"/>
              <w:rPr>
                <w:sz w:val="18"/>
                <w:szCs w:val="18"/>
                <w:color w:val="auto"/>
              </w:rPr>
            </w:pPr>
          </w:p>
        </w:tc>
        <w:tc>
          <w:tcPr>
            <w:tcW w:w="10440" w:type="dxa"/>
            <w:vAlign w:val="bottom"/>
            <w:gridSpan w:val="4"/>
          </w:tcPr>
          <w:p>
            <w:pPr>
              <w:ind w:left="340"/>
              <w:spacing w:after="0"/>
              <w:rPr>
                <w:sz w:val="20"/>
                <w:szCs w:val="20"/>
                <w:color w:val="auto"/>
              </w:rPr>
            </w:pPr>
            <w:r>
              <w:rPr>
                <w:rFonts w:ascii="Arial" w:cs="Arial" w:eastAsia="Arial" w:hAnsi="Arial"/>
                <w:sz w:val="18"/>
                <w:szCs w:val="18"/>
                <w:color w:val="auto"/>
              </w:rPr>
              <w:t>Consent of Independent Registered Public Accounting Firm</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00" w:type="dxa"/>
            <w:vAlign w:val="bottom"/>
            <w:gridSpan w:val="2"/>
          </w:tcPr>
          <w:p>
            <w:pPr>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0"/>
                <w:szCs w:val="20"/>
                <w:color w:val="auto"/>
              </w:rPr>
            </w:pPr>
          </w:p>
        </w:tc>
        <w:tc>
          <w:tcPr>
            <w:tcW w:w="10440" w:type="dxa"/>
            <w:vAlign w:val="bottom"/>
            <w:gridSpan w:val="4"/>
          </w:tcPr>
          <w:p>
            <w:pPr>
              <w:ind w:left="340"/>
              <w:spacing w:after="0"/>
              <w:rPr>
                <w:sz w:val="20"/>
                <w:szCs w:val="20"/>
                <w:color w:val="auto"/>
              </w:rPr>
            </w:pPr>
            <w:r>
              <w:rPr>
                <w:rFonts w:ascii="Arial" w:cs="Arial" w:eastAsia="Arial" w:hAnsi="Arial"/>
                <w:sz w:val="18"/>
                <w:szCs w:val="18"/>
                <w:color w:val="auto"/>
              </w:rPr>
              <w:t>Registration Rights Agreement dated November 4, 2005 between Marvell Technology Group Ltd. and QLogic Corporation.</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1"/>
        </w:trPr>
        <w:tc>
          <w:tcPr>
            <w:tcW w:w="600" w:type="dxa"/>
            <w:vAlign w:val="bottom"/>
            <w:tcBorders>
              <w:bottom w:val="single" w:sz="8" w:color="auto"/>
            </w:tcBorders>
            <w:gridSpan w:val="2"/>
          </w:tcPr>
          <w:p>
            <w:pPr>
              <w:spacing w:after="0"/>
              <w:rPr>
                <w:sz w:val="24"/>
                <w:szCs w:val="24"/>
                <w:color w:val="auto"/>
              </w:rPr>
            </w:pPr>
          </w:p>
        </w:tc>
        <w:tc>
          <w:tcPr>
            <w:tcW w:w="2280" w:type="dxa"/>
            <w:vAlign w:val="bottom"/>
            <w:tcBorders>
              <w:bottom w:val="single" w:sz="8" w:color="auto"/>
            </w:tcBorders>
            <w:gridSpan w:val="3"/>
          </w:tcPr>
          <w:p>
            <w:pPr>
              <w:spacing w:after="0"/>
              <w:rPr>
                <w:sz w:val="24"/>
                <w:szCs w:val="24"/>
                <w:color w:val="auto"/>
              </w:rPr>
            </w:pPr>
          </w:p>
        </w:tc>
        <w:tc>
          <w:tcPr>
            <w:tcW w:w="8540" w:type="dxa"/>
            <w:vAlign w:val="bottom"/>
            <w:gridSpan w:val="2"/>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600" w:type="dxa"/>
            <w:vAlign w:val="bottom"/>
            <w:gridSpan w:val="2"/>
          </w:tcPr>
          <w:p>
            <w:pPr>
              <w:spacing w:after="0"/>
              <w:rPr>
                <w:sz w:val="20"/>
                <w:szCs w:val="20"/>
                <w:color w:val="auto"/>
              </w:rPr>
            </w:pPr>
            <w:r>
              <w:rPr>
                <w:rFonts w:ascii="Arial" w:cs="Arial" w:eastAsia="Arial" w:hAnsi="Arial"/>
                <w:sz w:val="18"/>
                <w:szCs w:val="18"/>
                <w:color w:val="auto"/>
              </w:rPr>
              <w:t>*</w:t>
            </w:r>
          </w:p>
        </w:tc>
        <w:tc>
          <w:tcPr>
            <w:tcW w:w="10820" w:type="dxa"/>
            <w:vAlign w:val="bottom"/>
            <w:gridSpan w:val="5"/>
          </w:tcPr>
          <w:p>
            <w:pPr>
              <w:ind w:left="120"/>
              <w:spacing w:after="0"/>
              <w:rPr>
                <w:sz w:val="20"/>
                <w:szCs w:val="20"/>
                <w:color w:val="auto"/>
              </w:rPr>
            </w:pPr>
            <w:r>
              <w:rPr>
                <w:rFonts w:ascii="Arial" w:cs="Arial" w:eastAsia="Arial" w:hAnsi="Arial"/>
                <w:sz w:val="18"/>
                <w:szCs w:val="18"/>
                <w:color w:val="auto"/>
              </w:rPr>
              <w:t>Filed previously</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gridSpan w:val="4"/>
          </w:tcPr>
          <w:p>
            <w:pPr>
              <w:jc w:val="center"/>
              <w:ind w:left="4590"/>
              <w:spacing w:after="0"/>
              <w:rPr>
                <w:sz w:val="20"/>
                <w:szCs w:val="20"/>
                <w:color w:val="auto"/>
              </w:rPr>
            </w:pPr>
            <w:r>
              <w:rPr>
                <w:rFonts w:ascii="Arial" w:cs="Arial" w:eastAsia="Arial" w:hAnsi="Arial"/>
                <w:sz w:val="18"/>
                <w:szCs w:val="18"/>
                <w:color w:val="auto"/>
                <w:w w:val="89"/>
              </w:rPr>
              <w:t>24</w:t>
            </w:r>
          </w:p>
        </w:tc>
        <w:tc>
          <w:tcPr>
            <w:tcW w:w="5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1560" w:type="dxa"/>
            <w:vAlign w:val="bottom"/>
            <w:tcBorders>
              <w:bottom w:val="single" w:sz="8" w:color="808080"/>
            </w:tcBorders>
          </w:tcPr>
          <w:p>
            <w:pPr>
              <w:spacing w:after="0"/>
              <w:rPr>
                <w:sz w:val="7"/>
                <w:szCs w:val="7"/>
                <w:color w:val="auto"/>
              </w:rPr>
            </w:pPr>
          </w:p>
        </w:tc>
        <w:tc>
          <w:tcPr>
            <w:tcW w:w="3260" w:type="dxa"/>
            <w:vAlign w:val="bottom"/>
            <w:tcBorders>
              <w:bottom w:val="single" w:sz="8" w:color="808080"/>
            </w:tcBorders>
          </w:tcPr>
          <w:p>
            <w:pPr>
              <w:spacing w:after="0"/>
              <w:rPr>
                <w:sz w:val="7"/>
                <w:szCs w:val="7"/>
                <w:color w:val="auto"/>
              </w:rPr>
            </w:pPr>
          </w:p>
        </w:tc>
        <w:tc>
          <w:tcPr>
            <w:tcW w:w="528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-2261235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-2261235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341" w:right="21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QLogic Corporation:</w:t>
      </w:r>
    </w:p>
    <w:p>
      <w:pPr>
        <w:spacing w:after="0" w:line="211" w:lineRule="exact"/>
        <w:rPr>
          <w:sz w:val="20"/>
          <w:szCs w:val="20"/>
          <w:color w:val="auto"/>
        </w:rPr>
      </w:pPr>
    </w:p>
    <w:p>
      <w:pPr>
        <w:ind w:right="260"/>
        <w:spacing w:after="0" w:line="255" w:lineRule="auto"/>
        <w:rPr>
          <w:sz w:val="20"/>
          <w:szCs w:val="20"/>
          <w:color w:val="auto"/>
        </w:rPr>
      </w:pPr>
      <w:r>
        <w:rPr>
          <w:rFonts w:ascii="Arial" w:cs="Arial" w:eastAsia="Arial" w:hAnsi="Arial"/>
          <w:sz w:val="18"/>
          <w:szCs w:val="18"/>
          <w:color w:val="auto"/>
        </w:rPr>
        <w:t>We consent to the incorporation by reference in the registration statements (Nos. 333-40152, 333-40154, 333-54188, 333-55974, 333-56322, 333-87322, 333-91124, 333-104925, 333-106683, 333-108334, 333-111133, 333-114434 and 333-124072) on Form S-8 and registration statements (Nos. 333-106833 and 333-129834) on Form S-3 of Marvell Technology Group Ltd. of our report dated August 28, 2005 except as to Note 11, which is as of November 4, 2005, with respect to the statement of net assets to be sold of the Hard Disk and Tape Drive Controller Business of QLogic Corporation as of April 3, 2005, and the related statement of direct revenues and direct operating expenses for the year then ended, which report appears in the Form 8-K/A of Marvell Technology Group Ltd. dated January 13, 2006.</w:t>
      </w:r>
    </w:p>
    <w:p>
      <w:pPr>
        <w:spacing w:after="0" w:line="193"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Our audit report refers to preparation of the financial statements pursuant to the basis of presentation described in Note 2 and that such financial statements are not intended to be a complete presentation of the Business’ financial position, results of operations, or cash flows.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 KPMG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Costa Mesa,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January 13, 2006</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Letter"/>
      <w:start w:val="1"/>
    </w:lvl>
  </w:abstractNum>
  <w:abstractNum w:abstractNumId="1">
    <w:nsid w:val="625558EC"/>
    <w:multiLevelType w:val="hybridMultilevel"/>
    <w:lvl w:ilvl="0">
      <w:lvlJc w:val="left"/>
      <w:lvlText w:val="(%1)"/>
      <w:numFmt w:val="lowerLetter"/>
      <w:start w:val="2"/>
    </w:lvl>
  </w:abstractNum>
  <w:abstractNum w:abstractNumId="2">
    <w:nsid w:val="238E1F29"/>
    <w:multiLevelType w:val="hybridMultilevel"/>
    <w:lvl w:ilvl="0">
      <w:lvlJc w:val="left"/>
      <w:lvlText w:val="(%1)"/>
      <w:numFmt w:val="lowerLetter"/>
      <w:start w:val="4"/>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2019-12-14T19:01:12Z</dcterms:created>
  <dcterms:modified xsi:type="dcterms:W3CDTF">2019-12-14T19:01:12Z</dcterms:modified>
</cp:coreProperties>
</file>