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176"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28" w:lineRule="exact"/>
        <w:rPr>
          <w:sz w:val="24"/>
          <w:szCs w:val="24"/>
          <w:color w:val="auto"/>
        </w:rPr>
      </w:pPr>
    </w:p>
    <w:p>
      <w:pPr>
        <w:ind w:left="470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Times New Roman" w:cs="Times New Roman" w:eastAsia="Times New Roman" w:hAnsi="Times New Roman"/>
          <w:sz w:val="22"/>
          <w:szCs w:val="22"/>
          <w:b w:val="1"/>
          <w:bCs w:val="1"/>
          <w:color w:val="auto"/>
        </w:rPr>
        <w:t>Pursuant to Section 13 or 15(d) of the</w:t>
      </w:r>
    </w:p>
    <w:p>
      <w:pPr>
        <w:spacing w:after="0" w:line="18"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22"/>
          <w:szCs w:val="22"/>
          <w:b w:val="1"/>
          <w:bCs w:val="1"/>
          <w:color w:val="auto"/>
        </w:rPr>
        <w:t>Securities Exchange Act of 1934</w:t>
      </w:r>
    </w:p>
    <w:p>
      <w:pPr>
        <w:spacing w:after="0" w:line="187"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 xml:space="preserve">Date of Report (Date of Earliest Event Reported): </w:t>
      </w:r>
      <w:r>
        <w:rPr>
          <w:rFonts w:ascii="Times New Roman" w:cs="Times New Roman" w:eastAsia="Times New Roman" w:hAnsi="Times New Roman"/>
          <w:sz w:val="18"/>
          <w:szCs w:val="18"/>
          <w:b w:val="1"/>
          <w:bCs w:val="1"/>
          <w:color w:val="auto"/>
        </w:rPr>
        <w:t>May 18, 2006</w:t>
      </w:r>
    </w:p>
    <w:p>
      <w:pPr>
        <w:spacing w:after="0" w:line="20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46"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(Exact name of registrant as specified in its charter)</w:t>
      </w:r>
    </w:p>
    <w:p>
      <w:pPr>
        <w:sectPr>
          <w:pgSz w:w="11900" w:h="16838" w:orient="portrait"/>
          <w:cols w:equalWidth="0" w:num="1">
            <w:col w:w="11380"/>
          </w:cols>
          <w:pgMar w:left="240" w:top="579" w:right="279" w:bottom="0" w:gutter="0" w:footer="0" w:header="0"/>
        </w:sectPr>
      </w:pPr>
    </w:p>
    <w:p>
      <w:pPr>
        <w:spacing w:after="0" w:line="201" w:lineRule="exact"/>
        <w:rPr>
          <w:sz w:val="24"/>
          <w:szCs w:val="24"/>
          <w:color w:val="auto"/>
        </w:rPr>
      </w:pPr>
    </w:p>
    <w:p>
      <w:pPr>
        <w:jc w:val="center"/>
        <w:ind w:right="34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31" w:lineRule="exact"/>
        <w:rPr>
          <w:sz w:val="24"/>
          <w:szCs w:val="24"/>
          <w:color w:val="auto"/>
        </w:rPr>
      </w:pPr>
    </w:p>
    <w:p>
      <w:pPr>
        <w:jc w:val="center"/>
        <w:ind w:right="340"/>
        <w:spacing w:after="0"/>
        <w:rPr>
          <w:sz w:val="20"/>
          <w:szCs w:val="20"/>
          <w:color w:val="auto"/>
        </w:rPr>
      </w:pPr>
      <w:r>
        <w:rPr>
          <w:rFonts w:ascii="Times New Roman" w:cs="Times New Roman" w:eastAsia="Times New Roman" w:hAnsi="Times New Roman"/>
          <w:sz w:val="18"/>
          <w:szCs w:val="18"/>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1" w:lineRule="exact"/>
        <w:rPr>
          <w:sz w:val="24"/>
          <w:szCs w:val="24"/>
          <w:color w:val="auto"/>
        </w:rPr>
      </w:pPr>
    </w:p>
    <w:p>
      <w:pPr>
        <w:jc w:val="center"/>
        <w:ind w:right="1480"/>
        <w:spacing w:after="0"/>
        <w:rPr>
          <w:sz w:val="20"/>
          <w:szCs w:val="20"/>
          <w:color w:val="auto"/>
        </w:rPr>
      </w:pPr>
      <w:r>
        <w:rPr>
          <w:rFonts w:ascii="Times New Roman" w:cs="Times New Roman" w:eastAsia="Times New Roman" w:hAnsi="Times New Roman"/>
          <w:sz w:val="18"/>
          <w:szCs w:val="18"/>
          <w:b w:val="1"/>
          <w:bCs w:val="1"/>
          <w:color w:val="auto"/>
        </w:rPr>
        <w:t>0-30877</w:t>
      </w:r>
    </w:p>
    <w:p>
      <w:pPr>
        <w:spacing w:after="0" w:line="31" w:lineRule="exact"/>
        <w:rPr>
          <w:sz w:val="24"/>
          <w:szCs w:val="24"/>
          <w:color w:val="auto"/>
        </w:rPr>
      </w:pPr>
    </w:p>
    <w:p>
      <w:pPr>
        <w:jc w:val="center"/>
        <w:ind w:right="1480"/>
        <w:spacing w:after="0"/>
        <w:rPr>
          <w:sz w:val="20"/>
          <w:szCs w:val="20"/>
          <w:color w:val="auto"/>
        </w:rPr>
      </w:pPr>
      <w:r>
        <w:rPr>
          <w:rFonts w:ascii="Times New Roman" w:cs="Times New Roman" w:eastAsia="Times New Roman" w:hAnsi="Times New Roman"/>
          <w:sz w:val="17"/>
          <w:szCs w:val="17"/>
          <w:color w:val="auto"/>
        </w:rPr>
        <w:t>(Commission File Number)</w:t>
      </w:r>
    </w:p>
    <w:p>
      <w:pPr>
        <w:spacing w:after="0" w:line="20" w:lineRule="exact"/>
        <w:rPr>
          <w:sz w:val="24"/>
          <w:szCs w:val="24"/>
          <w:color w:val="auto"/>
        </w:rPr>
      </w:pPr>
      <w:r>
        <w:rPr>
          <w:sz w:val="24"/>
          <w:szCs w:val="24"/>
          <w:color w:val="auto"/>
        </w:rPr>
        <w:br w:type="column"/>
      </w:r>
    </w:p>
    <w:p>
      <w:pPr>
        <w:spacing w:after="0" w:line="181" w:lineRule="exact"/>
        <w:rPr>
          <w:sz w:val="24"/>
          <w:szCs w:val="24"/>
          <w:color w:val="auto"/>
        </w:rPr>
      </w:pPr>
    </w:p>
    <w:p>
      <w:pPr>
        <w:jc w:val="center"/>
        <w:ind w:right="1120"/>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31" w:lineRule="exact"/>
        <w:rPr>
          <w:sz w:val="24"/>
          <w:szCs w:val="24"/>
          <w:color w:val="auto"/>
        </w:rPr>
      </w:pPr>
    </w:p>
    <w:p>
      <w:pPr>
        <w:jc w:val="center"/>
        <w:ind w:right="1120"/>
        <w:spacing w:after="0"/>
        <w:rPr>
          <w:sz w:val="20"/>
          <w:szCs w:val="20"/>
          <w:color w:val="auto"/>
        </w:rPr>
      </w:pPr>
      <w:r>
        <w:rPr>
          <w:rFonts w:ascii="Times New Roman" w:cs="Times New Roman" w:eastAsia="Times New Roman" w:hAnsi="Times New Roman"/>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Times New Roman" w:cs="Times New Roman" w:eastAsia="Times New Roman" w:hAnsi="Times New Roman"/>
          <w:sz w:val="17"/>
          <w:szCs w:val="17"/>
          <w:color w:val="auto"/>
        </w:rPr>
        <w:t>Identification No.)</w:t>
      </w:r>
    </w:p>
    <w:p>
      <w:pPr>
        <w:spacing w:after="0" w:line="200" w:lineRule="exact"/>
        <w:rPr>
          <w:sz w:val="24"/>
          <w:szCs w:val="24"/>
          <w:color w:val="auto"/>
        </w:rPr>
      </w:pPr>
    </w:p>
    <w:p>
      <w:pPr>
        <w:sectPr>
          <w:pgSz w:w="11900" w:h="16838" w:orient="portrait"/>
          <w:cols w:equalWidth="0" w:num="3">
            <w:col w:w="4020" w:space="720"/>
            <w:col w:w="3460" w:space="720"/>
            <w:col w:w="2460"/>
          </w:cols>
          <w:pgMar w:left="240" w:top="579" w:right="279" w:bottom="0" w:gutter="0" w:footer="0" w:header="0"/>
          <w:type w:val="continuous"/>
        </w:sectPr>
      </w:pPr>
    </w:p>
    <w:p>
      <w:pPr>
        <w:spacing w:after="0" w:line="14"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(Address of principal executive offices)</w:t>
      </w:r>
    </w:p>
    <w:p>
      <w:pPr>
        <w:spacing w:after="0" w:line="203"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including area code)</w:t>
      </w:r>
    </w:p>
    <w:p>
      <w:pPr>
        <w:sectPr>
          <w:pgSz w:w="11900" w:h="16838" w:orient="portrait"/>
          <w:cols w:equalWidth="0" w:num="1">
            <w:col w:w="11380"/>
          </w:cols>
          <w:pgMar w:left="240" w:top="579" w:right="279" w:bottom="0" w:gutter="0" w:footer="0" w:header="0"/>
          <w:type w:val="continuous"/>
        </w:sectPr>
      </w:pPr>
    </w:p>
    <w:p>
      <w:pPr>
        <w:spacing w:after="0" w:line="203"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(Former name or former address, if changed since last report.)</w:t>
      </w:r>
    </w:p>
    <w:p>
      <w:pPr>
        <w:spacing w:after="0" w:line="207"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62"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223520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461010</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2" w:lineRule="exact"/>
        <w:rPr>
          <w:sz w:val="24"/>
          <w:szCs w:val="24"/>
          <w:color w:val="auto"/>
        </w:rPr>
      </w:pPr>
    </w:p>
    <w:p>
      <w:pPr>
        <w:spacing w:after="0"/>
        <w:tabs>
          <w:tab w:leader="none" w:pos="980" w:val="left"/>
        </w:tabs>
        <w:rPr>
          <w:sz w:val="20"/>
          <w:szCs w:val="20"/>
          <w:color w:val="auto"/>
        </w:rPr>
      </w:pPr>
      <w:r>
        <w:rPr>
          <w:rFonts w:ascii="Times New Roman" w:cs="Times New Roman" w:eastAsia="Times New Roman" w:hAnsi="Times New Roman"/>
          <w:sz w:val="18"/>
          <w:szCs w:val="18"/>
          <w:b w:val="1"/>
          <w:bCs w:val="1"/>
          <w:color w:val="auto"/>
        </w:rPr>
        <w:t>Item 2.02.</w:t>
        <w:tab/>
        <w:t>Results of Operations and Financial Condition</w:t>
      </w:r>
    </w:p>
    <w:p>
      <w:pPr>
        <w:spacing w:after="0" w:line="229" w:lineRule="exact"/>
        <w:rPr>
          <w:sz w:val="24"/>
          <w:szCs w:val="24"/>
          <w:color w:val="auto"/>
        </w:rPr>
      </w:pPr>
    </w:p>
    <w:p>
      <w:pPr>
        <w:ind w:right="60" w:firstLine="648"/>
        <w:spacing w:after="0" w:line="266" w:lineRule="auto"/>
        <w:rPr>
          <w:sz w:val="20"/>
          <w:szCs w:val="20"/>
          <w:color w:val="auto"/>
        </w:rPr>
      </w:pPr>
      <w:r>
        <w:rPr>
          <w:rFonts w:ascii="Times New Roman" w:cs="Times New Roman" w:eastAsia="Times New Roman" w:hAnsi="Times New Roman"/>
          <w:sz w:val="18"/>
          <w:szCs w:val="18"/>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76" w:lineRule="exact"/>
        <w:rPr>
          <w:sz w:val="24"/>
          <w:szCs w:val="24"/>
          <w:color w:val="auto"/>
        </w:rPr>
      </w:pPr>
    </w:p>
    <w:p>
      <w:pPr>
        <w:ind w:right="180" w:firstLine="648"/>
        <w:spacing w:after="0" w:line="282" w:lineRule="auto"/>
        <w:rPr>
          <w:sz w:val="20"/>
          <w:szCs w:val="20"/>
          <w:color w:val="auto"/>
        </w:rPr>
      </w:pPr>
      <w:r>
        <w:rPr>
          <w:rFonts w:ascii="Times New Roman" w:cs="Times New Roman" w:eastAsia="Times New Roman" w:hAnsi="Times New Roman"/>
          <w:sz w:val="18"/>
          <w:szCs w:val="18"/>
          <w:color w:val="auto"/>
        </w:rPr>
        <w:t>On May 18, 2006, Marvell Technology Group Ltd. (“Marvell”) issued a press release regarding its financial results for its first fiscal quarter ended April 29, 2006. The full text of Marvell’s press release is furnished herewith as Exhibit 99.1.</w:t>
      </w:r>
    </w:p>
    <w:p>
      <w:pPr>
        <w:spacing w:after="0" w:line="162" w:lineRule="exact"/>
        <w:rPr>
          <w:sz w:val="24"/>
          <w:szCs w:val="24"/>
          <w:color w:val="auto"/>
        </w:rPr>
      </w:pPr>
    </w:p>
    <w:p>
      <w:pPr>
        <w:ind w:right="140" w:firstLine="648"/>
        <w:spacing w:after="0" w:line="266" w:lineRule="auto"/>
        <w:rPr>
          <w:sz w:val="20"/>
          <w:szCs w:val="20"/>
          <w:color w:val="auto"/>
        </w:rPr>
      </w:pPr>
      <w:r>
        <w:rPr>
          <w:rFonts w:ascii="Times New Roman" w:cs="Times New Roman" w:eastAsia="Times New Roman" w:hAnsi="Times New Roman"/>
          <w:sz w:val="18"/>
          <w:szCs w:val="18"/>
          <w:color w:val="auto"/>
        </w:rPr>
        <w:t>The following non-GAAP financial measures are included in the press release: pro forma net income and basic and diluted net income per share. These non-GAAP measures exclude the effects of acquisition-related expenses, stock-based compensation and amortization of acquired intangible assets. A reconciliation to the most directly comparable GAAP measure is included in the financial statements portion of the press release.</w:t>
      </w:r>
    </w:p>
    <w:p>
      <w:pPr>
        <w:spacing w:after="0" w:line="176" w:lineRule="exact"/>
        <w:rPr>
          <w:sz w:val="24"/>
          <w:szCs w:val="24"/>
          <w:color w:val="auto"/>
        </w:rPr>
      </w:pPr>
    </w:p>
    <w:p>
      <w:pPr>
        <w:ind w:right="40" w:firstLine="648"/>
        <w:spacing w:after="0" w:line="261" w:lineRule="auto"/>
        <w:rPr>
          <w:sz w:val="20"/>
          <w:szCs w:val="20"/>
          <w:color w:val="auto"/>
        </w:rPr>
      </w:pPr>
      <w:r>
        <w:rPr>
          <w:rFonts w:ascii="Times New Roman" w:cs="Times New Roman" w:eastAsia="Times New Roman" w:hAnsi="Times New Roman"/>
          <w:sz w:val="18"/>
          <w:szCs w:val="18"/>
          <w:color w:val="auto"/>
        </w:rPr>
        <w:t>Marvell’s management believes this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company management analyzes operating results.</w:t>
      </w:r>
    </w:p>
    <w:p>
      <w:pPr>
        <w:spacing w:after="0" w:line="176"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9.01  Financial Statements and Exhibits</w:t>
      </w:r>
    </w:p>
    <w:p>
      <w:pPr>
        <w:spacing w:after="0" w:line="225" w:lineRule="exact"/>
        <w:rPr>
          <w:sz w:val="24"/>
          <w:szCs w:val="24"/>
          <w:color w:val="auto"/>
        </w:rPr>
      </w:pPr>
    </w:p>
    <w:p>
      <w:pPr>
        <w:ind w:left="660"/>
        <w:spacing w:after="0"/>
        <w:rPr>
          <w:sz w:val="20"/>
          <w:szCs w:val="20"/>
          <w:color w:val="auto"/>
        </w:rPr>
      </w:pPr>
      <w:r>
        <w:rPr>
          <w:rFonts w:ascii="Times New Roman" w:cs="Times New Roman" w:eastAsia="Times New Roman" w:hAnsi="Times New Roman"/>
          <w:sz w:val="18"/>
          <w:szCs w:val="18"/>
          <w:b w:val="1"/>
          <w:bCs w:val="1"/>
          <w:color w:val="auto"/>
        </w:rPr>
        <w:t>(d) Exhibits</w:t>
      </w:r>
    </w:p>
    <w:p>
      <w:pPr>
        <w:sectPr>
          <w:pgSz w:w="11900" w:h="16838" w:orient="portrait"/>
          <w:cols w:equalWidth="0" w:num="1">
            <w:col w:w="11380"/>
          </w:cols>
          <w:pgMar w:left="240" w:top="579" w:right="27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175"/>
        </w:trPr>
        <w:tc>
          <w:tcPr>
            <w:tcW w:w="1900" w:type="dxa"/>
            <w:vAlign w:val="bottom"/>
            <w:gridSpan w:val="3"/>
          </w:tcPr>
          <w:p>
            <w:pPr>
              <w:jc w:val="center"/>
              <w:ind w:left="48"/>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8800" w:type="dxa"/>
            <w:vAlign w:val="bottom"/>
          </w:tcPr>
          <w:p>
            <w:pPr>
              <w:jc w:val="right"/>
              <w:ind w:right="3956"/>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740" w:type="dxa"/>
            <w:vAlign w:val="bottom"/>
          </w:tcPr>
          <w:p>
            <w:pPr>
              <w:spacing w:after="0"/>
              <w:rPr>
                <w:sz w:val="15"/>
                <w:szCs w:val="15"/>
                <w:color w:val="auto"/>
              </w:rPr>
            </w:pPr>
          </w:p>
        </w:tc>
      </w:tr>
      <w:tr>
        <w:trPr>
          <w:trHeight w:val="426"/>
        </w:trPr>
        <w:tc>
          <w:tcPr>
            <w:tcW w:w="660" w:type="dxa"/>
            <w:vAlign w:val="bottom"/>
          </w:tcPr>
          <w:p>
            <w:pPr>
              <w:spacing w:after="0"/>
              <w:rPr>
                <w:sz w:val="24"/>
                <w:szCs w:val="24"/>
                <w:color w:val="auto"/>
              </w:rPr>
            </w:pPr>
          </w:p>
        </w:tc>
        <w:tc>
          <w:tcPr>
            <w:tcW w:w="920" w:type="dxa"/>
            <w:vAlign w:val="bottom"/>
            <w:tcBorders>
              <w:top w:val="single" w:sz="8" w:color="auto"/>
            </w:tcBorders>
          </w:tcPr>
          <w:p>
            <w:pPr>
              <w:jc w:val="right"/>
              <w:ind w:right="330"/>
              <w:spacing w:after="0"/>
              <w:rPr>
                <w:sz w:val="20"/>
                <w:szCs w:val="20"/>
                <w:color w:val="auto"/>
              </w:rPr>
            </w:pPr>
            <w:r>
              <w:rPr>
                <w:rFonts w:ascii="Times New Roman" w:cs="Times New Roman" w:eastAsia="Times New Roman" w:hAnsi="Times New Roman"/>
                <w:sz w:val="18"/>
                <w:szCs w:val="18"/>
                <w:color w:val="auto"/>
              </w:rPr>
              <w:t>99.1</w:t>
            </w:r>
          </w:p>
        </w:tc>
        <w:tc>
          <w:tcPr>
            <w:tcW w:w="320" w:type="dxa"/>
            <w:vAlign w:val="bottom"/>
          </w:tcPr>
          <w:p>
            <w:pPr>
              <w:spacing w:after="0"/>
              <w:rPr>
                <w:sz w:val="24"/>
                <w:szCs w:val="24"/>
                <w:color w:val="auto"/>
              </w:rPr>
            </w:pPr>
          </w:p>
        </w:tc>
        <w:tc>
          <w:tcPr>
            <w:tcW w:w="8800" w:type="dxa"/>
            <w:vAlign w:val="bottom"/>
            <w:tcBorders>
              <w:top w:val="single" w:sz="8" w:color="auto"/>
            </w:tcBorders>
          </w:tcPr>
          <w:p>
            <w:pPr>
              <w:jc w:val="right"/>
              <w:ind w:right="6196"/>
              <w:spacing w:after="0"/>
              <w:rPr>
                <w:sz w:val="20"/>
                <w:szCs w:val="20"/>
                <w:color w:val="auto"/>
              </w:rPr>
            </w:pPr>
            <w:r>
              <w:rPr>
                <w:rFonts w:ascii="Times New Roman" w:cs="Times New Roman" w:eastAsia="Times New Roman" w:hAnsi="Times New Roman"/>
                <w:sz w:val="18"/>
                <w:szCs w:val="18"/>
                <w:color w:val="auto"/>
                <w:w w:val="99"/>
              </w:rPr>
              <w:t>Press Release dated May 18, 2006.</w:t>
            </w:r>
          </w:p>
        </w:tc>
        <w:tc>
          <w:tcPr>
            <w:tcW w:w="740" w:type="dxa"/>
            <w:vAlign w:val="bottom"/>
          </w:tcPr>
          <w:p>
            <w:pPr>
              <w:spacing w:after="0"/>
              <w:rPr>
                <w:sz w:val="24"/>
                <w:szCs w:val="24"/>
                <w:color w:val="auto"/>
              </w:rPr>
            </w:pPr>
          </w:p>
        </w:tc>
      </w:tr>
      <w:tr>
        <w:trPr>
          <w:trHeight w:val="432"/>
        </w:trPr>
        <w:tc>
          <w:tcPr>
            <w:tcW w:w="6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800" w:type="dxa"/>
            <w:vAlign w:val="bottom"/>
          </w:tcPr>
          <w:p>
            <w:pPr>
              <w:jc w:val="right"/>
              <w:ind w:right="4856"/>
              <w:spacing w:after="0"/>
              <w:rPr>
                <w:sz w:val="20"/>
                <w:szCs w:val="20"/>
                <w:color w:val="auto"/>
              </w:rPr>
            </w:pPr>
            <w:r>
              <w:rPr>
                <w:rFonts w:ascii="Times New Roman" w:cs="Times New Roman" w:eastAsia="Times New Roman" w:hAnsi="Times New Roman"/>
                <w:sz w:val="18"/>
                <w:szCs w:val="18"/>
                <w:color w:val="auto"/>
              </w:rPr>
              <w:t>2</w:t>
            </w:r>
          </w:p>
        </w:tc>
        <w:tc>
          <w:tcPr>
            <w:tcW w:w="740" w:type="dxa"/>
            <w:vAlign w:val="bottom"/>
          </w:tcPr>
          <w:p>
            <w:pPr>
              <w:spacing w:after="0"/>
              <w:rPr>
                <w:sz w:val="24"/>
                <w:szCs w:val="24"/>
                <w:color w:val="auto"/>
              </w:rPr>
            </w:pPr>
          </w:p>
        </w:tc>
      </w:tr>
      <w:tr>
        <w:trPr>
          <w:trHeight w:val="118"/>
        </w:trPr>
        <w:tc>
          <w:tcPr>
            <w:tcW w:w="66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88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22"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29" w:lineRule="exact"/>
        <w:rPr>
          <w:sz w:val="20"/>
          <w:szCs w:val="20"/>
          <w:color w:val="auto"/>
        </w:rPr>
      </w:pPr>
    </w:p>
    <w:p>
      <w:pPr>
        <w:ind w:right="500" w:firstLine="648"/>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the registrant has duly caused this report to be signed on its behalf by the undersigned hereunto duly authorized.</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Dated: May 18, 2006</w:t>
      </w:r>
    </w:p>
    <w:p>
      <w:pPr>
        <w:spacing w:after="0" w:line="225" w:lineRule="exact"/>
        <w:rPr>
          <w:sz w:val="20"/>
          <w:szCs w:val="20"/>
          <w:color w:val="auto"/>
        </w:rPr>
      </w:pPr>
    </w:p>
    <w:p>
      <w:pPr>
        <w:ind w:left="596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960"/>
        <w:spacing w:after="0"/>
        <w:tabs>
          <w:tab w:leader="none" w:pos="6340" w:val="left"/>
        </w:tabs>
        <w:rPr>
          <w:sz w:val="20"/>
          <w:szCs w:val="20"/>
          <w:color w:val="auto"/>
        </w:rPr>
      </w:pP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George A. Hervey</w:t>
      </w:r>
    </w:p>
    <w:p>
      <w:pPr>
        <w:spacing w:after="0" w:line="27" w:lineRule="exact"/>
        <w:rPr>
          <w:sz w:val="20"/>
          <w:szCs w:val="20"/>
          <w:color w:val="auto"/>
        </w:rPr>
      </w:pPr>
    </w:p>
    <w:p>
      <w:pPr>
        <w:ind w:left="7440"/>
        <w:spacing w:after="0"/>
        <w:rPr>
          <w:sz w:val="20"/>
          <w:szCs w:val="20"/>
          <w:color w:val="auto"/>
        </w:rPr>
      </w:pPr>
      <w:r>
        <w:rPr>
          <w:rFonts w:ascii="Times New Roman" w:cs="Times New Roman" w:eastAsia="Times New Roman" w:hAnsi="Times New Roman"/>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4044315</wp:posOffset>
            </wp:positionH>
            <wp:positionV relativeFrom="paragraph">
              <wp:posOffset>-130810</wp:posOffset>
            </wp:positionV>
            <wp:extent cx="268414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3" w:lineRule="exact"/>
        <w:rPr>
          <w:sz w:val="20"/>
          <w:szCs w:val="20"/>
          <w:color w:val="auto"/>
        </w:rPr>
      </w:pPr>
    </w:p>
    <w:p>
      <w:pPr>
        <w:jc w:val="center"/>
        <w:ind w:left="4780"/>
        <w:spacing w:after="0"/>
        <w:rPr>
          <w:sz w:val="20"/>
          <w:szCs w:val="20"/>
          <w:color w:val="auto"/>
        </w:rPr>
      </w:pPr>
      <w:r>
        <w:rPr>
          <w:rFonts w:ascii="Times New Roman" w:cs="Times New Roman" w:eastAsia="Times New Roman" w:hAnsi="Times New Roman"/>
          <w:sz w:val="18"/>
          <w:szCs w:val="18"/>
          <w:color w:val="auto"/>
        </w:rPr>
        <w:t>Vice President of Finance and</w:t>
      </w:r>
    </w:p>
    <w:p>
      <w:pPr>
        <w:spacing w:after="0" w:line="9" w:lineRule="exact"/>
        <w:rPr>
          <w:sz w:val="20"/>
          <w:szCs w:val="20"/>
          <w:color w:val="auto"/>
        </w:rPr>
      </w:pPr>
    </w:p>
    <w:p>
      <w:pPr>
        <w:jc w:val="center"/>
        <w:ind w:left="4780"/>
        <w:spacing w:after="0"/>
        <w:rPr>
          <w:sz w:val="20"/>
          <w:szCs w:val="20"/>
          <w:color w:val="auto"/>
        </w:rPr>
      </w:pPr>
      <w:r>
        <w:rPr>
          <w:rFonts w:ascii="Times New Roman" w:cs="Times New Roman" w:eastAsia="Times New Roman" w:hAnsi="Times New Roman"/>
          <w:sz w:val="18"/>
          <w:szCs w:val="18"/>
          <w:color w:val="auto"/>
        </w:rPr>
        <w:t>Chief Financial Officer</w:t>
      </w:r>
    </w:p>
    <w:p>
      <w:pPr>
        <w:spacing w:after="0" w:line="207"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tbl>
      <w:tblPr>
        <w:tblLayout w:type="fixed"/>
        <w:tblInd w:w="0" w:type="dxa"/>
        <w:tblCellMar>
          <w:top w:w="0" w:type="dxa"/>
          <w:left w:w="0" w:type="dxa"/>
          <w:bottom w:w="0" w:type="dxa"/>
          <w:right w:w="0" w:type="dxa"/>
        </w:tblCellMar>
      </w:tblPr>
      <w:tr>
        <w:trPr>
          <w:trHeight w:val="238"/>
        </w:trPr>
        <w:tc>
          <w:tcPr>
            <w:tcW w:w="10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100" w:type="dxa"/>
            <w:vAlign w:val="bottom"/>
          </w:tcPr>
          <w:p>
            <w:pPr>
              <w:jc w:val="center"/>
              <w:ind w:right="1219"/>
              <w:spacing w:after="0"/>
              <w:rPr>
                <w:sz w:val="20"/>
                <w:szCs w:val="20"/>
                <w:color w:val="auto"/>
              </w:rPr>
            </w:pPr>
            <w:r>
              <w:rPr>
                <w:rFonts w:ascii="Times New Roman" w:cs="Times New Roman" w:eastAsia="Times New Roman" w:hAnsi="Times New Roman"/>
                <w:sz w:val="18"/>
                <w:szCs w:val="18"/>
                <w:b w:val="1"/>
                <w:bCs w:val="1"/>
                <w:color w:val="auto"/>
              </w:rPr>
              <w:t>EXHIBIT INDEX</w:t>
            </w:r>
          </w:p>
        </w:tc>
        <w:tc>
          <w:tcPr>
            <w:tcW w:w="20" w:type="dxa"/>
            <w:vAlign w:val="bottom"/>
          </w:tcPr>
          <w:p>
            <w:pPr>
              <w:spacing w:after="0"/>
              <w:rPr>
                <w:sz w:val="20"/>
                <w:szCs w:val="20"/>
                <w:color w:val="auto"/>
              </w:rPr>
            </w:pPr>
          </w:p>
        </w:tc>
      </w:tr>
      <w:tr>
        <w:trPr>
          <w:trHeight w:val="365"/>
        </w:trPr>
        <w:tc>
          <w:tcPr>
            <w:tcW w:w="1060" w:type="dxa"/>
            <w:vAlign w:val="bottom"/>
            <w:tcBorders>
              <w:bottom w:val="single" w:sz="8" w:color="auto"/>
            </w:tcBorders>
          </w:tcPr>
          <w:p>
            <w:pPr>
              <w:jc w:val="center"/>
              <w:ind w:right="259"/>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260" w:type="dxa"/>
            <w:vAlign w:val="bottom"/>
          </w:tcPr>
          <w:p>
            <w:pPr>
              <w:spacing w:after="0"/>
              <w:rPr>
                <w:sz w:val="24"/>
                <w:szCs w:val="24"/>
                <w:color w:val="auto"/>
              </w:rPr>
            </w:pPr>
          </w:p>
        </w:tc>
        <w:tc>
          <w:tcPr>
            <w:tcW w:w="10100" w:type="dxa"/>
            <w:vAlign w:val="bottom"/>
            <w:tcBorders>
              <w:bottom w:val="single" w:sz="8" w:color="auto"/>
            </w:tcBorders>
          </w:tcPr>
          <w:p>
            <w:pPr>
              <w:ind w:left="4700"/>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20" w:type="dxa"/>
            <w:vAlign w:val="bottom"/>
          </w:tcPr>
          <w:p>
            <w:pPr>
              <w:spacing w:after="0"/>
              <w:rPr>
                <w:sz w:val="24"/>
                <w:szCs w:val="24"/>
                <w:color w:val="auto"/>
              </w:rPr>
            </w:pPr>
          </w:p>
        </w:tc>
      </w:tr>
      <w:tr>
        <w:trPr>
          <w:trHeight w:val="426"/>
        </w:trPr>
        <w:tc>
          <w:tcPr>
            <w:tcW w:w="1060" w:type="dxa"/>
            <w:vAlign w:val="bottom"/>
          </w:tcPr>
          <w:p>
            <w:pPr>
              <w:jc w:val="right"/>
              <w:ind w:right="479"/>
              <w:spacing w:after="0"/>
              <w:rPr>
                <w:sz w:val="20"/>
                <w:szCs w:val="20"/>
                <w:color w:val="auto"/>
              </w:rPr>
            </w:pPr>
            <w:r>
              <w:rPr>
                <w:rFonts w:ascii="Times New Roman" w:cs="Times New Roman" w:eastAsia="Times New Roman" w:hAnsi="Times New Roman"/>
                <w:sz w:val="18"/>
                <w:szCs w:val="18"/>
                <w:color w:val="auto"/>
              </w:rPr>
              <w:t>99.1</w:t>
            </w:r>
          </w:p>
        </w:tc>
        <w:tc>
          <w:tcPr>
            <w:tcW w:w="10360" w:type="dxa"/>
            <w:vAlign w:val="bottom"/>
            <w:gridSpan w:val="2"/>
          </w:tcPr>
          <w:p>
            <w:pPr>
              <w:ind w:left="260"/>
              <w:spacing w:after="0"/>
              <w:rPr>
                <w:sz w:val="20"/>
                <w:szCs w:val="20"/>
                <w:color w:val="auto"/>
              </w:rPr>
            </w:pPr>
            <w:r>
              <w:rPr>
                <w:rFonts w:ascii="Times New Roman" w:cs="Times New Roman" w:eastAsia="Times New Roman" w:hAnsi="Times New Roman"/>
                <w:sz w:val="18"/>
                <w:szCs w:val="18"/>
                <w:color w:val="auto"/>
              </w:rPr>
              <w:t>Press Release dated May 18, 2006.</w:t>
            </w:r>
          </w:p>
        </w:tc>
        <w:tc>
          <w:tcPr>
            <w:tcW w:w="20" w:type="dxa"/>
            <w:vAlign w:val="bottom"/>
          </w:tcPr>
          <w:p>
            <w:pPr>
              <w:spacing w:after="0"/>
              <w:rPr>
                <w:sz w:val="24"/>
                <w:szCs w:val="24"/>
                <w:color w:val="auto"/>
              </w:rPr>
            </w:pPr>
          </w:p>
        </w:tc>
      </w:tr>
      <w:tr>
        <w:trPr>
          <w:trHeight w:val="432"/>
        </w:trPr>
        <w:tc>
          <w:tcPr>
            <w:tcW w:w="1060" w:type="dxa"/>
            <w:vAlign w:val="bottom"/>
          </w:tcPr>
          <w:p>
            <w:pPr>
              <w:spacing w:after="0"/>
              <w:rPr>
                <w:sz w:val="24"/>
                <w:szCs w:val="24"/>
                <w:color w:val="auto"/>
              </w:rPr>
            </w:pPr>
          </w:p>
        </w:tc>
        <w:tc>
          <w:tcPr>
            <w:tcW w:w="10360" w:type="dxa"/>
            <w:vAlign w:val="bottom"/>
            <w:gridSpan w:val="2"/>
          </w:tcPr>
          <w:p>
            <w:pPr>
              <w:jc w:val="right"/>
              <w:ind w:right="5579"/>
              <w:spacing w:after="0"/>
              <w:rPr>
                <w:sz w:val="20"/>
                <w:szCs w:val="20"/>
                <w:color w:val="auto"/>
              </w:rPr>
            </w:pPr>
            <w:r>
              <w:rPr>
                <w:rFonts w:ascii="Times New Roman" w:cs="Times New Roman" w:eastAsia="Times New Roman" w:hAnsi="Times New Roman"/>
                <w:sz w:val="18"/>
                <w:szCs w:val="18"/>
                <w:color w:val="auto"/>
              </w:rPr>
              <w:t>4</w:t>
            </w:r>
          </w:p>
        </w:tc>
        <w:tc>
          <w:tcPr>
            <w:tcW w:w="20" w:type="dxa"/>
            <w:vAlign w:val="bottom"/>
          </w:tcPr>
          <w:p>
            <w:pPr>
              <w:spacing w:after="0"/>
              <w:rPr>
                <w:sz w:val="24"/>
                <w:szCs w:val="24"/>
                <w:color w:val="auto"/>
              </w:rPr>
            </w:pPr>
          </w:p>
        </w:tc>
      </w:tr>
      <w:tr>
        <w:trPr>
          <w:trHeight w:val="118"/>
        </w:trPr>
        <w:tc>
          <w:tcPr>
            <w:tcW w:w="1060" w:type="dxa"/>
            <w:vAlign w:val="bottom"/>
            <w:tcBorders>
              <w:bottom w:val="single" w:sz="8" w:color="808080"/>
            </w:tcBorders>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1010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14" w:right="219" w:bottom="1440" w:gutter="0" w:footer="0" w:header="0"/>
        </w:sectPr>
      </w:pPr>
    </w:p>
    <w:bookmarkStart w:id="2" w:name="page3"/>
    <w:bookmarkEnd w:id="2"/>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NEWS RELEASE</w:t>
      </w:r>
    </w:p>
    <w:p>
      <w:pPr>
        <w:spacing w:after="0" w:line="161" w:lineRule="exact"/>
        <w:rPr>
          <w:sz w:val="20"/>
          <w:szCs w:val="20"/>
          <w:color w:val="auto"/>
        </w:rPr>
      </w:pPr>
    </w:p>
    <w:p>
      <w:pPr>
        <w:ind w:left="4100"/>
        <w:spacing w:after="0"/>
        <w:rPr>
          <w:sz w:val="20"/>
          <w:szCs w:val="20"/>
          <w:color w:val="auto"/>
        </w:rPr>
      </w:pPr>
      <w:r>
        <w:rPr>
          <w:rFonts w:ascii="Times New Roman" w:cs="Times New Roman" w:eastAsia="Times New Roman" w:hAnsi="Times New Roman"/>
          <w:sz w:val="18"/>
          <w:szCs w:val="18"/>
          <w:b w:val="1"/>
          <w:bCs w:val="1"/>
          <w:color w:val="auto"/>
        </w:rPr>
        <w:t>Marvell</w:t>
      </w:r>
      <w:r>
        <w:rPr>
          <w:rFonts w:ascii="Times New Roman" w:cs="Times New Roman" w:eastAsia="Times New Roman" w:hAnsi="Times New Roman"/>
          <w:sz w:val="30"/>
          <w:szCs w:val="30"/>
          <w:b w:val="1"/>
          <w:bCs w:val="1"/>
          <w:color w:val="auto"/>
          <w:vertAlign w:val="superscript"/>
        </w:rPr>
        <w:t>®</w:t>
      </w:r>
      <w:r>
        <w:rPr>
          <w:rFonts w:ascii="Times New Roman" w:cs="Times New Roman" w:eastAsia="Times New Roman" w:hAnsi="Times New Roman"/>
          <w:sz w:val="18"/>
          <w:szCs w:val="18"/>
          <w:b w:val="1"/>
          <w:bCs w:val="1"/>
          <w:color w:val="auto"/>
        </w:rPr>
        <w:t xml:space="preserve"> Technology Group Ltd. Reports</w:t>
      </w:r>
    </w:p>
    <w:p>
      <w:pPr>
        <w:ind w:left="4140"/>
        <w:spacing w:after="0"/>
        <w:rPr>
          <w:sz w:val="20"/>
          <w:szCs w:val="20"/>
          <w:color w:val="auto"/>
        </w:rPr>
      </w:pPr>
      <w:r>
        <w:rPr>
          <w:rFonts w:ascii="Times New Roman" w:cs="Times New Roman" w:eastAsia="Times New Roman" w:hAnsi="Times New Roman"/>
          <w:sz w:val="18"/>
          <w:szCs w:val="18"/>
          <w:b w:val="1"/>
          <w:bCs w:val="1"/>
          <w:color w:val="auto"/>
        </w:rPr>
        <w:t>Record First Quarter Fiscal 2007 Results</w:t>
      </w:r>
    </w:p>
    <w:p>
      <w:pPr>
        <w:spacing w:after="0" w:line="209" w:lineRule="exact"/>
        <w:rPr>
          <w:sz w:val="20"/>
          <w:szCs w:val="20"/>
          <w:color w:val="auto"/>
        </w:rPr>
      </w:pPr>
    </w:p>
    <w:p>
      <w:pPr>
        <w:ind w:right="560"/>
        <w:spacing w:after="0" w:line="211" w:lineRule="auto"/>
        <w:rPr>
          <w:sz w:val="20"/>
          <w:szCs w:val="20"/>
          <w:color w:val="auto"/>
        </w:rPr>
      </w:pPr>
      <w:r>
        <w:rPr>
          <w:rFonts w:ascii="Times New Roman" w:cs="Times New Roman" w:eastAsia="Times New Roman" w:hAnsi="Times New Roman"/>
          <w:sz w:val="18"/>
          <w:szCs w:val="18"/>
          <w:color w:val="auto"/>
        </w:rPr>
        <w:t xml:space="preserve">Santa Clara, CA. (May 18, 2006) </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xml:space="preserve"> Marvell</w:t>
      </w:r>
      <w:r>
        <w:rPr>
          <w:rFonts w:ascii="Times New Roman" w:cs="Times New Roman" w:eastAsia="Times New Roman" w:hAnsi="Times New Roman"/>
          <w:sz w:val="30"/>
          <w:szCs w:val="30"/>
          <w:color w:val="auto"/>
          <w:vertAlign w:val="superscript"/>
        </w:rPr>
        <w:t>®</w:t>
      </w:r>
      <w:r>
        <w:rPr>
          <w:rFonts w:ascii="Times New Roman" w:cs="Times New Roman" w:eastAsia="Times New Roman" w:hAnsi="Times New Roman"/>
          <w:sz w:val="18"/>
          <w:szCs w:val="18"/>
          <w:color w:val="auto"/>
        </w:rPr>
        <w:t xml:space="preserve"> Technology Group Ltd. (NASDAQ: MRVL), the leader in development of storage, communications, and consumer silicon solutions, today reported financial results for its first fiscal quarter ended April 29, 2006.</w:t>
      </w:r>
    </w:p>
    <w:p>
      <w:pPr>
        <w:spacing w:after="0" w:line="200" w:lineRule="exact"/>
        <w:rPr>
          <w:sz w:val="20"/>
          <w:szCs w:val="20"/>
          <w:color w:val="auto"/>
        </w:rPr>
      </w:pPr>
    </w:p>
    <w:p>
      <w:pPr>
        <w:ind w:right="20"/>
        <w:spacing w:after="0" w:line="258" w:lineRule="auto"/>
        <w:rPr>
          <w:sz w:val="20"/>
          <w:szCs w:val="20"/>
          <w:color w:val="auto"/>
        </w:rPr>
      </w:pPr>
      <w:r>
        <w:rPr>
          <w:rFonts w:ascii="Times New Roman" w:cs="Times New Roman" w:eastAsia="Times New Roman" w:hAnsi="Times New Roman"/>
          <w:sz w:val="18"/>
          <w:szCs w:val="18"/>
          <w:color w:val="auto"/>
        </w:rPr>
        <w:t>Net revenue for the first quarter of fiscal 2007 was a record $521.2 million, an increase of 42.9% over net revenue of $364.8 million for the first quarter of fiscal 2006 and a 6.6% sequential increase from net revenue of $489.0 million for the fourth quarter of fiscal 2006. Net income under generally accepted accounting principles (GAAP) was $75.3 million, or $0.23 per share (diluted), for the first quarter of fiscal 2007, compared with a net income under GAAP of $63.5 million, or $0.20 per share (diluted), for the first quarter of fiscal 2006. Shares used to compute GAAP net income per diluted share for the first quarter ended April 29, 2006 increased to 320.4 million shares, compared with 310.7 million shares for the first quarter ended April 30, 2005.</w:t>
      </w:r>
    </w:p>
    <w:p>
      <w:pPr>
        <w:spacing w:after="0" w:line="184" w:lineRule="exact"/>
        <w:rPr>
          <w:sz w:val="20"/>
          <w:szCs w:val="20"/>
          <w:color w:val="auto"/>
        </w:rPr>
      </w:pPr>
    </w:p>
    <w:p>
      <w:pPr>
        <w:ind w:right="140"/>
        <w:spacing w:after="0" w:line="258" w:lineRule="auto"/>
        <w:rPr>
          <w:sz w:val="20"/>
          <w:szCs w:val="20"/>
          <w:color w:val="auto"/>
        </w:rPr>
      </w:pPr>
      <w:r>
        <w:rPr>
          <w:rFonts w:ascii="Times New Roman" w:cs="Times New Roman" w:eastAsia="Times New Roman" w:hAnsi="Times New Roman"/>
          <w:sz w:val="18"/>
          <w:szCs w:val="18"/>
          <w:color w:val="auto"/>
        </w:rPr>
        <w:t>Marvell reports net income and basic and diluted net income per share in accordance with GAAP and additionally on a non-GAAP basis. Non-GAAP net income, where applicable, excludes the effect of stock-based compensation, amortization of acquired intangible assets and acquisition related charges. Non-GAAP net income was $141.1 million, or $0.44 per share (diluted), for the first quarter of fiscal 2007, compared with non-GAAP net income of $84.2 million, or $0.27 per share (diluted), for the first quarter of fiscal 2006. Shares used to compute non-GAAP net income per diluted share for the first quarter ended April 29, 2006 increased to 323.6 million shares, compared with 310.7 million shares for the first quarter ended April 30, 2005.</w:t>
      </w:r>
    </w:p>
    <w:p>
      <w:pPr>
        <w:spacing w:after="0" w:line="184" w:lineRule="exact"/>
        <w:rPr>
          <w:sz w:val="20"/>
          <w:szCs w:val="20"/>
          <w:color w:val="auto"/>
        </w:rPr>
      </w:pPr>
    </w:p>
    <w:p>
      <w:pPr>
        <w:ind w:right="180"/>
        <w:spacing w:after="0" w:line="266" w:lineRule="auto"/>
        <w:rPr>
          <w:sz w:val="20"/>
          <w:szCs w:val="20"/>
          <w:color w:val="auto"/>
        </w:rPr>
      </w:pPr>
      <w:r>
        <w:rPr>
          <w:rFonts w:ascii="Times New Roman" w:cs="Times New Roman" w:eastAsia="Times New Roman" w:hAnsi="Times New Roman"/>
          <w:sz w:val="18"/>
          <w:szCs w:val="18"/>
          <w:color w:val="auto"/>
        </w:rPr>
        <w:t>These non-GAAP measures should be considered in addition to, and not as a substitute for, the results prepared in accordance with GAAP. A reconciliation of GAAP net income to non-GAAP net income is included in the financial tables of this release as well as on our website in the Investors section at www.marvell.com.</w:t>
      </w:r>
    </w:p>
    <w:p>
      <w:pPr>
        <w:spacing w:after="0" w:line="176" w:lineRule="exact"/>
        <w:rPr>
          <w:sz w:val="20"/>
          <w:szCs w:val="20"/>
          <w:color w:val="auto"/>
        </w:rPr>
      </w:pPr>
    </w:p>
    <w:p>
      <w:pPr>
        <w:ind w:right="260"/>
        <w:spacing w:after="0" w:line="261" w:lineRule="auto"/>
        <w:rPr>
          <w:sz w:val="20"/>
          <w:szCs w:val="20"/>
          <w:color w:val="auto"/>
        </w:rPr>
      </w:pPr>
      <w:r>
        <w:rPr>
          <w:rFonts w:ascii="Times New Roman" w:cs="Times New Roman" w:eastAsia="Times New Roman" w:hAnsi="Times New Roman"/>
          <w:sz w:val="18"/>
          <w:szCs w:val="18"/>
          <w:color w:val="auto"/>
        </w:rPr>
        <w:t>Marvell’s management believes the non-GAAP information is useful because it can enhance the understanding of the Company’s ongoing economic performance and Marvell therefore uses non-GAAP reporting internally to evaluate and manage the Company’s operations. Marvell has chosen to provide this information to investors to enable them to perform comparisons of operating results in a manner similar to how the Company analyzes its operating results internally.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192405</wp:posOffset>
            </wp:positionV>
            <wp:extent cx="726757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jc w:val="both"/>
        <w:ind w:right="300"/>
        <w:spacing w:after="0" w:line="261" w:lineRule="auto"/>
        <w:rPr>
          <w:sz w:val="20"/>
          <w:szCs w:val="20"/>
          <w:color w:val="auto"/>
        </w:rPr>
      </w:pPr>
      <w:r>
        <w:rPr>
          <w:rFonts w:ascii="Times New Roman" w:cs="Times New Roman" w:eastAsia="Times New Roman" w:hAnsi="Times New Roman"/>
          <w:sz w:val="18"/>
          <w:szCs w:val="18"/>
          <w:color w:val="auto"/>
        </w:rPr>
        <w:t>“Q1 was another very strong quarter for Marvell” stated Dr. Sehat Sutardja, Marvell’s President and CEO. “We are having strong success in driving the adoption of our advanced technologies into a number of exciting high volume Consumer and Enterprise markets. With this success, we are continuing to diversify our revenues which we expect will provide us with new high volume market opportunities and enable us to build upon our strong track record of solid revenue growth.”</w:t>
      </w:r>
    </w:p>
    <w:p>
      <w:pPr>
        <w:spacing w:after="0" w:line="184" w:lineRule="exact"/>
        <w:rPr>
          <w:sz w:val="20"/>
          <w:szCs w:val="20"/>
          <w:color w:val="auto"/>
        </w:rPr>
      </w:pPr>
    </w:p>
    <w:p>
      <w:pPr>
        <w:ind w:right="80"/>
        <w:spacing w:after="0" w:line="211" w:lineRule="auto"/>
        <w:rPr>
          <w:sz w:val="20"/>
          <w:szCs w:val="20"/>
          <w:color w:val="auto"/>
        </w:rPr>
      </w:pPr>
      <w:r>
        <w:rPr>
          <w:rFonts w:ascii="Times New Roman" w:cs="Times New Roman" w:eastAsia="Times New Roman" w:hAnsi="Times New Roman"/>
          <w:sz w:val="18"/>
          <w:szCs w:val="18"/>
          <w:color w:val="auto"/>
        </w:rPr>
        <w:t>Revenue for the first quarter was a record for Marvell and represented the 34</w:t>
      </w:r>
      <w:r>
        <w:rPr>
          <w:rFonts w:ascii="Times New Roman" w:cs="Times New Roman" w:eastAsia="Times New Roman" w:hAnsi="Times New Roman"/>
          <w:sz w:val="30"/>
          <w:szCs w:val="30"/>
          <w:color w:val="auto"/>
          <w:vertAlign w:val="superscript"/>
        </w:rPr>
        <w:t>th</w:t>
      </w:r>
      <w:r>
        <w:rPr>
          <w:rFonts w:ascii="Times New Roman" w:cs="Times New Roman" w:eastAsia="Times New Roman" w:hAnsi="Times New Roman"/>
          <w:sz w:val="18"/>
          <w:szCs w:val="18"/>
          <w:color w:val="auto"/>
        </w:rPr>
        <w:t xml:space="preserve"> consecutive quarter for sequential revenue growth. The following is a review of some of the recent highlights that occurred since last quarter’s earnings release:</w:t>
      </w:r>
    </w:p>
    <w:p>
      <w:pPr>
        <w:spacing w:after="0" w:line="227" w:lineRule="exact"/>
        <w:rPr>
          <w:sz w:val="20"/>
          <w:szCs w:val="20"/>
          <w:color w:val="auto"/>
        </w:rPr>
      </w:pPr>
    </w:p>
    <w:p>
      <w:pPr>
        <w:ind w:left="660" w:right="60" w:hanging="328"/>
        <w:spacing w:after="0" w:line="244" w:lineRule="auto"/>
        <w:tabs>
          <w:tab w:leader="none" w:pos="655" w:val="left"/>
        </w:tabs>
        <w:numPr>
          <w:ilvl w:val="0"/>
          <w:numId w:val="1"/>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In April, Marvell announced first customer shipment of its TopDog™ branded family of 802.11n IEEE draft compliant products for consumer, enterprise, and mobile markets. Marvell’s TopDog products feature the highest data rates, longest range and lowest power profile in the industry. With industry-leading ease of use and multiple antennae configuration support including 3x3, 2x3, 2x2 and 1x2; Marvell TopDog WLAN solutions are designed to enable seamless connectivity for data intensive applications such as wireless streaming of HDTV and multimedia content throughout the home.</w:t>
      </w:r>
    </w:p>
    <w:p>
      <w:pPr>
        <w:spacing w:after="0" w:line="224" w:lineRule="exact"/>
        <w:rPr>
          <w:rFonts w:ascii="Times New Roman" w:cs="Times New Roman" w:eastAsia="Times New Roman" w:hAnsi="Times New Roman"/>
          <w:sz w:val="22"/>
          <w:szCs w:val="22"/>
          <w:color w:val="auto"/>
        </w:rPr>
      </w:pPr>
    </w:p>
    <w:p>
      <w:pPr>
        <w:ind w:left="660" w:right="40" w:hanging="328"/>
        <w:spacing w:after="0" w:line="245" w:lineRule="auto"/>
        <w:tabs>
          <w:tab w:leader="none" w:pos="655" w:val="left"/>
        </w:tabs>
        <w:numPr>
          <w:ilvl w:val="0"/>
          <w:numId w:val="1"/>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Earlier this month at Interop 2006 in Las Vegas, Marvell demonstrated its leadership position in the switching market. During this show, Marvell displayed customer equipment ranging from the very high-end metro class equipment to the high-volume value class switches. Marvell also announced a number of products including the Prestera™ 98DX2x5 family of packet processors for the secure enterprise and metro Ethernet markets. Also, Marvell introduced a new set of Ethernet packet processor solutions optimized for the Small and Medium Business market. The new Prestera 98DX249 and 98DX269 SecureSmartStackable family of products extends the flexibility and scalability of clustering and stacking, offering resilient networks and business continuity architecture.</w:t>
      </w:r>
    </w:p>
    <w:p>
      <w:pPr>
        <w:spacing w:after="0" w:line="224" w:lineRule="exact"/>
        <w:rPr>
          <w:rFonts w:ascii="Times New Roman" w:cs="Times New Roman" w:eastAsia="Times New Roman" w:hAnsi="Times New Roman"/>
          <w:sz w:val="22"/>
          <w:szCs w:val="22"/>
          <w:color w:val="auto"/>
        </w:rPr>
      </w:pPr>
    </w:p>
    <w:p>
      <w:pPr>
        <w:ind w:left="660" w:right="40" w:hanging="328"/>
        <w:spacing w:after="0" w:line="235" w:lineRule="auto"/>
        <w:tabs>
          <w:tab w:leader="none" w:pos="655" w:val="left"/>
        </w:tabs>
        <w:numPr>
          <w:ilvl w:val="0"/>
          <w:numId w:val="1"/>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In March, Marvell introduced the next generation of Marvell’s industry leading Yukon family of Ethernet controllers - Marvell Yukon™ Ultra. The Yukon Ultra controller is the world’s highest performance, lowest power PCI Express™ Gigabit Ethernet solution for notebook and desktop</w:t>
      </w:r>
    </w:p>
    <w:p>
      <w:pPr>
        <w:ind w:left="660" w:right="140"/>
        <w:spacing w:after="0" w:line="253" w:lineRule="auto"/>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PCs. The Yukon Ultra is part of Marvell’s family of pin-compatible Ethernet controllers for PCs. The Yukon family’s pin-compatibility is designed to provide PC vendors with the flexibility to leverage a single motherboard design across a broad range of consumer and enterprise platforms. The latest addition to the Yukon pin-compatible family further enhances Marvell’s leadership position by providing the lowest power solutions for notebooks to enable improved battery life for users. Yukon Ultra delivers greater than 30% power savings over similar competing solutions while offering the industry’s highest throughput.</w:t>
      </w:r>
    </w:p>
    <w:p>
      <w:pPr>
        <w:spacing w:after="0" w:line="187"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Marvell will be conducting a conference call today at 1:45 p.m. PST to discuss its first quarter financial results. The call is being webcast by Thomson/CCBN and can be accessed at Marvell’s web site at www.marvell.com. The webcast is also being distributed through Thomson StreetEvents Network. Individual investors can listen to the call at www.earnings.com, Thomson’s individual investor portal, powered by StreetEvents. Institutional investors can access the call via Thomson StreetEvents (www.streetevents.com), a password-protected event management site. The conference call will also be available via the web at www.marvell.com. Please visit the Investor Events section. Replay on the Internet will be available until February 23,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194945</wp:posOffset>
            </wp:positionV>
            <wp:extent cx="7267575"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ectPr>
          <w:pgSz w:w="11900" w:h="16838" w:orient="portrait"/>
          <w:cols w:equalWidth="0" w:num="1">
            <w:col w:w="11420"/>
          </w:cols>
          <w:pgMar w:left="240" w:top="117" w:right="239" w:bottom="81" w:gutter="0" w:footer="0" w:header="0"/>
        </w:sectPr>
      </w:pPr>
    </w:p>
    <w:bookmarkStart w:id="3" w:name="page4"/>
    <w:bookmarkEnd w:id="3"/>
    <w:p>
      <w:pPr>
        <w:ind w:right="140"/>
        <w:spacing w:after="0" w:line="255" w:lineRule="auto"/>
        <w:rPr>
          <w:sz w:val="20"/>
          <w:szCs w:val="20"/>
          <w:color w:val="auto"/>
        </w:rPr>
      </w:pPr>
      <w:r>
        <w:rPr>
          <w:rFonts w:ascii="Times New Roman" w:cs="Times New Roman" w:eastAsia="Times New Roman" w:hAnsi="Times New Roman"/>
          <w:sz w:val="18"/>
          <w:szCs w:val="18"/>
          <w:color w:val="auto"/>
        </w:rPr>
        <w:t>Marvell (NASDAQ: MRVL) is the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Santa Clara,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Safe Harbor Statement Under the Private Securities Litigation Reform Act of 1995:</w:t>
      </w:r>
    </w:p>
    <w:p>
      <w:pPr>
        <w:spacing w:after="0" w:line="229" w:lineRule="exact"/>
        <w:rPr>
          <w:sz w:val="20"/>
          <w:szCs w:val="20"/>
          <w:color w:val="auto"/>
        </w:rPr>
      </w:pPr>
    </w:p>
    <w:p>
      <w:pPr>
        <w:jc w:val="both"/>
        <w:ind w:right="320"/>
        <w:spacing w:after="0" w:line="255" w:lineRule="auto"/>
        <w:rPr>
          <w:sz w:val="20"/>
          <w:szCs w:val="20"/>
          <w:color w:val="auto"/>
        </w:rPr>
      </w:pPr>
      <w:r>
        <w:rPr>
          <w:rFonts w:ascii="Times New Roman" w:cs="Times New Roman" w:eastAsia="Times New Roman" w:hAnsi="Times New Roman"/>
          <w:sz w:val="18"/>
          <w:szCs w:val="18"/>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our strong success in the adoption of our technologies in consumer and enterprise markets, continuing to diversify our revenues, new high volume market opportunities, our strong track record of revenue growth and the anticipated features and benefits of our solutions.</w:t>
      </w:r>
    </w:p>
    <w:p>
      <w:pPr>
        <w:spacing w:after="0" w:line="3" w:lineRule="exact"/>
        <w:rPr>
          <w:sz w:val="20"/>
          <w:szCs w:val="20"/>
          <w:color w:val="auto"/>
        </w:rPr>
      </w:pPr>
    </w:p>
    <w:p>
      <w:pPr>
        <w:ind w:right="20"/>
        <w:spacing w:after="0" w:line="252" w:lineRule="auto"/>
        <w:rPr>
          <w:sz w:val="20"/>
          <w:szCs w:val="20"/>
          <w:color w:val="auto"/>
        </w:rPr>
      </w:pPr>
      <w:r>
        <w:rPr>
          <w:rFonts w:ascii="Times New Roman" w:cs="Times New Roman" w:eastAsia="Times New Roman" w:hAnsi="Times New Roman"/>
          <w:sz w:val="18"/>
          <w:szCs w:val="18"/>
          <w:color w:val="auto"/>
        </w:rPr>
        <w:t>Statements that refer to, or are based on projections, uncertain events or assumptions also identify forward-looking statements. These statements are not guarantees of results and are subject to risks and uncertainties that could cause actual results to differ materially from those anticipated in the forward-looking statements. These risks and uncertainties include, but are not limited to, the timing, cost and successful completion of development and volume production of the Company’s products,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fiscal year ended January 28, 2006 and other factors detailed from time to time in Marvell’s filings with the Securities and Exchange Commission. We undertake no obligation to revise or update publicly any forward-looking statements.</w:t>
      </w:r>
    </w:p>
    <w:p>
      <w:pPr>
        <w:spacing w:after="0" w:line="1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30"/>
          <w:szCs w:val="30"/>
          <w:i w:val="1"/>
          <w:iCs w:val="1"/>
          <w:color w:val="auto"/>
          <w:vertAlign w:val="superscript"/>
        </w:rPr>
        <w:t>®</w:t>
      </w:r>
      <w:r>
        <w:rPr>
          <w:rFonts w:ascii="Times New Roman" w:cs="Times New Roman" w:eastAsia="Times New Roman" w:hAnsi="Times New Roman"/>
          <w:sz w:val="18"/>
          <w:szCs w:val="18"/>
          <w:i w:val="1"/>
          <w:iCs w:val="1"/>
          <w:color w:val="auto"/>
        </w:rPr>
        <w:t xml:space="preserve"> and the Marvell logo are trademarks of Marvell. All other trademarks are the property of their respective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158115</wp:posOffset>
            </wp:positionV>
            <wp:extent cx="7267575"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Income</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0"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5660" w:type="dxa"/>
            <w:vAlign w:val="bottom"/>
          </w:tcPr>
          <w:p>
            <w:pPr>
              <w:spacing w:after="0"/>
              <w:rPr>
                <w:sz w:val="15"/>
                <w:szCs w:val="15"/>
                <w:color w:val="auto"/>
              </w:rPr>
            </w:pPr>
          </w:p>
        </w:tc>
        <w:tc>
          <w:tcPr>
            <w:tcW w:w="24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020" w:type="dxa"/>
            <w:vAlign w:val="bottom"/>
            <w:gridSpan w:val="7"/>
          </w:tcPr>
          <w:p>
            <w:pPr>
              <w:ind w:left="64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5660" w:type="dxa"/>
            <w:vAlign w:val="bottom"/>
          </w:tcPr>
          <w:p>
            <w:pPr>
              <w:spacing w:after="0"/>
              <w:rPr>
                <w:sz w:val="10"/>
                <w:szCs w:val="10"/>
                <w:color w:val="auto"/>
              </w:rPr>
            </w:pPr>
          </w:p>
        </w:tc>
        <w:tc>
          <w:tcPr>
            <w:tcW w:w="2440" w:type="dxa"/>
            <w:vAlign w:val="bottom"/>
          </w:tcPr>
          <w:p>
            <w:pPr>
              <w:spacing w:after="0"/>
              <w:rPr>
                <w:sz w:val="10"/>
                <w:szCs w:val="10"/>
                <w:color w:val="auto"/>
              </w:rPr>
            </w:pPr>
          </w:p>
        </w:tc>
        <w:tc>
          <w:tcPr>
            <w:tcW w:w="280" w:type="dxa"/>
            <w:vAlign w:val="bottom"/>
            <w:tcBorders>
              <w:top w:val="single" w:sz="8" w:color="auto"/>
            </w:tcBorders>
          </w:tcPr>
          <w:p>
            <w:pPr>
              <w:spacing w:after="0"/>
              <w:rPr>
                <w:sz w:val="10"/>
                <w:szCs w:val="10"/>
                <w:color w:val="auto"/>
              </w:rPr>
            </w:pPr>
          </w:p>
        </w:tc>
        <w:tc>
          <w:tcPr>
            <w:tcW w:w="1340" w:type="dxa"/>
            <w:vAlign w:val="bottom"/>
            <w:tcBorders>
              <w:top w:val="single" w:sz="8" w:color="auto"/>
            </w:tcBorders>
            <w:gridSpan w:val="2"/>
          </w:tcPr>
          <w:p>
            <w:pPr>
              <w:ind w:left="160"/>
              <w:spacing w:after="0" w:line="118" w:lineRule="exact"/>
              <w:rPr>
                <w:sz w:val="20"/>
                <w:szCs w:val="20"/>
                <w:color w:val="auto"/>
              </w:rPr>
            </w:pPr>
            <w:r>
              <w:rPr>
                <w:rFonts w:ascii="Times New Roman" w:cs="Times New Roman" w:eastAsia="Times New Roman" w:hAnsi="Times New Roman"/>
                <w:sz w:val="13"/>
                <w:szCs w:val="13"/>
                <w:b w:val="1"/>
                <w:bCs w:val="1"/>
                <w:color w:val="auto"/>
              </w:rPr>
              <w:t>April 29,</w:t>
            </w:r>
          </w:p>
        </w:tc>
        <w:tc>
          <w:tcPr>
            <w:tcW w:w="180" w:type="dxa"/>
            <w:vAlign w:val="bottom"/>
            <w:tcBorders>
              <w:top w:val="single" w:sz="8" w:color="auto"/>
            </w:tcBorders>
          </w:tcPr>
          <w:p>
            <w:pPr>
              <w:spacing w:after="0"/>
              <w:rPr>
                <w:sz w:val="10"/>
                <w:szCs w:val="10"/>
                <w:color w:val="auto"/>
              </w:rPr>
            </w:pPr>
          </w:p>
        </w:tc>
        <w:tc>
          <w:tcPr>
            <w:tcW w:w="240" w:type="dxa"/>
            <w:vAlign w:val="bottom"/>
            <w:tcBorders>
              <w:top w:val="single" w:sz="8" w:color="auto"/>
            </w:tcBorders>
          </w:tcPr>
          <w:p>
            <w:pPr>
              <w:spacing w:after="0"/>
              <w:rPr>
                <w:sz w:val="10"/>
                <w:szCs w:val="10"/>
                <w:color w:val="auto"/>
              </w:rPr>
            </w:pPr>
          </w:p>
        </w:tc>
        <w:tc>
          <w:tcPr>
            <w:tcW w:w="1120" w:type="dxa"/>
            <w:vAlign w:val="bottom"/>
            <w:tcBorders>
              <w:top w:val="single" w:sz="8" w:color="auto"/>
            </w:tcBorders>
          </w:tcPr>
          <w:p>
            <w:pPr>
              <w:jc w:val="right"/>
              <w:ind w:right="332"/>
              <w:spacing w:after="0" w:line="118" w:lineRule="exact"/>
              <w:rPr>
                <w:sz w:val="20"/>
                <w:szCs w:val="20"/>
                <w:color w:val="auto"/>
              </w:rPr>
            </w:pPr>
            <w:r>
              <w:rPr>
                <w:rFonts w:ascii="Times New Roman" w:cs="Times New Roman" w:eastAsia="Times New Roman" w:hAnsi="Times New Roman"/>
                <w:sz w:val="13"/>
                <w:szCs w:val="13"/>
                <w:b w:val="1"/>
                <w:bCs w:val="1"/>
                <w:color w:val="auto"/>
              </w:rPr>
              <w:t>April 30,</w:t>
            </w:r>
          </w:p>
        </w:tc>
        <w:tc>
          <w:tcPr>
            <w:tcW w:w="140" w:type="dxa"/>
            <w:vAlign w:val="bottom"/>
            <w:gridSpan w:val="2"/>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5660" w:type="dxa"/>
            <w:vAlign w:val="bottom"/>
          </w:tcPr>
          <w:p>
            <w:pPr>
              <w:spacing w:after="0"/>
              <w:rPr>
                <w:sz w:val="15"/>
                <w:szCs w:val="15"/>
                <w:color w:val="auto"/>
              </w:rPr>
            </w:pPr>
          </w:p>
        </w:tc>
        <w:tc>
          <w:tcPr>
            <w:tcW w:w="2440" w:type="dxa"/>
            <w:vAlign w:val="bottom"/>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160" w:type="dxa"/>
            <w:vAlign w:val="bottom"/>
            <w:tcBorders>
              <w:bottom w:val="single" w:sz="8" w:color="auto"/>
            </w:tcBorders>
          </w:tcPr>
          <w:p>
            <w:pPr>
              <w:jc w:val="right"/>
              <w:ind w:right="493"/>
              <w:spacing w:after="0"/>
              <w:rPr>
                <w:sz w:val="20"/>
                <w:szCs w:val="20"/>
                <w:color w:val="auto"/>
              </w:rPr>
            </w:pPr>
            <w:r>
              <w:rPr>
                <w:rFonts w:ascii="Times New Roman" w:cs="Times New Roman" w:eastAsia="Times New Roman" w:hAnsi="Times New Roman"/>
                <w:sz w:val="14"/>
                <w:szCs w:val="14"/>
                <w:b w:val="1"/>
                <w:bCs w:val="1"/>
                <w:color w:val="auto"/>
              </w:rPr>
              <w:t>2006</w:t>
            </w: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1120" w:type="dxa"/>
            <w:vAlign w:val="bottom"/>
            <w:tcBorders>
              <w:bottom w:val="single" w:sz="8" w:color="auto"/>
            </w:tcBorders>
          </w:tcPr>
          <w:p>
            <w:pPr>
              <w:jc w:val="right"/>
              <w:ind w:right="452"/>
              <w:spacing w:after="0"/>
              <w:rPr>
                <w:sz w:val="20"/>
                <w:szCs w:val="20"/>
                <w:color w:val="auto"/>
              </w:rPr>
            </w:pPr>
            <w:r>
              <w:rPr>
                <w:rFonts w:ascii="Times New Roman" w:cs="Times New Roman" w:eastAsia="Times New Roman" w:hAnsi="Times New Roman"/>
                <w:sz w:val="14"/>
                <w:szCs w:val="14"/>
                <w:b w:val="1"/>
                <w:bCs w:val="1"/>
                <w:color w:val="auto"/>
              </w:rPr>
              <w:t>2005</w:t>
            </w: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660" w:type="dxa"/>
            <w:vAlign w:val="bottom"/>
          </w:tcPr>
          <w:p>
            <w:pPr>
              <w:spacing w:after="0"/>
              <w:rPr>
                <w:sz w:val="18"/>
                <w:szCs w:val="18"/>
                <w:color w:val="auto"/>
              </w:rPr>
            </w:pPr>
          </w:p>
        </w:tc>
        <w:tc>
          <w:tcPr>
            <w:tcW w:w="2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2720" w:type="dxa"/>
            <w:vAlign w:val="bottom"/>
            <w:gridSpan w:val="2"/>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521,196</w:t>
            </w:r>
          </w:p>
        </w:tc>
        <w:tc>
          <w:tcPr>
            <w:tcW w:w="420" w:type="dxa"/>
            <w:vAlign w:val="bottom"/>
            <w:gridSpan w:val="2"/>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364,770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60" w:type="dxa"/>
            <w:vAlign w:val="bottom"/>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2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40" w:type="dxa"/>
            <w:vAlign w:val="bottom"/>
            <w:gridSpan w:val="2"/>
          </w:tcPr>
          <w:p>
            <w:pPr>
              <w:jc w:val="right"/>
              <w:ind w:right="180"/>
              <w:spacing w:after="0"/>
              <w:rPr>
                <w:sz w:val="20"/>
                <w:szCs w:val="20"/>
                <w:color w:val="auto"/>
              </w:rPr>
            </w:pPr>
            <w:r>
              <w:rPr>
                <w:rFonts w:ascii="Times New Roman" w:cs="Times New Roman" w:eastAsia="Times New Roman" w:hAnsi="Times New Roman"/>
                <w:sz w:val="18"/>
                <w:szCs w:val="18"/>
                <w:color w:val="auto"/>
              </w:rPr>
              <w:t>240,664</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175,251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6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Gross profit</w:t>
            </w:r>
          </w:p>
        </w:tc>
        <w:tc>
          <w:tcPr>
            <w:tcW w:w="24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280,532</w:t>
            </w:r>
          </w:p>
        </w:tc>
        <w:tc>
          <w:tcPr>
            <w:tcW w:w="1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189,519</w:t>
            </w: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60" w:type="dxa"/>
            <w:vAlign w:val="bottom"/>
          </w:tcPr>
          <w:p>
            <w:pPr>
              <w:spacing w:after="0"/>
              <w:rPr>
                <w:sz w:val="20"/>
                <w:szCs w:val="20"/>
                <w:color w:val="auto"/>
              </w:rPr>
            </w:pPr>
            <w:r>
              <w:rPr>
                <w:rFonts w:ascii="Times New Roman" w:cs="Times New Roman" w:eastAsia="Times New Roman" w:hAnsi="Times New Roman"/>
                <w:sz w:val="18"/>
                <w:szCs w:val="18"/>
                <w:color w:val="auto"/>
              </w:rPr>
              <w:t>Operating expenses:</w:t>
            </w:r>
          </w:p>
        </w:tc>
        <w:tc>
          <w:tcPr>
            <w:tcW w:w="2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6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124,831</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72,409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6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Selling and marketing</w:t>
            </w:r>
          </w:p>
        </w:tc>
        <w:tc>
          <w:tcPr>
            <w:tcW w:w="2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40" w:type="dxa"/>
            <w:vAlign w:val="bottom"/>
            <w:gridSpan w:val="2"/>
          </w:tcPr>
          <w:p>
            <w:pPr>
              <w:jc w:val="right"/>
              <w:ind w:right="180"/>
              <w:spacing w:after="0"/>
              <w:rPr>
                <w:sz w:val="20"/>
                <w:szCs w:val="20"/>
                <w:color w:val="auto"/>
              </w:rPr>
            </w:pPr>
            <w:r>
              <w:rPr>
                <w:rFonts w:ascii="Times New Roman" w:cs="Times New Roman" w:eastAsia="Times New Roman" w:hAnsi="Times New Roman"/>
                <w:sz w:val="18"/>
                <w:szCs w:val="18"/>
                <w:color w:val="auto"/>
              </w:rPr>
              <w:t>38,133</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60" w:type="dxa"/>
            <w:vAlign w:val="bottom"/>
            <w:gridSpan w:val="3"/>
          </w:tcPr>
          <w:p>
            <w:pPr>
              <w:jc w:val="right"/>
              <w:ind w:right="140"/>
              <w:spacing w:after="0"/>
              <w:rPr>
                <w:sz w:val="20"/>
                <w:szCs w:val="20"/>
                <w:color w:val="auto"/>
              </w:rPr>
            </w:pPr>
            <w:r>
              <w:rPr>
                <w:rFonts w:ascii="Times New Roman" w:cs="Times New Roman" w:eastAsia="Times New Roman" w:hAnsi="Times New Roman"/>
                <w:sz w:val="18"/>
                <w:szCs w:val="18"/>
                <w:color w:val="auto"/>
              </w:rPr>
              <w:t>21,203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6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2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16,858</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6,877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6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2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40" w:type="dxa"/>
            <w:vAlign w:val="bottom"/>
            <w:gridSpan w:val="2"/>
          </w:tcPr>
          <w:p>
            <w:pPr>
              <w:jc w:val="right"/>
              <w:ind w:right="180"/>
              <w:spacing w:after="0"/>
              <w:rPr>
                <w:sz w:val="20"/>
                <w:szCs w:val="20"/>
                <w:color w:val="auto"/>
              </w:rPr>
            </w:pPr>
            <w:r>
              <w:rPr>
                <w:rFonts w:ascii="Times New Roman" w:cs="Times New Roman" w:eastAsia="Times New Roman" w:hAnsi="Times New Roman"/>
                <w:sz w:val="18"/>
                <w:szCs w:val="18"/>
                <w:color w:val="auto"/>
              </w:rPr>
              <w:t>17,351</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60" w:type="dxa"/>
            <w:vAlign w:val="bottom"/>
            <w:gridSpan w:val="3"/>
          </w:tcPr>
          <w:p>
            <w:pPr>
              <w:jc w:val="right"/>
              <w:ind w:right="140"/>
              <w:spacing w:after="0"/>
              <w:rPr>
                <w:sz w:val="20"/>
                <w:szCs w:val="20"/>
                <w:color w:val="auto"/>
              </w:rPr>
            </w:pPr>
            <w:r>
              <w:rPr>
                <w:rFonts w:ascii="Times New Roman" w:cs="Times New Roman" w:eastAsia="Times New Roman" w:hAnsi="Times New Roman"/>
                <w:sz w:val="18"/>
                <w:szCs w:val="18"/>
                <w:color w:val="auto"/>
              </w:rPr>
              <w:t>19,759</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660" w:type="dxa"/>
            <w:vAlign w:val="bottom"/>
            <w:tcBorders>
              <w:top w:val="single" w:sz="8" w:color="CCEEFF"/>
            </w:tcBorders>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Total operating expenses</w:t>
            </w:r>
          </w:p>
        </w:tc>
        <w:tc>
          <w:tcPr>
            <w:tcW w:w="24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197,173</w:t>
            </w:r>
          </w:p>
        </w:tc>
        <w:tc>
          <w:tcPr>
            <w:tcW w:w="1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120,248</w:t>
            </w: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660" w:type="dxa"/>
            <w:vAlign w:val="bottom"/>
          </w:tcPr>
          <w:p>
            <w:pPr>
              <w:spacing w:after="0"/>
              <w:rPr>
                <w:sz w:val="20"/>
                <w:szCs w:val="20"/>
                <w:color w:val="auto"/>
              </w:rPr>
            </w:pPr>
            <w:r>
              <w:rPr>
                <w:rFonts w:ascii="Times New Roman" w:cs="Times New Roman" w:eastAsia="Times New Roman" w:hAnsi="Times New Roman"/>
                <w:sz w:val="18"/>
                <w:szCs w:val="18"/>
                <w:color w:val="auto"/>
              </w:rPr>
              <w:t>Operating income</w:t>
            </w:r>
          </w:p>
        </w:tc>
        <w:tc>
          <w:tcPr>
            <w:tcW w:w="2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83,359</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69,271</w:t>
            </w:r>
          </w:p>
        </w:tc>
        <w:tc>
          <w:tcPr>
            <w:tcW w:w="140" w:type="dxa"/>
            <w:vAlign w:val="bottom"/>
            <w:gridSpan w:val="2"/>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2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7,616</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3,612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660" w:type="dxa"/>
            <w:vAlign w:val="bottom"/>
          </w:tcPr>
          <w:p>
            <w:pPr>
              <w:spacing w:after="0"/>
              <w:rPr>
                <w:sz w:val="20"/>
                <w:szCs w:val="20"/>
                <w:color w:val="auto"/>
              </w:rPr>
            </w:pPr>
            <w:r>
              <w:rPr>
                <w:rFonts w:ascii="Times New Roman" w:cs="Times New Roman" w:eastAsia="Times New Roman" w:hAnsi="Times New Roman"/>
                <w:sz w:val="18"/>
                <w:szCs w:val="18"/>
                <w:color w:val="auto"/>
              </w:rPr>
              <w:t>Income before income taxes</w:t>
            </w:r>
          </w:p>
        </w:tc>
        <w:tc>
          <w:tcPr>
            <w:tcW w:w="244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90,975</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1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72,883</w:t>
            </w:r>
          </w:p>
        </w:tc>
        <w:tc>
          <w:tcPr>
            <w:tcW w:w="140" w:type="dxa"/>
            <w:vAlign w:val="bottom"/>
            <w:gridSpan w:val="2"/>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2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15,678</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9,351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5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Net income</w:t>
            </w:r>
          </w:p>
        </w:tc>
        <w:tc>
          <w:tcPr>
            <w:tcW w:w="2440" w:type="dxa"/>
            <w:vAlign w:val="bottom"/>
          </w:tcPr>
          <w:p>
            <w:pPr>
              <w:spacing w:after="0"/>
              <w:rPr>
                <w:sz w:val="18"/>
                <w:szCs w:val="18"/>
                <w:color w:val="auto"/>
              </w:rPr>
            </w:pPr>
          </w:p>
        </w:tc>
        <w:tc>
          <w:tcPr>
            <w:tcW w:w="28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75,297</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Borders>
              <w:top w:val="single" w:sz="8" w:color="auto"/>
            </w:tcBorders>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1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63,532</w:t>
            </w:r>
          </w:p>
        </w:tc>
        <w:tc>
          <w:tcPr>
            <w:tcW w:w="140" w:type="dxa"/>
            <w:vAlign w:val="bottom"/>
            <w:gridSpan w:val="2"/>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660" w:type="dxa"/>
            <w:vAlign w:val="bottom"/>
            <w:tcBorders>
              <w:top w:val="single" w:sz="8" w:color="CCEEFF"/>
            </w:tcBorders>
            <w:shd w:val="clear" w:color="auto" w:fill="CCEEFF"/>
          </w:tcPr>
          <w:p>
            <w:pPr>
              <w:spacing w:after="0"/>
              <w:rPr>
                <w:sz w:val="18"/>
                <w:szCs w:val="18"/>
                <w:color w:val="auto"/>
              </w:rPr>
            </w:pPr>
          </w:p>
        </w:tc>
        <w:tc>
          <w:tcPr>
            <w:tcW w:w="24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vMerge w:val="continue"/>
          </w:tcPr>
          <w:p>
            <w:pPr>
              <w:spacing w:after="0"/>
              <w:rPr>
                <w:sz w:val="19"/>
                <w:szCs w:val="19"/>
                <w:color w:val="auto"/>
              </w:rPr>
            </w:pPr>
          </w:p>
        </w:tc>
        <w:tc>
          <w:tcPr>
            <w:tcW w:w="5660" w:type="dxa"/>
            <w:vAlign w:val="bottom"/>
          </w:tcPr>
          <w:p>
            <w:pPr>
              <w:spacing w:after="0"/>
              <w:rPr>
                <w:sz w:val="20"/>
                <w:szCs w:val="20"/>
                <w:color w:val="auto"/>
              </w:rPr>
            </w:pPr>
            <w:r>
              <w:rPr>
                <w:rFonts w:ascii="Times New Roman" w:cs="Times New Roman" w:eastAsia="Times New Roman" w:hAnsi="Times New Roman"/>
                <w:sz w:val="18"/>
                <w:szCs w:val="18"/>
                <w:color w:val="auto"/>
              </w:rPr>
              <w:t>Net income per share - basic</w:t>
            </w:r>
          </w:p>
        </w:tc>
        <w:tc>
          <w:tcPr>
            <w:tcW w:w="2720" w:type="dxa"/>
            <w:vAlign w:val="bottom"/>
            <w:gridSpan w:val="2"/>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gridSpan w:val="2"/>
          </w:tcPr>
          <w:p>
            <w:pPr>
              <w:jc w:val="right"/>
              <w:ind w:right="180"/>
              <w:spacing w:after="0"/>
              <w:rPr>
                <w:sz w:val="20"/>
                <w:szCs w:val="20"/>
                <w:color w:val="auto"/>
              </w:rPr>
            </w:pPr>
            <w:r>
              <w:rPr>
                <w:rFonts w:ascii="Times New Roman" w:cs="Times New Roman" w:eastAsia="Times New Roman" w:hAnsi="Times New Roman"/>
                <w:sz w:val="18"/>
                <w:szCs w:val="18"/>
                <w:color w:val="auto"/>
              </w:rPr>
              <w:t>0.26</w:t>
            </w:r>
          </w:p>
        </w:tc>
        <w:tc>
          <w:tcPr>
            <w:tcW w:w="420" w:type="dxa"/>
            <w:vAlign w:val="bottom"/>
            <w:gridSpan w:val="2"/>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gridSpan w:val="3"/>
          </w:tcPr>
          <w:p>
            <w:pPr>
              <w:jc w:val="right"/>
              <w:ind w:right="140"/>
              <w:spacing w:after="0"/>
              <w:rPr>
                <w:sz w:val="20"/>
                <w:szCs w:val="20"/>
                <w:color w:val="auto"/>
              </w:rPr>
            </w:pPr>
            <w:r>
              <w:rPr>
                <w:rFonts w:ascii="Times New Roman" w:cs="Times New Roman" w:eastAsia="Times New Roman" w:hAnsi="Times New Roman"/>
                <w:sz w:val="18"/>
                <w:szCs w:val="18"/>
                <w:color w:val="auto"/>
              </w:rPr>
              <w:t>0.23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660" w:type="dxa"/>
            <w:vAlign w:val="bottom"/>
            <w:tcBorders>
              <w:top w:val="single" w:sz="8" w:color="CCEEFF"/>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income per share - diluted</w:t>
            </w:r>
          </w:p>
        </w:tc>
        <w:tc>
          <w:tcPr>
            <w:tcW w:w="2440" w:type="dxa"/>
            <w:vAlign w:val="bottom"/>
            <w:tcBorders>
              <w:top w:val="single" w:sz="8" w:color="CCEEFF"/>
              <w:bottom w:val="single" w:sz="8" w:color="CCEEFF"/>
            </w:tcBorders>
            <w:shd w:val="clear" w:color="auto" w:fill="CCEEFF"/>
          </w:tcPr>
          <w:p>
            <w:pPr>
              <w:spacing w:after="0"/>
              <w:rPr>
                <w:sz w:val="19"/>
                <w:szCs w:val="19"/>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0.23</w:t>
            </w: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0.20</w:t>
            </w:r>
          </w:p>
        </w:tc>
        <w:tc>
          <w:tcPr>
            <w:tcW w:w="140" w:type="dxa"/>
            <w:vAlign w:val="bottom"/>
            <w:tcBorders>
              <w:top w:val="single" w:sz="8" w:color="CCEEFF"/>
              <w:bottom w:val="single" w:sz="8" w:color="CCEEFF"/>
            </w:tcBorders>
            <w:gridSpan w:val="2"/>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660" w:type="dxa"/>
            <w:vAlign w:val="bottom"/>
          </w:tcPr>
          <w:p>
            <w:pPr>
              <w:spacing w:after="0"/>
              <w:rPr>
                <w:sz w:val="18"/>
                <w:szCs w:val="18"/>
                <w:color w:val="auto"/>
              </w:rPr>
            </w:pPr>
          </w:p>
        </w:tc>
        <w:tc>
          <w:tcPr>
            <w:tcW w:w="2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Weighted average shares — basic</w:t>
            </w:r>
          </w:p>
        </w:tc>
        <w:tc>
          <w:tcPr>
            <w:tcW w:w="2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291,851</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278,793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660" w:type="dxa"/>
            <w:vAlign w:val="bottom"/>
          </w:tcPr>
          <w:p>
            <w:pPr>
              <w:spacing w:after="0"/>
              <w:rPr>
                <w:sz w:val="20"/>
                <w:szCs w:val="20"/>
                <w:color w:val="auto"/>
              </w:rPr>
            </w:pPr>
            <w:r>
              <w:rPr>
                <w:rFonts w:ascii="Times New Roman" w:cs="Times New Roman" w:eastAsia="Times New Roman" w:hAnsi="Times New Roman"/>
                <w:sz w:val="18"/>
                <w:szCs w:val="18"/>
                <w:color w:val="auto"/>
              </w:rPr>
              <w:t>Weighted average shares — diluted</w:t>
            </w:r>
          </w:p>
        </w:tc>
        <w:tc>
          <w:tcPr>
            <w:tcW w:w="2440" w:type="dxa"/>
            <w:vAlign w:val="bottom"/>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320,415</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310,736</w:t>
            </w:r>
          </w:p>
        </w:tc>
        <w:tc>
          <w:tcPr>
            <w:tcW w:w="20" w:type="dxa"/>
            <w:vAlign w:val="bottom"/>
            <w:tcBorders>
              <w:bottom w:val="single" w:sz="8" w:color="auto"/>
            </w:tcBorders>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Certain prior period amounts have been reclassified to conform with current year presentation.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Non-GAAP Consolidated Statements of Income</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0"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5100" w:type="dxa"/>
            <w:vAlign w:val="bottom"/>
          </w:tcPr>
          <w:p>
            <w:pPr>
              <w:spacing w:after="0"/>
              <w:rPr>
                <w:sz w:val="15"/>
                <w:szCs w:val="15"/>
                <w:color w:val="auto"/>
              </w:rPr>
            </w:pPr>
          </w:p>
        </w:tc>
        <w:tc>
          <w:tcPr>
            <w:tcW w:w="30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020" w:type="dxa"/>
            <w:vAlign w:val="bottom"/>
            <w:gridSpan w:val="6"/>
          </w:tcPr>
          <w:p>
            <w:pPr>
              <w:ind w:left="66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5100" w:type="dxa"/>
            <w:vAlign w:val="bottom"/>
          </w:tcPr>
          <w:p>
            <w:pPr>
              <w:spacing w:after="0"/>
              <w:rPr>
                <w:sz w:val="10"/>
                <w:szCs w:val="10"/>
                <w:color w:val="auto"/>
              </w:rPr>
            </w:pPr>
          </w:p>
        </w:tc>
        <w:tc>
          <w:tcPr>
            <w:tcW w:w="3000" w:type="dxa"/>
            <w:vAlign w:val="bottom"/>
          </w:tcPr>
          <w:p>
            <w:pPr>
              <w:spacing w:after="0"/>
              <w:rPr>
                <w:sz w:val="10"/>
                <w:szCs w:val="10"/>
                <w:color w:val="auto"/>
              </w:rPr>
            </w:pPr>
          </w:p>
        </w:tc>
        <w:tc>
          <w:tcPr>
            <w:tcW w:w="280" w:type="dxa"/>
            <w:vAlign w:val="bottom"/>
            <w:tcBorders>
              <w:top w:val="single" w:sz="8" w:color="auto"/>
            </w:tcBorders>
          </w:tcPr>
          <w:p>
            <w:pPr>
              <w:spacing w:after="0"/>
              <w:rPr>
                <w:sz w:val="10"/>
                <w:szCs w:val="10"/>
                <w:color w:val="auto"/>
              </w:rPr>
            </w:pPr>
          </w:p>
        </w:tc>
        <w:tc>
          <w:tcPr>
            <w:tcW w:w="1320" w:type="dxa"/>
            <w:vAlign w:val="bottom"/>
            <w:tcBorders>
              <w:top w:val="single" w:sz="8" w:color="auto"/>
            </w:tcBorders>
            <w:gridSpan w:val="2"/>
          </w:tcPr>
          <w:p>
            <w:pPr>
              <w:ind w:left="200"/>
              <w:spacing w:after="0" w:line="118" w:lineRule="exact"/>
              <w:rPr>
                <w:sz w:val="20"/>
                <w:szCs w:val="20"/>
                <w:color w:val="auto"/>
              </w:rPr>
            </w:pPr>
            <w:r>
              <w:rPr>
                <w:rFonts w:ascii="Times New Roman" w:cs="Times New Roman" w:eastAsia="Times New Roman" w:hAnsi="Times New Roman"/>
                <w:sz w:val="13"/>
                <w:szCs w:val="13"/>
                <w:b w:val="1"/>
                <w:bCs w:val="1"/>
                <w:color w:val="auto"/>
              </w:rPr>
              <w:t>April 29,</w:t>
            </w:r>
          </w:p>
        </w:tc>
        <w:tc>
          <w:tcPr>
            <w:tcW w:w="120" w:type="dxa"/>
            <w:vAlign w:val="bottom"/>
            <w:tcBorders>
              <w:top w:val="single" w:sz="8" w:color="auto"/>
            </w:tcBorders>
          </w:tcPr>
          <w:p>
            <w:pPr>
              <w:spacing w:after="0"/>
              <w:rPr>
                <w:sz w:val="10"/>
                <w:szCs w:val="10"/>
                <w:color w:val="auto"/>
              </w:rPr>
            </w:pPr>
          </w:p>
        </w:tc>
        <w:tc>
          <w:tcPr>
            <w:tcW w:w="28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tcPr>
          <w:p>
            <w:pPr>
              <w:jc w:val="right"/>
              <w:ind w:right="397"/>
              <w:spacing w:after="0" w:line="118" w:lineRule="exact"/>
              <w:rPr>
                <w:sz w:val="20"/>
                <w:szCs w:val="20"/>
                <w:color w:val="auto"/>
              </w:rPr>
            </w:pPr>
            <w:r>
              <w:rPr>
                <w:rFonts w:ascii="Times New Roman" w:cs="Times New Roman" w:eastAsia="Times New Roman" w:hAnsi="Times New Roman"/>
                <w:sz w:val="13"/>
                <w:szCs w:val="13"/>
                <w:b w:val="1"/>
                <w:bCs w:val="1"/>
                <w:color w:val="auto"/>
              </w:rPr>
              <w:t>April 30,</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5100" w:type="dxa"/>
            <w:vAlign w:val="bottom"/>
          </w:tcPr>
          <w:p>
            <w:pPr>
              <w:spacing w:after="0"/>
              <w:rPr>
                <w:sz w:val="15"/>
                <w:szCs w:val="15"/>
                <w:color w:val="auto"/>
              </w:rPr>
            </w:pPr>
          </w:p>
        </w:tc>
        <w:tc>
          <w:tcPr>
            <w:tcW w:w="3000" w:type="dxa"/>
            <w:vAlign w:val="bottom"/>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220" w:type="dxa"/>
            <w:vAlign w:val="bottom"/>
            <w:tcBorders>
              <w:bottom w:val="single" w:sz="8" w:color="auto"/>
            </w:tcBorders>
          </w:tcPr>
          <w:p>
            <w:pPr>
              <w:jc w:val="right"/>
              <w:ind w:right="518"/>
              <w:spacing w:after="0"/>
              <w:rPr>
                <w:sz w:val="20"/>
                <w:szCs w:val="20"/>
                <w:color w:val="auto"/>
              </w:rPr>
            </w:pPr>
            <w:r>
              <w:rPr>
                <w:rFonts w:ascii="Times New Roman" w:cs="Times New Roman" w:eastAsia="Times New Roman" w:hAnsi="Times New Roman"/>
                <w:sz w:val="14"/>
                <w:szCs w:val="14"/>
                <w:b w:val="1"/>
                <w:bCs w:val="1"/>
                <w:color w:val="auto"/>
              </w:rPr>
              <w:t>2006</w:t>
            </w: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200" w:type="dxa"/>
            <w:vAlign w:val="bottom"/>
            <w:tcBorders>
              <w:bottom w:val="single" w:sz="8" w:color="auto"/>
            </w:tcBorders>
          </w:tcPr>
          <w:p>
            <w:pPr>
              <w:jc w:val="right"/>
              <w:ind w:right="517"/>
              <w:spacing w:after="0"/>
              <w:rPr>
                <w:sz w:val="20"/>
                <w:szCs w:val="20"/>
                <w:color w:val="auto"/>
              </w:rPr>
            </w:pPr>
            <w:r>
              <w:rPr>
                <w:rFonts w:ascii="Times New Roman" w:cs="Times New Roman" w:eastAsia="Times New Roman" w:hAnsi="Times New Roman"/>
                <w:sz w:val="14"/>
                <w:szCs w:val="14"/>
                <w:b w:val="1"/>
                <w:bCs w:val="1"/>
                <w:color w:val="auto"/>
              </w:rPr>
              <w:t>2005</w:t>
            </w: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100" w:type="dxa"/>
            <w:vAlign w:val="bottom"/>
          </w:tcPr>
          <w:p>
            <w:pPr>
              <w:spacing w:after="0"/>
              <w:rPr>
                <w:sz w:val="18"/>
                <w:szCs w:val="18"/>
                <w:color w:val="auto"/>
              </w:rPr>
            </w:pPr>
          </w:p>
        </w:tc>
        <w:tc>
          <w:tcPr>
            <w:tcW w:w="30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3280" w:type="dxa"/>
            <w:vAlign w:val="bottom"/>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w:t>
            </w:r>
          </w:p>
        </w:tc>
        <w:tc>
          <w:tcPr>
            <w:tcW w:w="13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521,196</w:t>
            </w:r>
          </w:p>
        </w:tc>
        <w:tc>
          <w:tcPr>
            <w:tcW w:w="40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364,770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30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233,882</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175,244</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Gross profit</w:t>
            </w:r>
          </w:p>
        </w:tc>
        <w:tc>
          <w:tcPr>
            <w:tcW w:w="300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2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287,314</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2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189,526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Times New Roman" w:cs="Times New Roman" w:eastAsia="Times New Roman" w:hAnsi="Times New Roman"/>
                <w:sz w:val="18"/>
                <w:szCs w:val="18"/>
                <w:color w:val="auto"/>
              </w:rPr>
              <w:t>Operating expenses:</w:t>
            </w:r>
          </w:p>
        </w:tc>
        <w:tc>
          <w:tcPr>
            <w:tcW w:w="30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Research and development</w:t>
            </w:r>
          </w:p>
        </w:tc>
        <w:tc>
          <w:tcPr>
            <w:tcW w:w="30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97,354</w:t>
            </w: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71,898</w:t>
            </w:r>
          </w:p>
        </w:tc>
        <w:tc>
          <w:tcPr>
            <w:tcW w:w="0" w:type="dxa"/>
            <w:vAlign w:val="bottom"/>
          </w:tcPr>
          <w:p>
            <w:pPr>
              <w:spacing w:after="0"/>
              <w:rPr>
                <w:sz w:val="1"/>
                <w:szCs w:val="1"/>
                <w:color w:val="auto"/>
              </w:rPr>
            </w:pPr>
          </w:p>
        </w:tc>
      </w:tr>
    </w:tbl>
    <w:p>
      <w:pPr>
        <w:sectPr>
          <w:pgSz w:w="11900" w:h="16838" w:orient="portrait"/>
          <w:cols w:equalWidth="0" w:num="1">
            <w:col w:w="11420"/>
          </w:cols>
          <w:pgMar w:left="240" w:top="121" w:right="239" w:bottom="0" w:gutter="0" w:footer="0" w:header="0"/>
        </w:sectPr>
      </w:pPr>
    </w:p>
    <w:bookmarkStart w:id="4" w:name="page5"/>
    <w:bookmarkEnd w:id="4"/>
    <w:p>
      <w:pPr>
        <w:spacing w:after="0" w:line="50"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20" w:type="dxa"/>
            <w:vAlign w:val="bottom"/>
          </w:tcPr>
          <w:p>
            <w:pPr>
              <w:spacing w:after="0"/>
              <w:rPr>
                <w:sz w:val="20"/>
                <w:szCs w:val="20"/>
                <w:color w:val="auto"/>
              </w:rPr>
            </w:pPr>
          </w:p>
        </w:tc>
        <w:tc>
          <w:tcPr>
            <w:tcW w:w="576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Selling and marketing</w:t>
            </w:r>
          </w:p>
        </w:tc>
        <w:tc>
          <w:tcPr>
            <w:tcW w:w="234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1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30,002</w:t>
            </w:r>
          </w:p>
        </w:tc>
        <w:tc>
          <w:tcPr>
            <w:tcW w:w="1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11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20,989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6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23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10,795</w:t>
            </w:r>
          </w:p>
        </w:tc>
        <w:tc>
          <w:tcPr>
            <w:tcW w:w="1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6,738</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60" w:type="dxa"/>
            <w:vAlign w:val="bottom"/>
            <w:tcBorders>
              <w:bottom w:val="single" w:sz="8" w:color="CCEEFF"/>
            </w:tcBorders>
          </w:tcPr>
          <w:p>
            <w:pPr>
              <w:ind w:left="340"/>
              <w:spacing w:after="0"/>
              <w:rPr>
                <w:sz w:val="20"/>
                <w:szCs w:val="20"/>
                <w:color w:val="auto"/>
              </w:rPr>
            </w:pPr>
            <w:r>
              <w:rPr>
                <w:rFonts w:ascii="Times New Roman" w:cs="Times New Roman" w:eastAsia="Times New Roman" w:hAnsi="Times New Roman"/>
                <w:sz w:val="18"/>
                <w:szCs w:val="18"/>
                <w:color w:val="auto"/>
              </w:rPr>
              <w:t>Total operating expenses</w:t>
            </w:r>
          </w:p>
        </w:tc>
        <w:tc>
          <w:tcPr>
            <w:tcW w:w="2340" w:type="dxa"/>
            <w:vAlign w:val="bottom"/>
            <w:tcBorders>
              <w:bottom w:val="single" w:sz="8" w:color="CCEEFF"/>
            </w:tcBorders>
          </w:tcPr>
          <w:p>
            <w:pPr>
              <w:spacing w:after="0"/>
              <w:rPr>
                <w:sz w:val="18"/>
                <w:szCs w:val="18"/>
                <w:color w:val="auto"/>
              </w:rPr>
            </w:pPr>
          </w:p>
        </w:tc>
        <w:tc>
          <w:tcPr>
            <w:tcW w:w="500" w:type="dxa"/>
            <w:vAlign w:val="bottom"/>
            <w:tcBorders>
              <w:top w:val="single" w:sz="8" w:color="auto"/>
              <w:bottom w:val="single" w:sz="8" w:color="auto"/>
            </w:tcBorders>
          </w:tcPr>
          <w:p>
            <w:pPr>
              <w:spacing w:after="0"/>
              <w:rPr>
                <w:sz w:val="18"/>
                <w:szCs w:val="18"/>
                <w:color w:val="auto"/>
              </w:rPr>
            </w:pPr>
          </w:p>
        </w:tc>
        <w:tc>
          <w:tcPr>
            <w:tcW w:w="10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138,151</w:t>
            </w:r>
          </w:p>
        </w:tc>
        <w:tc>
          <w:tcPr>
            <w:tcW w:w="10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480" w:type="dxa"/>
            <w:vAlign w:val="bottom"/>
            <w:tcBorders>
              <w:top w:val="single" w:sz="8" w:color="auto"/>
              <w:bottom w:val="single" w:sz="8" w:color="auto"/>
            </w:tcBorders>
          </w:tcPr>
          <w:p>
            <w:pPr>
              <w:spacing w:after="0"/>
              <w:rPr>
                <w:sz w:val="18"/>
                <w:szCs w:val="18"/>
                <w:color w:val="auto"/>
              </w:rPr>
            </w:pPr>
          </w:p>
        </w:tc>
        <w:tc>
          <w:tcPr>
            <w:tcW w:w="10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99,625</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Operating income</w:t>
            </w:r>
          </w:p>
        </w:tc>
        <w:tc>
          <w:tcPr>
            <w:tcW w:w="23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149,163</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89,901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60" w:type="dxa"/>
            <w:vAlign w:val="bottom"/>
          </w:tcPr>
          <w:p>
            <w:pPr>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23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7,616</w:t>
            </w: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3,612</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Income before income taxes</w:t>
            </w:r>
          </w:p>
        </w:tc>
        <w:tc>
          <w:tcPr>
            <w:tcW w:w="234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156,779</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93,513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60" w:type="dxa"/>
            <w:vAlign w:val="bottom"/>
          </w:tcPr>
          <w:p>
            <w:pPr>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23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15,678</w:t>
            </w: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9,351</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760" w:type="dxa"/>
            <w:vAlign w:val="bottom"/>
            <w:tcBorders>
              <w:top w:val="single" w:sz="8" w:color="CCEEFF"/>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Non-GAAP net income</w:t>
            </w:r>
          </w:p>
        </w:tc>
        <w:tc>
          <w:tcPr>
            <w:tcW w:w="2340" w:type="dxa"/>
            <w:vAlign w:val="bottom"/>
            <w:tcBorders>
              <w:top w:val="single" w:sz="8" w:color="CCEEFF"/>
              <w:bottom w:val="single" w:sz="8" w:color="CCEEFF"/>
            </w:tcBorders>
            <w:shd w:val="clear" w:color="auto" w:fill="CCEEFF"/>
          </w:tcPr>
          <w:p>
            <w:pPr>
              <w:spacing w:after="0"/>
              <w:rPr>
                <w:sz w:val="18"/>
                <w:szCs w:val="18"/>
                <w:color w:val="auto"/>
              </w:rPr>
            </w:pPr>
          </w:p>
        </w:tc>
        <w:tc>
          <w:tcPr>
            <w:tcW w:w="500" w:type="dxa"/>
            <w:vAlign w:val="bottom"/>
            <w:tcBorders>
              <w:top w:val="single" w:sz="8" w:color="auto"/>
              <w:bottom w:val="single" w:sz="8" w:color="auto"/>
            </w:tcBorders>
            <w:shd w:val="clear" w:color="auto" w:fill="CCEEFF"/>
          </w:tcPr>
          <w:p>
            <w:pPr>
              <w:jc w:val="right"/>
              <w:ind w:right="310"/>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141,101</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480" w:type="dxa"/>
            <w:vAlign w:val="bottom"/>
            <w:tcBorders>
              <w:top w:val="single" w:sz="8" w:color="auto"/>
              <w:bottom w:val="single" w:sz="8" w:color="auto"/>
            </w:tcBorders>
            <w:shd w:val="clear" w:color="auto" w:fill="CCEEFF"/>
          </w:tcPr>
          <w:p>
            <w:pPr>
              <w:jc w:val="right"/>
              <w:ind w:right="315"/>
              <w:spacing w:after="0"/>
              <w:rPr>
                <w:sz w:val="20"/>
                <w:szCs w:val="20"/>
                <w:color w:val="auto"/>
              </w:rPr>
            </w:pPr>
            <w:r>
              <w:rPr>
                <w:rFonts w:ascii="Times New Roman" w:cs="Times New Roman" w:eastAsia="Times New Roman" w:hAnsi="Times New Roman"/>
                <w:sz w:val="17"/>
                <w:szCs w:val="17"/>
                <w:color w:val="auto"/>
                <w:w w:val="70"/>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84,162</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760" w:type="dxa"/>
            <w:vAlign w:val="bottom"/>
          </w:tcPr>
          <w:p>
            <w:pPr>
              <w:spacing w:after="0"/>
              <w:rPr>
                <w:sz w:val="18"/>
                <w:szCs w:val="18"/>
                <w:color w:val="auto"/>
              </w:rPr>
            </w:pPr>
          </w:p>
        </w:tc>
        <w:tc>
          <w:tcPr>
            <w:tcW w:w="23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Non-GAAP net income per share - basic</w:t>
            </w:r>
          </w:p>
        </w:tc>
        <w:tc>
          <w:tcPr>
            <w:tcW w:w="234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310"/>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0.48</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315"/>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0.30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60" w:type="dxa"/>
            <w:vAlign w:val="bottom"/>
            <w:shd w:val="clear" w:color="auto" w:fill="CCEEFF"/>
          </w:tcPr>
          <w:p>
            <w:pPr>
              <w:spacing w:after="0" w:line="20" w:lineRule="exact"/>
              <w:rPr>
                <w:sz w:val="1"/>
                <w:szCs w:val="1"/>
                <w:color w:val="auto"/>
              </w:rPr>
            </w:pPr>
          </w:p>
        </w:tc>
        <w:tc>
          <w:tcPr>
            <w:tcW w:w="2340" w:type="dxa"/>
            <w:vAlign w:val="bottom"/>
            <w:shd w:val="clear" w:color="auto" w:fill="CCEEFF"/>
          </w:tcPr>
          <w:p>
            <w:pPr>
              <w:spacing w:after="0" w:line="20" w:lineRule="exact"/>
              <w:rPr>
                <w:sz w:val="1"/>
                <w:szCs w:val="1"/>
                <w:color w:val="auto"/>
              </w:rPr>
            </w:pPr>
          </w:p>
        </w:tc>
        <w:tc>
          <w:tcPr>
            <w:tcW w:w="500" w:type="dxa"/>
            <w:vAlign w:val="bottom"/>
            <w:tcBorders>
              <w:bottom w:val="single" w:sz="8" w:color="auto"/>
            </w:tcBorders>
            <w:shd w:val="clear" w:color="auto" w:fill="000000"/>
          </w:tcPr>
          <w:p>
            <w:pPr>
              <w:spacing w:after="0" w:line="20" w:lineRule="exact"/>
              <w:rPr>
                <w:sz w:val="1"/>
                <w:szCs w:val="1"/>
                <w:color w:val="auto"/>
              </w:rPr>
            </w:pPr>
          </w:p>
        </w:tc>
        <w:tc>
          <w:tcPr>
            <w:tcW w:w="1000" w:type="dxa"/>
            <w:vAlign w:val="bottom"/>
            <w:tcBorders>
              <w:bottom w:val="single" w:sz="8" w:color="auto"/>
            </w:tcBorders>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480" w:type="dxa"/>
            <w:vAlign w:val="bottom"/>
            <w:tcBorders>
              <w:bottom w:val="single" w:sz="8" w:color="auto"/>
            </w:tcBorders>
            <w:shd w:val="clear" w:color="auto" w:fill="000000"/>
          </w:tcPr>
          <w:p>
            <w:pPr>
              <w:spacing w:after="0" w:line="20" w:lineRule="exact"/>
              <w:rPr>
                <w:sz w:val="1"/>
                <w:szCs w:val="1"/>
                <w:color w:val="auto"/>
              </w:rPr>
            </w:pPr>
          </w:p>
        </w:tc>
        <w:tc>
          <w:tcPr>
            <w:tcW w:w="1000" w:type="dxa"/>
            <w:vAlign w:val="bottom"/>
            <w:tcBorders>
              <w:bottom w:val="single" w:sz="8" w:color="auto"/>
            </w:tcBorders>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780" w:type="dxa"/>
            <w:vAlign w:val="bottom"/>
            <w:gridSpan w:val="2"/>
          </w:tcPr>
          <w:p>
            <w:pPr>
              <w:spacing w:after="0" w:line="203" w:lineRule="exact"/>
              <w:rPr>
                <w:sz w:val="20"/>
                <w:szCs w:val="20"/>
                <w:color w:val="auto"/>
              </w:rPr>
            </w:pPr>
            <w:r>
              <w:rPr>
                <w:rFonts w:ascii="Times New Roman" w:cs="Times New Roman" w:eastAsia="Times New Roman" w:hAnsi="Times New Roman"/>
                <w:sz w:val="18"/>
                <w:szCs w:val="18"/>
                <w:color w:val="auto"/>
              </w:rPr>
              <w:t>Non-GAAP net income per share - diluted</w:t>
            </w:r>
          </w:p>
        </w:tc>
        <w:tc>
          <w:tcPr>
            <w:tcW w:w="2340" w:type="dxa"/>
            <w:vAlign w:val="bottom"/>
          </w:tcPr>
          <w:p>
            <w:pPr>
              <w:spacing w:after="0"/>
              <w:rPr>
                <w:sz w:val="18"/>
                <w:szCs w:val="18"/>
                <w:color w:val="auto"/>
              </w:rPr>
            </w:pPr>
          </w:p>
        </w:tc>
        <w:tc>
          <w:tcPr>
            <w:tcW w:w="500" w:type="dxa"/>
            <w:vAlign w:val="bottom"/>
          </w:tcPr>
          <w:p>
            <w:pPr>
              <w:jc w:val="right"/>
              <w:ind w:right="310"/>
              <w:spacing w:after="0" w:line="203" w:lineRule="exact"/>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0.44</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jc w:val="right"/>
              <w:ind w:right="315"/>
              <w:spacing w:after="0"/>
              <w:rPr>
                <w:sz w:val="20"/>
                <w:szCs w:val="20"/>
                <w:color w:val="auto"/>
              </w:rPr>
            </w:pPr>
            <w:r>
              <w:rPr>
                <w:rFonts w:ascii="Times New Roman" w:cs="Times New Roman" w:eastAsia="Times New Roman" w:hAnsi="Times New Roman"/>
                <w:sz w:val="17"/>
                <w:szCs w:val="17"/>
                <w:color w:val="auto"/>
                <w:w w:val="70"/>
              </w:rPr>
              <w:t>$</w:t>
            </w:r>
          </w:p>
        </w:tc>
        <w:tc>
          <w:tcPr>
            <w:tcW w:w="100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0.27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760" w:type="dxa"/>
            <w:vAlign w:val="bottom"/>
            <w:tcBorders>
              <w:top w:val="single" w:sz="8" w:color="CCEEFF"/>
            </w:tcBorders>
            <w:shd w:val="clear" w:color="auto" w:fill="CCEEFF"/>
          </w:tcPr>
          <w:p>
            <w:pPr>
              <w:spacing w:after="0"/>
              <w:rPr>
                <w:sz w:val="18"/>
                <w:szCs w:val="18"/>
                <w:color w:val="auto"/>
              </w:rPr>
            </w:pPr>
          </w:p>
        </w:tc>
        <w:tc>
          <w:tcPr>
            <w:tcW w:w="234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60" w:type="dxa"/>
            <w:vAlign w:val="bottom"/>
          </w:tcPr>
          <w:p>
            <w:pPr>
              <w:spacing w:after="0"/>
              <w:rPr>
                <w:sz w:val="20"/>
                <w:szCs w:val="20"/>
                <w:color w:val="auto"/>
              </w:rPr>
            </w:pPr>
            <w:r>
              <w:rPr>
                <w:rFonts w:ascii="Times New Roman" w:cs="Times New Roman" w:eastAsia="Times New Roman" w:hAnsi="Times New Roman"/>
                <w:sz w:val="18"/>
                <w:szCs w:val="18"/>
                <w:color w:val="auto"/>
              </w:rPr>
              <w:t>Non-GAAP weighted average shares — basic</w:t>
            </w:r>
          </w:p>
        </w:tc>
        <w:tc>
          <w:tcPr>
            <w:tcW w:w="23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291,851</w:t>
            </w: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278,793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GAAP weighted average shares — diluted</w:t>
            </w:r>
          </w:p>
        </w:tc>
        <w:tc>
          <w:tcPr>
            <w:tcW w:w="234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320,415</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310,736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6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Non-GAAP adjustment</w:t>
            </w:r>
          </w:p>
        </w:tc>
        <w:tc>
          <w:tcPr>
            <w:tcW w:w="23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3,166</w:t>
            </w: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Non-GAAP weighted average shares — diluted</w:t>
            </w:r>
          </w:p>
        </w:tc>
        <w:tc>
          <w:tcPr>
            <w:tcW w:w="234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bottom w:val="single" w:sz="8" w:color="auto"/>
            </w:tcBorders>
            <w:shd w:val="clear" w:color="auto" w:fill="CCEEFF"/>
          </w:tcPr>
          <w:p>
            <w:pPr>
              <w:spacing w:after="0"/>
              <w:rPr>
                <w:sz w:val="18"/>
                <w:szCs w:val="18"/>
                <w:color w:val="auto"/>
              </w:rPr>
            </w:pP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323,581</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auto"/>
              <w:bottom w:val="single" w:sz="8" w:color="auto"/>
            </w:tcBorders>
            <w:shd w:val="clear" w:color="auto" w:fill="CCEEFF"/>
          </w:tcPr>
          <w:p>
            <w:pPr>
              <w:spacing w:after="0"/>
              <w:rPr>
                <w:sz w:val="18"/>
                <w:szCs w:val="18"/>
                <w:color w:val="auto"/>
              </w:rPr>
            </w:pP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310,736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98" w:lineRule="exact"/>
        <w:rPr>
          <w:sz w:val="20"/>
          <w:szCs w:val="20"/>
          <w:color w:val="auto"/>
        </w:rPr>
      </w:pPr>
    </w:p>
    <w:p>
      <w:pPr>
        <w:ind w:right="80"/>
        <w:spacing w:after="0" w:line="258" w:lineRule="auto"/>
        <w:rPr>
          <w:sz w:val="20"/>
          <w:szCs w:val="20"/>
          <w:color w:val="auto"/>
        </w:rPr>
      </w:pPr>
      <w:r>
        <w:rPr>
          <w:rFonts w:ascii="Times New Roman" w:cs="Times New Roman" w:eastAsia="Times New Roman" w:hAnsi="Times New Roman"/>
          <w:sz w:val="18"/>
          <w:szCs w:val="18"/>
          <w:color w:val="auto"/>
        </w:rPr>
        <w:t>The above non-GAAP condensed statements of income are for informational purposes only and are provided for understanding our operating results. The non-GAAP condensed statements of income have not been prepared in accordance with GAAP, and should not be considered a substitute for our historical financial information prepared in accordance with GAAP and may be different from non-GAAP measures used by other companies. The non-GAAP income and weighted average share adjustments have been derived by adjusting the net income under generally accepted accounting principles for the impact of non-cash stock-based compensation charges and non-cash charges associated with purchase accounting.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194945</wp:posOffset>
            </wp:positionV>
            <wp:extent cx="7267575"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Unaudited Reconciliation of Non-GAAP Adjustments</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(Unaudited)</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Reconciliation of GAAP net income to non-GAAP net income:</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6040" w:type="dxa"/>
            <w:vAlign w:val="bottom"/>
          </w:tcPr>
          <w:p>
            <w:pPr>
              <w:spacing w:after="0"/>
              <w:rPr>
                <w:sz w:val="15"/>
                <w:szCs w:val="15"/>
                <w:color w:val="auto"/>
              </w:rPr>
            </w:pPr>
          </w:p>
        </w:tc>
        <w:tc>
          <w:tcPr>
            <w:tcW w:w="20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020" w:type="dxa"/>
            <w:vAlign w:val="bottom"/>
            <w:gridSpan w:val="8"/>
          </w:tcPr>
          <w:p>
            <w:pPr>
              <w:jc w:val="right"/>
              <w:ind w:right="104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6040" w:type="dxa"/>
            <w:vAlign w:val="bottom"/>
          </w:tcPr>
          <w:p>
            <w:pPr>
              <w:spacing w:after="0"/>
              <w:rPr>
                <w:sz w:val="10"/>
                <w:szCs w:val="10"/>
                <w:color w:val="auto"/>
              </w:rPr>
            </w:pPr>
          </w:p>
        </w:tc>
        <w:tc>
          <w:tcPr>
            <w:tcW w:w="2060" w:type="dxa"/>
            <w:vAlign w:val="bottom"/>
          </w:tcPr>
          <w:p>
            <w:pPr>
              <w:spacing w:after="0"/>
              <w:rPr>
                <w:sz w:val="10"/>
                <w:szCs w:val="10"/>
                <w:color w:val="auto"/>
              </w:rPr>
            </w:pPr>
          </w:p>
        </w:tc>
        <w:tc>
          <w:tcPr>
            <w:tcW w:w="280" w:type="dxa"/>
            <w:vAlign w:val="bottom"/>
            <w:tcBorders>
              <w:top w:val="single" w:sz="8" w:color="auto"/>
            </w:tcBorders>
          </w:tcPr>
          <w:p>
            <w:pPr>
              <w:spacing w:after="0"/>
              <w:rPr>
                <w:sz w:val="10"/>
                <w:szCs w:val="10"/>
                <w:color w:val="auto"/>
              </w:rPr>
            </w:pPr>
          </w:p>
        </w:tc>
        <w:tc>
          <w:tcPr>
            <w:tcW w:w="1360" w:type="dxa"/>
            <w:vAlign w:val="bottom"/>
            <w:tcBorders>
              <w:top w:val="single" w:sz="8" w:color="auto"/>
            </w:tcBorders>
            <w:gridSpan w:val="2"/>
          </w:tcPr>
          <w:p>
            <w:pPr>
              <w:jc w:val="center"/>
              <w:ind w:right="420"/>
              <w:spacing w:after="0" w:line="118" w:lineRule="exact"/>
              <w:rPr>
                <w:sz w:val="20"/>
                <w:szCs w:val="20"/>
                <w:color w:val="auto"/>
              </w:rPr>
            </w:pPr>
            <w:r>
              <w:rPr>
                <w:rFonts w:ascii="Times New Roman" w:cs="Times New Roman" w:eastAsia="Times New Roman" w:hAnsi="Times New Roman"/>
                <w:sz w:val="13"/>
                <w:szCs w:val="13"/>
                <w:b w:val="1"/>
                <w:bCs w:val="1"/>
                <w:color w:val="auto"/>
              </w:rPr>
              <w:t>April 29,</w:t>
            </w:r>
          </w:p>
        </w:tc>
        <w:tc>
          <w:tcPr>
            <w:tcW w:w="8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tcPr>
          <w:p>
            <w:pPr>
              <w:jc w:val="right"/>
              <w:ind w:right="393"/>
              <w:spacing w:after="0" w:line="118" w:lineRule="exact"/>
              <w:rPr>
                <w:sz w:val="20"/>
                <w:szCs w:val="20"/>
                <w:color w:val="auto"/>
              </w:rPr>
            </w:pPr>
            <w:r>
              <w:rPr>
                <w:rFonts w:ascii="Times New Roman" w:cs="Times New Roman" w:eastAsia="Times New Roman" w:hAnsi="Times New Roman"/>
                <w:sz w:val="13"/>
                <w:szCs w:val="13"/>
                <w:b w:val="1"/>
                <w:bCs w:val="1"/>
                <w:color w:val="auto"/>
              </w:rPr>
              <w:t>April 30,</w:t>
            </w: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6040" w:type="dxa"/>
            <w:vAlign w:val="bottom"/>
          </w:tcPr>
          <w:p>
            <w:pPr>
              <w:spacing w:after="0"/>
              <w:rPr>
                <w:sz w:val="15"/>
                <w:szCs w:val="15"/>
                <w:color w:val="auto"/>
              </w:rPr>
            </w:pPr>
          </w:p>
        </w:tc>
        <w:tc>
          <w:tcPr>
            <w:tcW w:w="2060" w:type="dxa"/>
            <w:vAlign w:val="bottom"/>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220" w:type="dxa"/>
            <w:vAlign w:val="bottom"/>
            <w:tcBorders>
              <w:bottom w:val="single" w:sz="8" w:color="auto"/>
            </w:tcBorders>
          </w:tcPr>
          <w:p>
            <w:pPr>
              <w:jc w:val="center"/>
              <w:ind w:right="194"/>
              <w:spacing w:after="0"/>
              <w:rPr>
                <w:sz w:val="20"/>
                <w:szCs w:val="20"/>
                <w:color w:val="auto"/>
              </w:rPr>
            </w:pPr>
            <w:r>
              <w:rPr>
                <w:rFonts w:ascii="Times New Roman" w:cs="Times New Roman" w:eastAsia="Times New Roman" w:hAnsi="Times New Roman"/>
                <w:sz w:val="14"/>
                <w:szCs w:val="14"/>
                <w:b w:val="1"/>
                <w:bCs w:val="1"/>
                <w:color w:val="auto"/>
              </w:rPr>
              <w:t>2006</w:t>
            </w: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160" w:type="dxa"/>
            <w:vAlign w:val="bottom"/>
            <w:tcBorders>
              <w:bottom w:val="single" w:sz="8" w:color="auto"/>
            </w:tcBorders>
          </w:tcPr>
          <w:p>
            <w:pPr>
              <w:jc w:val="right"/>
              <w:ind w:right="513"/>
              <w:spacing w:after="0"/>
              <w:rPr>
                <w:sz w:val="20"/>
                <w:szCs w:val="20"/>
                <w:color w:val="auto"/>
              </w:rPr>
            </w:pPr>
            <w:r>
              <w:rPr>
                <w:rFonts w:ascii="Times New Roman" w:cs="Times New Roman" w:eastAsia="Times New Roman" w:hAnsi="Times New Roman"/>
                <w:sz w:val="14"/>
                <w:szCs w:val="14"/>
                <w:b w:val="1"/>
                <w:bCs w:val="1"/>
                <w:color w:val="auto"/>
              </w:rPr>
              <w:t>2005</w:t>
            </w: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6040" w:type="dxa"/>
            <w:vAlign w:val="bottom"/>
          </w:tcPr>
          <w:p>
            <w:pPr>
              <w:spacing w:after="0"/>
              <w:rPr>
                <w:sz w:val="18"/>
                <w:szCs w:val="18"/>
                <w:color w:val="auto"/>
              </w:rPr>
            </w:pPr>
          </w:p>
        </w:tc>
        <w:tc>
          <w:tcPr>
            <w:tcW w:w="20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GAAP net income</w:t>
            </w:r>
          </w:p>
        </w:tc>
        <w:tc>
          <w:tcPr>
            <w:tcW w:w="2340" w:type="dxa"/>
            <w:vAlign w:val="bottom"/>
            <w:gridSpan w:val="2"/>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75,297</w:t>
            </w:r>
          </w:p>
        </w:tc>
        <w:tc>
          <w:tcPr>
            <w:tcW w:w="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63,532</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Times New Roman" w:cs="Times New Roman" w:eastAsia="Times New Roman" w:hAnsi="Times New Roman"/>
                <w:sz w:val="18"/>
                <w:szCs w:val="18"/>
                <w:color w:val="auto"/>
              </w:rPr>
              <w:t>Stock-based compensation:</w:t>
            </w:r>
          </w:p>
        </w:tc>
        <w:tc>
          <w:tcPr>
            <w:tcW w:w="20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Cost of goods sold</w:t>
            </w:r>
          </w:p>
        </w:tc>
        <w:tc>
          <w:tcPr>
            <w:tcW w:w="20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2,865</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7</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0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27,477</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6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511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Selling and marketing</w:t>
            </w:r>
          </w:p>
        </w:tc>
        <w:tc>
          <w:tcPr>
            <w:tcW w:w="20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8,131</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214</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20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6,063</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139</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20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17,351</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19,759</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Times New Roman" w:cs="Times New Roman" w:eastAsia="Times New Roman" w:hAnsi="Times New Roman"/>
                <w:sz w:val="18"/>
                <w:szCs w:val="18"/>
                <w:color w:val="auto"/>
              </w:rPr>
              <w:t>Acquisition inventory adjustment</w:t>
            </w:r>
          </w:p>
        </w:tc>
        <w:tc>
          <w:tcPr>
            <w:tcW w:w="20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3,917</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6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6040" w:type="dxa"/>
            <w:vAlign w:val="bottom"/>
            <w:tcBorders>
              <w:top w:val="single" w:sz="8" w:color="CCEEFF"/>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Non-GAAP net income</w:t>
            </w:r>
          </w:p>
        </w:tc>
        <w:tc>
          <w:tcPr>
            <w:tcW w:w="2060" w:type="dxa"/>
            <w:vAlign w:val="bottom"/>
            <w:tcBorders>
              <w:top w:val="single" w:sz="8" w:color="CCEEFF"/>
              <w:bottom w:val="single" w:sz="8" w:color="CCEEFF"/>
            </w:tcBorders>
            <w:shd w:val="clear" w:color="auto" w:fill="CCEEFF"/>
          </w:tcPr>
          <w:p>
            <w:pPr>
              <w:spacing w:after="0"/>
              <w:rPr>
                <w:sz w:val="19"/>
                <w:szCs w:val="19"/>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141,101</w:t>
            </w: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220" w:type="dxa"/>
            <w:vAlign w:val="bottom"/>
            <w:tcBorders>
              <w:top w:val="single" w:sz="8" w:color="auto"/>
              <w:bottom w:val="single" w:sz="8" w:color="auto"/>
            </w:tcBorders>
            <w:shd w:val="clear" w:color="auto" w:fill="CCEEFF"/>
          </w:tcPr>
          <w:p>
            <w:pPr>
              <w:spacing w:after="0"/>
              <w:rPr>
                <w:sz w:val="19"/>
                <w:szCs w:val="19"/>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84,162</w:t>
            </w: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9"/>
        </w:trPr>
        <w:tc>
          <w:tcPr>
            <w:tcW w:w="606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Reconciliation of GAAP to non-GAAP adjustments:</w:t>
            </w:r>
          </w:p>
        </w:tc>
        <w:tc>
          <w:tcPr>
            <w:tcW w:w="20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604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20" w:type="dxa"/>
            <w:vAlign w:val="bottom"/>
            <w:gridSpan w:val="8"/>
          </w:tcPr>
          <w:p>
            <w:pPr>
              <w:jc w:val="right"/>
              <w:ind w:right="104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6040" w:type="dxa"/>
            <w:vAlign w:val="bottom"/>
          </w:tcPr>
          <w:p>
            <w:pPr>
              <w:spacing w:after="0"/>
              <w:rPr>
                <w:sz w:val="10"/>
                <w:szCs w:val="10"/>
                <w:color w:val="auto"/>
              </w:rPr>
            </w:pPr>
          </w:p>
        </w:tc>
        <w:tc>
          <w:tcPr>
            <w:tcW w:w="2060" w:type="dxa"/>
            <w:vAlign w:val="bottom"/>
          </w:tcPr>
          <w:p>
            <w:pPr>
              <w:spacing w:after="0"/>
              <w:rPr>
                <w:sz w:val="10"/>
                <w:szCs w:val="10"/>
                <w:color w:val="auto"/>
              </w:rPr>
            </w:pPr>
          </w:p>
        </w:tc>
        <w:tc>
          <w:tcPr>
            <w:tcW w:w="280" w:type="dxa"/>
            <w:vAlign w:val="bottom"/>
            <w:tcBorders>
              <w:top w:val="single" w:sz="8" w:color="auto"/>
            </w:tcBorders>
          </w:tcPr>
          <w:p>
            <w:pPr>
              <w:spacing w:after="0"/>
              <w:rPr>
                <w:sz w:val="10"/>
                <w:szCs w:val="10"/>
                <w:color w:val="auto"/>
              </w:rPr>
            </w:pPr>
          </w:p>
        </w:tc>
        <w:tc>
          <w:tcPr>
            <w:tcW w:w="1360" w:type="dxa"/>
            <w:vAlign w:val="bottom"/>
            <w:tcBorders>
              <w:top w:val="single" w:sz="8" w:color="auto"/>
            </w:tcBorders>
            <w:gridSpan w:val="2"/>
          </w:tcPr>
          <w:p>
            <w:pPr>
              <w:jc w:val="center"/>
              <w:ind w:right="420"/>
              <w:spacing w:after="0" w:line="118" w:lineRule="exact"/>
              <w:rPr>
                <w:sz w:val="20"/>
                <w:szCs w:val="20"/>
                <w:color w:val="auto"/>
              </w:rPr>
            </w:pPr>
            <w:r>
              <w:rPr>
                <w:rFonts w:ascii="Times New Roman" w:cs="Times New Roman" w:eastAsia="Times New Roman" w:hAnsi="Times New Roman"/>
                <w:sz w:val="13"/>
                <w:szCs w:val="13"/>
                <w:b w:val="1"/>
                <w:bCs w:val="1"/>
                <w:color w:val="auto"/>
              </w:rPr>
              <w:t>April 29,</w:t>
            </w:r>
          </w:p>
        </w:tc>
        <w:tc>
          <w:tcPr>
            <w:tcW w:w="8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tcPr>
          <w:p>
            <w:pPr>
              <w:jc w:val="right"/>
              <w:ind w:right="333"/>
              <w:spacing w:after="0" w:line="118" w:lineRule="exact"/>
              <w:rPr>
                <w:sz w:val="20"/>
                <w:szCs w:val="20"/>
                <w:color w:val="auto"/>
              </w:rPr>
            </w:pPr>
            <w:r>
              <w:rPr>
                <w:rFonts w:ascii="Times New Roman" w:cs="Times New Roman" w:eastAsia="Times New Roman" w:hAnsi="Times New Roman"/>
                <w:sz w:val="13"/>
                <w:szCs w:val="13"/>
                <w:b w:val="1"/>
                <w:bCs w:val="1"/>
                <w:color w:val="auto"/>
              </w:rPr>
              <w:t>April 30,</w:t>
            </w:r>
          </w:p>
        </w:tc>
        <w:tc>
          <w:tcPr>
            <w:tcW w:w="100" w:type="dxa"/>
            <w:vAlign w:val="bottom"/>
            <w:gridSpan w:val="2"/>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6040" w:type="dxa"/>
            <w:vAlign w:val="bottom"/>
          </w:tcPr>
          <w:p>
            <w:pPr>
              <w:spacing w:after="0"/>
              <w:rPr>
                <w:sz w:val="15"/>
                <w:szCs w:val="15"/>
                <w:color w:val="auto"/>
              </w:rPr>
            </w:pPr>
          </w:p>
        </w:tc>
        <w:tc>
          <w:tcPr>
            <w:tcW w:w="2060" w:type="dxa"/>
            <w:vAlign w:val="bottom"/>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220" w:type="dxa"/>
            <w:vAlign w:val="bottom"/>
            <w:tcBorders>
              <w:bottom w:val="single" w:sz="8" w:color="auto"/>
            </w:tcBorders>
          </w:tcPr>
          <w:p>
            <w:pPr>
              <w:jc w:val="center"/>
              <w:ind w:right="194"/>
              <w:spacing w:after="0"/>
              <w:rPr>
                <w:sz w:val="20"/>
                <w:szCs w:val="20"/>
                <w:color w:val="auto"/>
              </w:rPr>
            </w:pPr>
            <w:r>
              <w:rPr>
                <w:rFonts w:ascii="Times New Roman" w:cs="Times New Roman" w:eastAsia="Times New Roman" w:hAnsi="Times New Roman"/>
                <w:sz w:val="14"/>
                <w:szCs w:val="14"/>
                <w:b w:val="1"/>
                <w:bCs w:val="1"/>
                <w:color w:val="auto"/>
              </w:rPr>
              <w:t>2006</w:t>
            </w: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160" w:type="dxa"/>
            <w:vAlign w:val="bottom"/>
            <w:tcBorders>
              <w:bottom w:val="single" w:sz="8" w:color="auto"/>
            </w:tcBorders>
          </w:tcPr>
          <w:p>
            <w:pPr>
              <w:jc w:val="right"/>
              <w:ind w:right="473"/>
              <w:spacing w:after="0"/>
              <w:rPr>
                <w:sz w:val="20"/>
                <w:szCs w:val="20"/>
                <w:color w:val="auto"/>
              </w:rPr>
            </w:pPr>
            <w:r>
              <w:rPr>
                <w:rFonts w:ascii="Times New Roman" w:cs="Times New Roman" w:eastAsia="Times New Roman" w:hAnsi="Times New Roman"/>
                <w:sz w:val="14"/>
                <w:szCs w:val="14"/>
                <w:b w:val="1"/>
                <w:bCs w:val="1"/>
                <w:color w:val="auto"/>
              </w:rPr>
              <w:t>2005</w:t>
            </w: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6040" w:type="dxa"/>
            <w:vAlign w:val="bottom"/>
          </w:tcPr>
          <w:p>
            <w:pPr>
              <w:spacing w:after="0"/>
              <w:rPr>
                <w:sz w:val="18"/>
                <w:szCs w:val="18"/>
                <w:color w:val="auto"/>
              </w:rPr>
            </w:pPr>
          </w:p>
        </w:tc>
        <w:tc>
          <w:tcPr>
            <w:tcW w:w="20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GAAP cost of goods sold:</w:t>
            </w:r>
          </w:p>
        </w:tc>
        <w:tc>
          <w:tcPr>
            <w:tcW w:w="2340" w:type="dxa"/>
            <w:vAlign w:val="bottom"/>
            <w:gridSpan w:val="2"/>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240,664</w:t>
            </w:r>
          </w:p>
        </w:tc>
        <w:tc>
          <w:tcPr>
            <w:tcW w:w="400" w:type="dxa"/>
            <w:vAlign w:val="bottom"/>
            <w:gridSpan w:val="3"/>
            <w:shd w:val="clear" w:color="auto" w:fill="CCEEFF"/>
          </w:tcPr>
          <w:p>
            <w:pPr>
              <w:jc w:val="right"/>
              <w:ind w:right="55"/>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175,251</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Stock-based compensation</w:t>
            </w:r>
          </w:p>
        </w:tc>
        <w:tc>
          <w:tcPr>
            <w:tcW w:w="20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(2,865)</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6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Acquisition inventory adjustment</w:t>
            </w:r>
          </w:p>
        </w:tc>
        <w:tc>
          <w:tcPr>
            <w:tcW w:w="20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(3,917)</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60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Non-GAAP cost of goods sold</w:t>
            </w:r>
          </w:p>
        </w:tc>
        <w:tc>
          <w:tcPr>
            <w:tcW w:w="2060" w:type="dxa"/>
            <w:vAlign w:val="bottom"/>
          </w:tcPr>
          <w:p>
            <w:pPr>
              <w:spacing w:after="0"/>
              <w:rPr>
                <w:sz w:val="18"/>
                <w:szCs w:val="18"/>
                <w:color w:val="auto"/>
              </w:rPr>
            </w:pPr>
          </w:p>
        </w:tc>
        <w:tc>
          <w:tcPr>
            <w:tcW w:w="28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233,882</w:t>
            </w:r>
          </w:p>
        </w:tc>
        <w:tc>
          <w:tcPr>
            <w:tcW w:w="140" w:type="dxa"/>
            <w:vAlign w:val="bottom"/>
          </w:tcPr>
          <w:p>
            <w:pPr>
              <w:spacing w:after="0"/>
              <w:rPr>
                <w:sz w:val="18"/>
                <w:szCs w:val="18"/>
                <w:color w:val="auto"/>
              </w:rPr>
            </w:pPr>
          </w:p>
        </w:tc>
        <w:tc>
          <w:tcPr>
            <w:tcW w:w="180" w:type="dxa"/>
            <w:vAlign w:val="bottom"/>
            <w:gridSpan w:val="2"/>
          </w:tcPr>
          <w:p>
            <w:pPr>
              <w:spacing w:after="0"/>
              <w:rPr>
                <w:sz w:val="18"/>
                <w:szCs w:val="18"/>
                <w:color w:val="auto"/>
              </w:rPr>
            </w:pPr>
          </w:p>
        </w:tc>
        <w:tc>
          <w:tcPr>
            <w:tcW w:w="220" w:type="dxa"/>
            <w:vAlign w:val="bottom"/>
            <w:tcBorders>
              <w:top w:val="single" w:sz="8" w:color="auto"/>
            </w:tcBorders>
          </w:tcPr>
          <w:p>
            <w:pPr>
              <w:jc w:val="right"/>
              <w:ind w:right="55"/>
              <w:spacing w:after="0"/>
              <w:rPr>
                <w:sz w:val="20"/>
                <w:szCs w:val="20"/>
                <w:color w:val="auto"/>
              </w:rPr>
            </w:pPr>
            <w:r>
              <w:rPr>
                <w:rFonts w:ascii="Times New Roman" w:cs="Times New Roman" w:eastAsia="Times New Roman" w:hAnsi="Times New Roman"/>
                <w:sz w:val="17"/>
                <w:szCs w:val="17"/>
                <w:color w:val="auto"/>
                <w:w w:val="70"/>
              </w:rPr>
              <w:t>$</w:t>
            </w:r>
          </w:p>
        </w:tc>
        <w:tc>
          <w:tcPr>
            <w:tcW w:w="1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175,244</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6040" w:type="dxa"/>
            <w:vAlign w:val="bottom"/>
            <w:tcBorders>
              <w:top w:val="single" w:sz="8" w:color="CCEEFF"/>
            </w:tcBorders>
            <w:shd w:val="clear" w:color="auto" w:fill="CCEEFF"/>
          </w:tcPr>
          <w:p>
            <w:pPr>
              <w:spacing w:after="0"/>
              <w:rPr>
                <w:sz w:val="18"/>
                <w:szCs w:val="18"/>
                <w:color w:val="auto"/>
              </w:rPr>
            </w:pPr>
          </w:p>
        </w:tc>
        <w:tc>
          <w:tcPr>
            <w:tcW w:w="206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22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tcPr>
          <w:p>
            <w:pPr>
              <w:spacing w:after="0"/>
              <w:rPr>
                <w:sz w:val="20"/>
                <w:szCs w:val="20"/>
                <w:color w:val="auto"/>
              </w:rPr>
            </w:pPr>
            <w:r>
              <w:rPr>
                <w:rFonts w:ascii="Times New Roman" w:cs="Times New Roman" w:eastAsia="Times New Roman" w:hAnsi="Times New Roman"/>
                <w:sz w:val="18"/>
                <w:szCs w:val="18"/>
                <w:color w:val="auto"/>
              </w:rPr>
              <w:t>GAAP research and development:</w:t>
            </w:r>
          </w:p>
        </w:tc>
        <w:tc>
          <w:tcPr>
            <w:tcW w:w="2340" w:type="dxa"/>
            <w:vAlign w:val="bottom"/>
            <w:gridSpan w:val="2"/>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124,831</w:t>
            </w:r>
          </w:p>
        </w:tc>
        <w:tc>
          <w:tcPr>
            <w:tcW w:w="400" w:type="dxa"/>
            <w:vAlign w:val="bottom"/>
            <w:gridSpan w:val="3"/>
          </w:tcPr>
          <w:p>
            <w:pPr>
              <w:jc w:val="right"/>
              <w:ind w:right="55"/>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72,409</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Stock-based compensation</w:t>
            </w:r>
          </w:p>
        </w:tc>
        <w:tc>
          <w:tcPr>
            <w:tcW w:w="20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(27,477)</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(511)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60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Non-GAAP research and development</w:t>
            </w:r>
          </w:p>
        </w:tc>
        <w:tc>
          <w:tcPr>
            <w:tcW w:w="2060" w:type="dxa"/>
            <w:vAlign w:val="bottom"/>
          </w:tcPr>
          <w:p>
            <w:pPr>
              <w:spacing w:after="0"/>
              <w:rPr>
                <w:sz w:val="18"/>
                <w:szCs w:val="18"/>
                <w:color w:val="auto"/>
              </w:rPr>
            </w:pPr>
          </w:p>
        </w:tc>
        <w:tc>
          <w:tcPr>
            <w:tcW w:w="28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97,354</w:t>
            </w:r>
          </w:p>
        </w:tc>
        <w:tc>
          <w:tcPr>
            <w:tcW w:w="140" w:type="dxa"/>
            <w:vAlign w:val="bottom"/>
          </w:tcPr>
          <w:p>
            <w:pPr>
              <w:spacing w:after="0"/>
              <w:rPr>
                <w:sz w:val="18"/>
                <w:szCs w:val="18"/>
                <w:color w:val="auto"/>
              </w:rPr>
            </w:pPr>
          </w:p>
        </w:tc>
        <w:tc>
          <w:tcPr>
            <w:tcW w:w="180" w:type="dxa"/>
            <w:vAlign w:val="bottom"/>
            <w:gridSpan w:val="2"/>
          </w:tcPr>
          <w:p>
            <w:pPr>
              <w:spacing w:after="0"/>
              <w:rPr>
                <w:sz w:val="18"/>
                <w:szCs w:val="18"/>
                <w:color w:val="auto"/>
              </w:rPr>
            </w:pPr>
          </w:p>
        </w:tc>
        <w:tc>
          <w:tcPr>
            <w:tcW w:w="220" w:type="dxa"/>
            <w:vAlign w:val="bottom"/>
            <w:tcBorders>
              <w:top w:val="single" w:sz="8" w:color="auto"/>
            </w:tcBorders>
          </w:tcPr>
          <w:p>
            <w:pPr>
              <w:jc w:val="right"/>
              <w:ind w:right="55"/>
              <w:spacing w:after="0"/>
              <w:rPr>
                <w:sz w:val="20"/>
                <w:szCs w:val="20"/>
                <w:color w:val="auto"/>
              </w:rPr>
            </w:pPr>
            <w:r>
              <w:rPr>
                <w:rFonts w:ascii="Times New Roman" w:cs="Times New Roman" w:eastAsia="Times New Roman" w:hAnsi="Times New Roman"/>
                <w:sz w:val="17"/>
                <w:szCs w:val="17"/>
                <w:color w:val="auto"/>
                <w:w w:val="70"/>
              </w:rPr>
              <w:t>$</w:t>
            </w:r>
          </w:p>
        </w:tc>
        <w:tc>
          <w:tcPr>
            <w:tcW w:w="1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71,898</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6040" w:type="dxa"/>
            <w:vAlign w:val="bottom"/>
            <w:tcBorders>
              <w:top w:val="single" w:sz="8" w:color="CCEEFF"/>
            </w:tcBorders>
            <w:shd w:val="clear" w:color="auto" w:fill="CCEEFF"/>
          </w:tcPr>
          <w:p>
            <w:pPr>
              <w:spacing w:after="0"/>
              <w:rPr>
                <w:sz w:val="18"/>
                <w:szCs w:val="18"/>
                <w:color w:val="auto"/>
              </w:rPr>
            </w:pPr>
          </w:p>
        </w:tc>
        <w:tc>
          <w:tcPr>
            <w:tcW w:w="206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22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tcPr>
          <w:p>
            <w:pPr>
              <w:spacing w:after="0"/>
              <w:rPr>
                <w:sz w:val="20"/>
                <w:szCs w:val="20"/>
                <w:color w:val="auto"/>
              </w:rPr>
            </w:pPr>
            <w:r>
              <w:rPr>
                <w:rFonts w:ascii="Times New Roman" w:cs="Times New Roman" w:eastAsia="Times New Roman" w:hAnsi="Times New Roman"/>
                <w:sz w:val="18"/>
                <w:szCs w:val="18"/>
                <w:color w:val="auto"/>
              </w:rPr>
              <w:t>GAAP selling and marketing:</w:t>
            </w:r>
          </w:p>
        </w:tc>
        <w:tc>
          <w:tcPr>
            <w:tcW w:w="2340" w:type="dxa"/>
            <w:vAlign w:val="bottom"/>
            <w:gridSpan w:val="2"/>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38,133</w:t>
            </w:r>
          </w:p>
        </w:tc>
        <w:tc>
          <w:tcPr>
            <w:tcW w:w="400" w:type="dxa"/>
            <w:vAlign w:val="bottom"/>
            <w:gridSpan w:val="3"/>
          </w:tcPr>
          <w:p>
            <w:pPr>
              <w:jc w:val="right"/>
              <w:ind w:right="55"/>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21,203</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Stock-based compensation</w:t>
            </w:r>
          </w:p>
        </w:tc>
        <w:tc>
          <w:tcPr>
            <w:tcW w:w="20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(8,131)</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(214)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60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Non-GAAP selling and marketing</w:t>
            </w:r>
          </w:p>
        </w:tc>
        <w:tc>
          <w:tcPr>
            <w:tcW w:w="2060" w:type="dxa"/>
            <w:vAlign w:val="bottom"/>
          </w:tcPr>
          <w:p>
            <w:pPr>
              <w:spacing w:after="0"/>
              <w:rPr>
                <w:sz w:val="18"/>
                <w:szCs w:val="18"/>
                <w:color w:val="auto"/>
              </w:rPr>
            </w:pPr>
          </w:p>
        </w:tc>
        <w:tc>
          <w:tcPr>
            <w:tcW w:w="28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30,002</w:t>
            </w:r>
          </w:p>
        </w:tc>
        <w:tc>
          <w:tcPr>
            <w:tcW w:w="140" w:type="dxa"/>
            <w:vAlign w:val="bottom"/>
          </w:tcPr>
          <w:p>
            <w:pPr>
              <w:spacing w:after="0"/>
              <w:rPr>
                <w:sz w:val="18"/>
                <w:szCs w:val="18"/>
                <w:color w:val="auto"/>
              </w:rPr>
            </w:pPr>
          </w:p>
        </w:tc>
        <w:tc>
          <w:tcPr>
            <w:tcW w:w="180" w:type="dxa"/>
            <w:vAlign w:val="bottom"/>
            <w:gridSpan w:val="2"/>
          </w:tcPr>
          <w:p>
            <w:pPr>
              <w:spacing w:after="0"/>
              <w:rPr>
                <w:sz w:val="18"/>
                <w:szCs w:val="18"/>
                <w:color w:val="auto"/>
              </w:rPr>
            </w:pPr>
          </w:p>
        </w:tc>
        <w:tc>
          <w:tcPr>
            <w:tcW w:w="220" w:type="dxa"/>
            <w:vAlign w:val="bottom"/>
            <w:tcBorders>
              <w:top w:val="single" w:sz="8" w:color="auto"/>
            </w:tcBorders>
          </w:tcPr>
          <w:p>
            <w:pPr>
              <w:jc w:val="right"/>
              <w:ind w:right="55"/>
              <w:spacing w:after="0"/>
              <w:rPr>
                <w:sz w:val="20"/>
                <w:szCs w:val="20"/>
                <w:color w:val="auto"/>
              </w:rPr>
            </w:pPr>
            <w:r>
              <w:rPr>
                <w:rFonts w:ascii="Times New Roman" w:cs="Times New Roman" w:eastAsia="Times New Roman" w:hAnsi="Times New Roman"/>
                <w:sz w:val="17"/>
                <w:szCs w:val="17"/>
                <w:color w:val="auto"/>
                <w:w w:val="70"/>
              </w:rPr>
              <w:t>$</w:t>
            </w:r>
          </w:p>
        </w:tc>
        <w:tc>
          <w:tcPr>
            <w:tcW w:w="1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20,989</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6040" w:type="dxa"/>
            <w:vAlign w:val="bottom"/>
            <w:tcBorders>
              <w:top w:val="single" w:sz="8" w:color="CCEEFF"/>
            </w:tcBorders>
            <w:shd w:val="clear" w:color="auto" w:fill="CCEEFF"/>
          </w:tcPr>
          <w:p>
            <w:pPr>
              <w:spacing w:after="0"/>
              <w:rPr>
                <w:sz w:val="18"/>
                <w:szCs w:val="18"/>
                <w:color w:val="auto"/>
              </w:rPr>
            </w:pPr>
          </w:p>
        </w:tc>
        <w:tc>
          <w:tcPr>
            <w:tcW w:w="206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22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tcPr>
          <w:p>
            <w:pPr>
              <w:spacing w:after="0"/>
              <w:rPr>
                <w:sz w:val="20"/>
                <w:szCs w:val="20"/>
                <w:color w:val="auto"/>
              </w:rPr>
            </w:pPr>
            <w:r>
              <w:rPr>
                <w:rFonts w:ascii="Times New Roman" w:cs="Times New Roman" w:eastAsia="Times New Roman" w:hAnsi="Times New Roman"/>
                <w:sz w:val="18"/>
                <w:szCs w:val="18"/>
                <w:color w:val="auto"/>
              </w:rPr>
              <w:t>GAAP general and administrative:</w:t>
            </w:r>
          </w:p>
        </w:tc>
        <w:tc>
          <w:tcPr>
            <w:tcW w:w="2340" w:type="dxa"/>
            <w:vAlign w:val="bottom"/>
            <w:gridSpan w:val="2"/>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16,858</w:t>
            </w:r>
          </w:p>
        </w:tc>
        <w:tc>
          <w:tcPr>
            <w:tcW w:w="400" w:type="dxa"/>
            <w:vAlign w:val="bottom"/>
            <w:gridSpan w:val="3"/>
          </w:tcPr>
          <w:p>
            <w:pPr>
              <w:jc w:val="right"/>
              <w:ind w:right="55"/>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6,877</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Stock-based compensation</w:t>
            </w:r>
          </w:p>
        </w:tc>
        <w:tc>
          <w:tcPr>
            <w:tcW w:w="20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(6,063)</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(139)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60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Non-GAAP general and administrative</w:t>
            </w:r>
          </w:p>
        </w:tc>
        <w:tc>
          <w:tcPr>
            <w:tcW w:w="2060" w:type="dxa"/>
            <w:vAlign w:val="bottom"/>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10,795</w:t>
            </w:r>
          </w:p>
        </w:tc>
        <w:tc>
          <w:tcPr>
            <w:tcW w:w="140" w:type="dxa"/>
            <w:vAlign w:val="bottom"/>
          </w:tcPr>
          <w:p>
            <w:pPr>
              <w:spacing w:after="0"/>
              <w:rPr>
                <w:sz w:val="18"/>
                <w:szCs w:val="18"/>
                <w:color w:val="auto"/>
              </w:rPr>
            </w:pPr>
          </w:p>
        </w:tc>
        <w:tc>
          <w:tcPr>
            <w:tcW w:w="180" w:type="dxa"/>
            <w:vAlign w:val="bottom"/>
            <w:gridSpan w:val="2"/>
          </w:tcPr>
          <w:p>
            <w:pPr>
              <w:spacing w:after="0"/>
              <w:rPr>
                <w:sz w:val="18"/>
                <w:szCs w:val="18"/>
                <w:color w:val="auto"/>
              </w:rPr>
            </w:pPr>
          </w:p>
        </w:tc>
        <w:tc>
          <w:tcPr>
            <w:tcW w:w="220" w:type="dxa"/>
            <w:vAlign w:val="bottom"/>
            <w:tcBorders>
              <w:top w:val="single" w:sz="8" w:color="auto"/>
              <w:bottom w:val="single" w:sz="8" w:color="auto"/>
            </w:tcBorders>
          </w:tcPr>
          <w:p>
            <w:pPr>
              <w:jc w:val="right"/>
              <w:ind w:right="55"/>
              <w:spacing w:after="0"/>
              <w:rPr>
                <w:sz w:val="20"/>
                <w:szCs w:val="20"/>
                <w:color w:val="auto"/>
              </w:rPr>
            </w:pPr>
            <w:r>
              <w:rPr>
                <w:rFonts w:ascii="Times New Roman" w:cs="Times New Roman" w:eastAsia="Times New Roman" w:hAnsi="Times New Roman"/>
                <w:sz w:val="17"/>
                <w:szCs w:val="17"/>
                <w:color w:val="auto"/>
                <w:w w:val="70"/>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6,738</w:t>
            </w:r>
          </w:p>
        </w:tc>
        <w:tc>
          <w:tcPr>
            <w:tcW w:w="2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34"/>
        </w:trPr>
        <w:tc>
          <w:tcPr>
            <w:tcW w:w="20" w:type="dxa"/>
            <w:vAlign w:val="bottom"/>
          </w:tcPr>
          <w:p>
            <w:pPr>
              <w:spacing w:after="0"/>
              <w:rPr>
                <w:sz w:val="24"/>
                <w:szCs w:val="24"/>
                <w:color w:val="auto"/>
              </w:rPr>
            </w:pPr>
          </w:p>
        </w:tc>
        <w:tc>
          <w:tcPr>
            <w:tcW w:w="6040" w:type="dxa"/>
            <w:vAlign w:val="bottom"/>
            <w:tcBorders>
              <w:bottom w:val="single" w:sz="8" w:color="808080"/>
            </w:tcBorders>
          </w:tcPr>
          <w:p>
            <w:pPr>
              <w:spacing w:after="0"/>
              <w:rPr>
                <w:sz w:val="24"/>
                <w:szCs w:val="24"/>
                <w:color w:val="auto"/>
              </w:rPr>
            </w:pPr>
          </w:p>
        </w:tc>
        <w:tc>
          <w:tcPr>
            <w:tcW w:w="206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220" w:type="dxa"/>
            <w:vAlign w:val="bottom"/>
            <w:tcBorders>
              <w:bottom w:val="single" w:sz="8" w:color="808080"/>
            </w:tcBorders>
          </w:tcPr>
          <w:p>
            <w:pPr>
              <w:spacing w:after="0"/>
              <w:rPr>
                <w:sz w:val="24"/>
                <w:szCs w:val="24"/>
                <w:color w:val="auto"/>
              </w:rPr>
            </w:pPr>
          </w:p>
        </w:tc>
        <w:tc>
          <w:tcPr>
            <w:tcW w:w="140" w:type="dxa"/>
            <w:vAlign w:val="bottom"/>
            <w:tcBorders>
              <w:bottom w:val="single" w:sz="8" w:color="808080"/>
            </w:tcBorders>
          </w:tcPr>
          <w:p>
            <w:pPr>
              <w:spacing w:after="0"/>
              <w:rPr>
                <w:sz w:val="24"/>
                <w:szCs w:val="24"/>
                <w:color w:val="auto"/>
              </w:rPr>
            </w:pPr>
          </w:p>
        </w:tc>
        <w:tc>
          <w:tcPr>
            <w:tcW w:w="80" w:type="dxa"/>
            <w:vAlign w:val="bottom"/>
            <w:tcBorders>
              <w:bottom w:val="single" w:sz="8" w:color="808080"/>
            </w:tcBorders>
          </w:tcPr>
          <w:p>
            <w:pPr>
              <w:spacing w:after="0"/>
              <w:rPr>
                <w:sz w:val="24"/>
                <w:szCs w:val="24"/>
                <w:color w:val="auto"/>
              </w:rPr>
            </w:pPr>
          </w:p>
        </w:tc>
        <w:tc>
          <w:tcPr>
            <w:tcW w:w="100" w:type="dxa"/>
            <w:vAlign w:val="bottom"/>
            <w:tcBorders>
              <w:bottom w:val="single" w:sz="8" w:color="808080"/>
            </w:tcBorders>
          </w:tcPr>
          <w:p>
            <w:pPr>
              <w:spacing w:after="0"/>
              <w:rPr>
                <w:sz w:val="24"/>
                <w:szCs w:val="24"/>
                <w:color w:val="auto"/>
              </w:rPr>
            </w:pPr>
          </w:p>
        </w:tc>
        <w:tc>
          <w:tcPr>
            <w:tcW w:w="22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8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22"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Condensed Consolidated Balance Sheets</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(Unaudited)</w:t>
      </w:r>
    </w:p>
    <w:p>
      <w:pPr>
        <w:sectPr>
          <w:pgSz w:w="11900" w:h="16888" w:orient="portrait"/>
          <w:cols w:equalWidth="0" w:num="1">
            <w:col w:w="11440"/>
          </w:cols>
          <w:pgMar w:left="240" w:top="121" w:right="219" w:bottom="0" w:gutter="0" w:footer="0" w:header="0"/>
        </w:sectPr>
      </w:pPr>
    </w:p>
    <w:bookmarkStart w:id="5" w:name="page6"/>
    <w:bookmarkEnd w:id="5"/>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2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5960" w:type="dxa"/>
            <w:vAlign w:val="bottom"/>
          </w:tcPr>
          <w:p>
            <w:pPr>
              <w:spacing w:after="0"/>
              <w:rPr>
                <w:sz w:val="13"/>
                <w:szCs w:val="13"/>
                <w:color w:val="auto"/>
              </w:rPr>
            </w:pPr>
          </w:p>
        </w:tc>
        <w:tc>
          <w:tcPr>
            <w:tcW w:w="21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500" w:type="dxa"/>
            <w:vAlign w:val="bottom"/>
            <w:gridSpan w:val="2"/>
          </w:tcPr>
          <w:p>
            <w:pPr>
              <w:jc w:val="right"/>
              <w:ind w:right="760"/>
              <w:spacing w:after="0"/>
              <w:rPr>
                <w:sz w:val="20"/>
                <w:szCs w:val="20"/>
                <w:color w:val="auto"/>
              </w:rPr>
            </w:pPr>
            <w:r>
              <w:rPr>
                <w:rFonts w:ascii="Times New Roman" w:cs="Times New Roman" w:eastAsia="Times New Roman" w:hAnsi="Times New Roman"/>
                <w:sz w:val="14"/>
                <w:szCs w:val="14"/>
                <w:b w:val="1"/>
                <w:bCs w:val="1"/>
                <w:color w:val="auto"/>
              </w:rPr>
              <w:t>April 29,</w:t>
            </w:r>
          </w:p>
        </w:tc>
        <w:tc>
          <w:tcPr>
            <w:tcW w:w="220" w:type="dxa"/>
            <w:vAlign w:val="bottom"/>
          </w:tcPr>
          <w:p>
            <w:pPr>
              <w:spacing w:after="0"/>
              <w:rPr>
                <w:sz w:val="13"/>
                <w:szCs w:val="13"/>
                <w:color w:val="auto"/>
              </w:rPr>
            </w:pPr>
          </w:p>
        </w:tc>
        <w:tc>
          <w:tcPr>
            <w:tcW w:w="1300" w:type="dxa"/>
            <w:vAlign w:val="bottom"/>
            <w:gridSpan w:val="3"/>
          </w:tcPr>
          <w:p>
            <w:pPr>
              <w:jc w:val="right"/>
              <w:ind w:right="440"/>
              <w:spacing w:after="0"/>
              <w:rPr>
                <w:sz w:val="20"/>
                <w:szCs w:val="20"/>
                <w:color w:val="auto"/>
              </w:rPr>
            </w:pPr>
            <w:r>
              <w:rPr>
                <w:rFonts w:ascii="Times New Roman" w:cs="Times New Roman" w:eastAsia="Times New Roman" w:hAnsi="Times New Roman"/>
                <w:sz w:val="14"/>
                <w:szCs w:val="14"/>
                <w:b w:val="1"/>
                <w:bCs w:val="1"/>
                <w:color w:val="auto"/>
              </w:rPr>
              <w:t>January 28,</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5960" w:type="dxa"/>
            <w:vAlign w:val="bottom"/>
            <w:tcBorders>
              <w:bottom w:val="single" w:sz="8" w:color="CCEEFF"/>
            </w:tcBorders>
          </w:tcPr>
          <w:p>
            <w:pPr>
              <w:spacing w:after="0"/>
              <w:rPr>
                <w:sz w:val="15"/>
                <w:szCs w:val="15"/>
                <w:color w:val="auto"/>
              </w:rPr>
            </w:pPr>
          </w:p>
        </w:tc>
        <w:tc>
          <w:tcPr>
            <w:tcW w:w="214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220" w:type="dxa"/>
            <w:vAlign w:val="bottom"/>
            <w:tcBorders>
              <w:bottom w:val="single" w:sz="8" w:color="auto"/>
            </w:tcBorders>
          </w:tcPr>
          <w:p>
            <w:pPr>
              <w:jc w:val="right"/>
              <w:ind w:right="511"/>
              <w:spacing w:after="0"/>
              <w:rPr>
                <w:sz w:val="20"/>
                <w:szCs w:val="20"/>
                <w:color w:val="auto"/>
              </w:rPr>
            </w:pPr>
            <w:r>
              <w:rPr>
                <w:rFonts w:ascii="Times New Roman" w:cs="Times New Roman" w:eastAsia="Times New Roman" w:hAnsi="Times New Roman"/>
                <w:sz w:val="14"/>
                <w:szCs w:val="14"/>
                <w:b w:val="1"/>
                <w:bCs w:val="1"/>
                <w:color w:val="auto"/>
              </w:rPr>
              <w:t>2006</w:t>
            </w:r>
          </w:p>
        </w:tc>
        <w:tc>
          <w:tcPr>
            <w:tcW w:w="280" w:type="dxa"/>
            <w:vAlign w:val="bottom"/>
            <w:tcBorders>
              <w:bottom w:val="single" w:sz="8" w:color="CCEEFF"/>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200" w:type="dxa"/>
            <w:vAlign w:val="bottom"/>
            <w:tcBorders>
              <w:bottom w:val="single" w:sz="8" w:color="auto"/>
            </w:tcBorders>
          </w:tcPr>
          <w:p>
            <w:pPr>
              <w:jc w:val="right"/>
              <w:ind w:right="471"/>
              <w:spacing w:after="0"/>
              <w:rPr>
                <w:sz w:val="20"/>
                <w:szCs w:val="20"/>
                <w:color w:val="auto"/>
              </w:rPr>
            </w:pPr>
            <w:r>
              <w:rPr>
                <w:rFonts w:ascii="Times New Roman" w:cs="Times New Roman" w:eastAsia="Times New Roman" w:hAnsi="Times New Roman"/>
                <w:sz w:val="14"/>
                <w:szCs w:val="14"/>
                <w:b w:val="1"/>
                <w:bCs w:val="1"/>
                <w:color w:val="auto"/>
              </w:rPr>
              <w:t>2006</w:t>
            </w:r>
          </w:p>
        </w:tc>
        <w:tc>
          <w:tcPr>
            <w:tcW w:w="20" w:type="dxa"/>
            <w:vAlign w:val="bottom"/>
            <w:tcBorders>
              <w:bottom w:val="single" w:sz="8" w:color="CCEEFF"/>
            </w:tcBorders>
          </w:tcPr>
          <w:p>
            <w:pPr>
              <w:spacing w:after="0"/>
              <w:rPr>
                <w:sz w:val="15"/>
                <w:szCs w:val="15"/>
                <w:color w:val="auto"/>
              </w:rPr>
            </w:pPr>
          </w:p>
        </w:tc>
        <w:tc>
          <w:tcPr>
            <w:tcW w:w="80" w:type="dxa"/>
            <w:vAlign w:val="bottom"/>
            <w:tcBorders>
              <w:bottom w:val="single" w:sz="8" w:color="CCEEFF"/>
            </w:tcBorders>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960" w:type="dxa"/>
            <w:vAlign w:val="bottom"/>
            <w:shd w:val="clear" w:color="auto" w:fill="CCEEFF"/>
          </w:tcPr>
          <w:p>
            <w:pPr>
              <w:spacing w:after="0" w:line="196" w:lineRule="exact"/>
              <w:rPr>
                <w:sz w:val="20"/>
                <w:szCs w:val="20"/>
                <w:color w:val="auto"/>
              </w:rPr>
            </w:pPr>
            <w:r>
              <w:rPr>
                <w:rFonts w:ascii="Times New Roman" w:cs="Times New Roman" w:eastAsia="Times New Roman" w:hAnsi="Times New Roman"/>
                <w:sz w:val="18"/>
                <w:szCs w:val="18"/>
                <w:b w:val="1"/>
                <w:bCs w:val="1"/>
                <w:color w:val="auto"/>
              </w:rPr>
              <w:t>Assets</w:t>
            </w:r>
          </w:p>
        </w:tc>
        <w:tc>
          <w:tcPr>
            <w:tcW w:w="21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Times New Roman" w:cs="Times New Roman" w:eastAsia="Times New Roman" w:hAnsi="Times New Roman"/>
                <w:sz w:val="18"/>
                <w:szCs w:val="18"/>
                <w:color w:val="auto"/>
              </w:rPr>
              <w:t>Current assets:</w:t>
            </w: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Cash, cash equivalents and short-term investments</w:t>
            </w:r>
          </w:p>
        </w:tc>
        <w:tc>
          <w:tcPr>
            <w:tcW w:w="2420" w:type="dxa"/>
            <w:vAlign w:val="bottom"/>
            <w:gridSpan w:val="2"/>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50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921,410</w:t>
            </w:r>
          </w:p>
        </w:tc>
        <w:tc>
          <w:tcPr>
            <w:tcW w:w="2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921,022</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Accounts receivable, net</w:t>
            </w: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293,536</w:t>
            </w:r>
          </w:p>
        </w:tc>
        <w:tc>
          <w:tcPr>
            <w:tcW w:w="220" w:type="dxa"/>
            <w:vAlign w:val="bottom"/>
          </w:tcPr>
          <w:p>
            <w:pPr>
              <w:spacing w:after="0"/>
              <w:rPr>
                <w:sz w:val="18"/>
                <w:szCs w:val="18"/>
                <w:color w:val="auto"/>
              </w:rPr>
            </w:pPr>
          </w:p>
        </w:tc>
        <w:tc>
          <w:tcPr>
            <w:tcW w:w="12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245,164</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Inventory</w:t>
            </w:r>
          </w:p>
        </w:tc>
        <w:tc>
          <w:tcPr>
            <w:tcW w:w="2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204,839</w:t>
            </w:r>
          </w:p>
        </w:tc>
        <w:tc>
          <w:tcPr>
            <w:tcW w:w="2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211,374</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134,861</w:t>
            </w:r>
          </w:p>
        </w:tc>
        <w:tc>
          <w:tcPr>
            <w:tcW w:w="220" w:type="dxa"/>
            <w:vAlign w:val="bottom"/>
          </w:tcPr>
          <w:p>
            <w:pPr>
              <w:spacing w:after="0"/>
              <w:rPr>
                <w:sz w:val="18"/>
                <w:szCs w:val="18"/>
                <w:color w:val="auto"/>
              </w:rPr>
            </w:pPr>
          </w:p>
        </w:tc>
        <w:tc>
          <w:tcPr>
            <w:tcW w:w="12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122,314</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60" w:type="dxa"/>
            <w:vAlign w:val="bottom"/>
            <w:tcBorders>
              <w:top w:val="single" w:sz="8" w:color="CCEEFF"/>
            </w:tcBorders>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Total current assets</w:t>
            </w:r>
          </w:p>
        </w:tc>
        <w:tc>
          <w:tcPr>
            <w:tcW w:w="21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2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1,554,646</w:t>
            </w:r>
          </w:p>
        </w:tc>
        <w:tc>
          <w:tcPr>
            <w:tcW w:w="2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2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1,499,874</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279,398</w:t>
            </w:r>
          </w:p>
        </w:tc>
        <w:tc>
          <w:tcPr>
            <w:tcW w:w="220" w:type="dxa"/>
            <w:vAlign w:val="bottom"/>
          </w:tcPr>
          <w:p>
            <w:pPr>
              <w:spacing w:after="0"/>
              <w:rPr>
                <w:sz w:val="18"/>
                <w:szCs w:val="18"/>
                <w:color w:val="auto"/>
              </w:rPr>
            </w:pPr>
          </w:p>
        </w:tc>
        <w:tc>
          <w:tcPr>
            <w:tcW w:w="12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260,921</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Goodwill and acquired intangible assets</w:t>
            </w:r>
          </w:p>
        </w:tc>
        <w:tc>
          <w:tcPr>
            <w:tcW w:w="2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1,683,588</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1,670,182</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Times New Roman" w:cs="Times New Roman" w:eastAsia="Times New Roman" w:hAnsi="Times New Roman"/>
                <w:sz w:val="18"/>
                <w:szCs w:val="18"/>
                <w:color w:val="auto"/>
              </w:rPr>
              <w:t>Other non current assets</w:t>
            </w: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94,544</w:t>
            </w:r>
          </w:p>
        </w:tc>
        <w:tc>
          <w:tcPr>
            <w:tcW w:w="220" w:type="dxa"/>
            <w:vAlign w:val="bottom"/>
          </w:tcPr>
          <w:p>
            <w:pPr>
              <w:spacing w:after="0"/>
              <w:rPr>
                <w:sz w:val="18"/>
                <w:szCs w:val="18"/>
                <w:color w:val="auto"/>
              </w:rPr>
            </w:pPr>
          </w:p>
        </w:tc>
        <w:tc>
          <w:tcPr>
            <w:tcW w:w="12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82,312</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960" w:type="dxa"/>
            <w:vAlign w:val="bottom"/>
            <w:tcBorders>
              <w:top w:val="single" w:sz="8" w:color="CCEEFF"/>
              <w:bottom w:val="single" w:sz="8" w:color="CCEEFF"/>
            </w:tcBorders>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Total assets</w:t>
            </w:r>
          </w:p>
        </w:tc>
        <w:tc>
          <w:tcPr>
            <w:tcW w:w="214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3,612,176</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3,513,289</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960" w:type="dxa"/>
            <w:vAlign w:val="bottom"/>
          </w:tcPr>
          <w:p>
            <w:pPr>
              <w:spacing w:after="0"/>
              <w:rPr>
                <w:sz w:val="18"/>
                <w:szCs w:val="18"/>
                <w:color w:val="auto"/>
              </w:rPr>
            </w:pP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Liabilities and Shareholders’ Equity</w:t>
            </w:r>
          </w:p>
        </w:tc>
        <w:tc>
          <w:tcPr>
            <w:tcW w:w="2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Times New Roman" w:cs="Times New Roman" w:eastAsia="Times New Roman" w:hAnsi="Times New Roman"/>
                <w:sz w:val="18"/>
                <w:szCs w:val="18"/>
                <w:color w:val="auto"/>
              </w:rPr>
              <w:t>Current liabilities:</w:t>
            </w: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Accounts payable</w:t>
            </w:r>
          </w:p>
        </w:tc>
        <w:tc>
          <w:tcPr>
            <w:tcW w:w="2420" w:type="dxa"/>
            <w:vAlign w:val="bottom"/>
            <w:gridSpan w:val="2"/>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50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150,738</w:t>
            </w:r>
          </w:p>
        </w:tc>
        <w:tc>
          <w:tcPr>
            <w:tcW w:w="2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196,606</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Accrued liabilities</w:t>
            </w: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85,639</w:t>
            </w:r>
          </w:p>
        </w:tc>
        <w:tc>
          <w:tcPr>
            <w:tcW w:w="220" w:type="dxa"/>
            <w:vAlign w:val="bottom"/>
          </w:tcPr>
          <w:p>
            <w:pPr>
              <w:spacing w:after="0"/>
              <w:rPr>
                <w:sz w:val="18"/>
                <w:szCs w:val="18"/>
                <w:color w:val="auto"/>
              </w:rPr>
            </w:pPr>
          </w:p>
        </w:tc>
        <w:tc>
          <w:tcPr>
            <w:tcW w:w="12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86,454</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Income taxes payable</w:t>
            </w:r>
          </w:p>
        </w:tc>
        <w:tc>
          <w:tcPr>
            <w:tcW w:w="2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3,296</w:t>
            </w:r>
          </w:p>
        </w:tc>
        <w:tc>
          <w:tcPr>
            <w:tcW w:w="2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3,352</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Deferred income</w:t>
            </w: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28,640</w:t>
            </w:r>
          </w:p>
        </w:tc>
        <w:tc>
          <w:tcPr>
            <w:tcW w:w="220" w:type="dxa"/>
            <w:vAlign w:val="bottom"/>
          </w:tcPr>
          <w:p>
            <w:pPr>
              <w:spacing w:after="0"/>
              <w:rPr>
                <w:sz w:val="18"/>
                <w:szCs w:val="18"/>
                <w:color w:val="auto"/>
              </w:rPr>
            </w:pPr>
          </w:p>
        </w:tc>
        <w:tc>
          <w:tcPr>
            <w:tcW w:w="12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29,773</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Current portion of capital lease obligations</w:t>
            </w:r>
          </w:p>
        </w:tc>
        <w:tc>
          <w:tcPr>
            <w:tcW w:w="2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17,033</w:t>
            </w:r>
          </w:p>
        </w:tc>
        <w:tc>
          <w:tcPr>
            <w:tcW w:w="2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16,563</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6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214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12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285,346</w:t>
            </w:r>
          </w:p>
        </w:tc>
        <w:tc>
          <w:tcPr>
            <w:tcW w:w="28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2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332,748</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Capital lease obligations</w:t>
            </w:r>
          </w:p>
        </w:tc>
        <w:tc>
          <w:tcPr>
            <w:tcW w:w="2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22,561</w:t>
            </w:r>
          </w:p>
        </w:tc>
        <w:tc>
          <w:tcPr>
            <w:tcW w:w="2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24,447</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Times New Roman" w:cs="Times New Roman" w:eastAsia="Times New Roman" w:hAnsi="Times New Roman"/>
                <w:sz w:val="18"/>
                <w:szCs w:val="18"/>
                <w:color w:val="auto"/>
              </w:rPr>
              <w:t>Other long-term liabilities</w:t>
            </w: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126,932</w:t>
            </w:r>
          </w:p>
        </w:tc>
        <w:tc>
          <w:tcPr>
            <w:tcW w:w="220" w:type="dxa"/>
            <w:vAlign w:val="bottom"/>
          </w:tcPr>
          <w:p>
            <w:pPr>
              <w:spacing w:after="0"/>
              <w:rPr>
                <w:sz w:val="18"/>
                <w:szCs w:val="18"/>
                <w:color w:val="auto"/>
              </w:rPr>
            </w:pPr>
          </w:p>
        </w:tc>
        <w:tc>
          <w:tcPr>
            <w:tcW w:w="12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109,997</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60" w:type="dxa"/>
            <w:vAlign w:val="bottom"/>
            <w:tcBorders>
              <w:top w:val="single" w:sz="8" w:color="CCEEFF"/>
            </w:tcBorders>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Total liabilities</w:t>
            </w:r>
          </w:p>
        </w:tc>
        <w:tc>
          <w:tcPr>
            <w:tcW w:w="21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2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434,839</w:t>
            </w:r>
          </w:p>
        </w:tc>
        <w:tc>
          <w:tcPr>
            <w:tcW w:w="2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467,192</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960" w:type="dxa"/>
            <w:vAlign w:val="bottom"/>
          </w:tcPr>
          <w:p>
            <w:pPr>
              <w:spacing w:after="0"/>
              <w:rPr>
                <w:sz w:val="18"/>
                <w:szCs w:val="18"/>
                <w:color w:val="auto"/>
              </w:rPr>
            </w:pP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Shareholders’ equity:</w:t>
            </w:r>
          </w:p>
        </w:tc>
        <w:tc>
          <w:tcPr>
            <w:tcW w:w="2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Common stock</w:t>
            </w: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585</w:t>
            </w:r>
          </w:p>
        </w:tc>
        <w:tc>
          <w:tcPr>
            <w:tcW w:w="220" w:type="dxa"/>
            <w:vAlign w:val="bottom"/>
          </w:tcPr>
          <w:p>
            <w:pPr>
              <w:spacing w:after="0"/>
              <w:rPr>
                <w:sz w:val="18"/>
                <w:szCs w:val="18"/>
                <w:color w:val="auto"/>
              </w:rPr>
            </w:pPr>
          </w:p>
        </w:tc>
        <w:tc>
          <w:tcPr>
            <w:tcW w:w="12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583</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Additional paid-in capital</w:t>
            </w:r>
          </w:p>
        </w:tc>
        <w:tc>
          <w:tcPr>
            <w:tcW w:w="2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3,304,563</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3,250,169</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Deferred stock-based compensation</w:t>
            </w: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30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(1,141)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Accumulated other comprehensive loss</w:t>
            </w:r>
          </w:p>
        </w:tc>
        <w:tc>
          <w:tcPr>
            <w:tcW w:w="2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(1,353)</w:t>
            </w:r>
          </w:p>
        </w:tc>
        <w:tc>
          <w:tcPr>
            <w:tcW w:w="220" w:type="dxa"/>
            <w:vAlign w:val="bottom"/>
            <w:shd w:val="clear" w:color="auto" w:fill="CCEEFF"/>
          </w:tcPr>
          <w:p>
            <w:pPr>
              <w:spacing w:after="0"/>
              <w:rPr>
                <w:sz w:val="18"/>
                <w:szCs w:val="18"/>
                <w:color w:val="auto"/>
              </w:rPr>
            </w:pPr>
          </w:p>
        </w:tc>
        <w:tc>
          <w:tcPr>
            <w:tcW w:w="130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(1,759)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6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Accumulated deficit</w:t>
            </w:r>
          </w:p>
        </w:tc>
        <w:tc>
          <w:tcPr>
            <w:tcW w:w="2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(126,458)</w:t>
            </w:r>
          </w:p>
        </w:tc>
        <w:tc>
          <w:tcPr>
            <w:tcW w:w="220" w:type="dxa"/>
            <w:vAlign w:val="bottom"/>
          </w:tcPr>
          <w:p>
            <w:pPr>
              <w:spacing w:after="0"/>
              <w:rPr>
                <w:sz w:val="18"/>
                <w:szCs w:val="18"/>
                <w:color w:val="auto"/>
              </w:rPr>
            </w:pPr>
          </w:p>
        </w:tc>
        <w:tc>
          <w:tcPr>
            <w:tcW w:w="130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(201,755)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60" w:type="dxa"/>
            <w:vAlign w:val="bottom"/>
            <w:tcBorders>
              <w:top w:val="single" w:sz="8" w:color="CCEEFF"/>
            </w:tcBorders>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Total shareholders’ equity</w:t>
            </w:r>
          </w:p>
        </w:tc>
        <w:tc>
          <w:tcPr>
            <w:tcW w:w="21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2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3,177,337</w:t>
            </w:r>
          </w:p>
        </w:tc>
        <w:tc>
          <w:tcPr>
            <w:tcW w:w="2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3,046,097</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96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Total liabilities and shareholders’ equity</w:t>
            </w:r>
          </w:p>
        </w:tc>
        <w:tc>
          <w:tcPr>
            <w:tcW w:w="2140" w:type="dxa"/>
            <w:vAlign w:val="bottom"/>
          </w:tcPr>
          <w:p>
            <w:pPr>
              <w:spacing w:after="0"/>
              <w:rPr>
                <w:sz w:val="18"/>
                <w:szCs w:val="18"/>
                <w:color w:val="auto"/>
              </w:rPr>
            </w:pPr>
          </w:p>
        </w:tc>
        <w:tc>
          <w:tcPr>
            <w:tcW w:w="280" w:type="dxa"/>
            <w:vAlign w:val="bottom"/>
            <w:tcBorders>
              <w:bottom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3,612,176</w:t>
            </w:r>
          </w:p>
        </w:tc>
        <w:tc>
          <w:tcPr>
            <w:tcW w:w="280" w:type="dxa"/>
            <w:vAlign w:val="bottom"/>
          </w:tcPr>
          <w:p>
            <w:pPr>
              <w:spacing w:after="0"/>
              <w:rPr>
                <w:sz w:val="18"/>
                <w:szCs w:val="18"/>
                <w:color w:val="auto"/>
              </w:rPr>
            </w:pPr>
          </w:p>
        </w:tc>
        <w:tc>
          <w:tcPr>
            <w:tcW w:w="220" w:type="dxa"/>
            <w:vAlign w:val="bottom"/>
            <w:tcBorders>
              <w:bottom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3,513,289</w:t>
            </w:r>
          </w:p>
        </w:tc>
        <w:tc>
          <w:tcPr>
            <w:tcW w:w="2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34"/>
        </w:trPr>
        <w:tc>
          <w:tcPr>
            <w:tcW w:w="20" w:type="dxa"/>
            <w:vAlign w:val="bottom"/>
          </w:tcPr>
          <w:p>
            <w:pPr>
              <w:spacing w:after="0"/>
              <w:rPr>
                <w:sz w:val="24"/>
                <w:szCs w:val="24"/>
                <w:color w:val="auto"/>
              </w:rPr>
            </w:pPr>
          </w:p>
        </w:tc>
        <w:tc>
          <w:tcPr>
            <w:tcW w:w="5960" w:type="dxa"/>
            <w:vAlign w:val="bottom"/>
            <w:tcBorders>
              <w:bottom w:val="single" w:sz="8" w:color="808080"/>
            </w:tcBorders>
          </w:tcPr>
          <w:p>
            <w:pPr>
              <w:spacing w:after="0"/>
              <w:rPr>
                <w:sz w:val="24"/>
                <w:szCs w:val="24"/>
                <w:color w:val="auto"/>
              </w:rPr>
            </w:pPr>
          </w:p>
        </w:tc>
        <w:tc>
          <w:tcPr>
            <w:tcW w:w="214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2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220" w:type="dxa"/>
            <w:vAlign w:val="bottom"/>
            <w:tcBorders>
              <w:bottom w:val="single" w:sz="8" w:color="808080"/>
            </w:tcBorders>
          </w:tcPr>
          <w:p>
            <w:pPr>
              <w:spacing w:after="0"/>
              <w:rPr>
                <w:sz w:val="24"/>
                <w:szCs w:val="24"/>
                <w:color w:val="auto"/>
              </w:rPr>
            </w:pPr>
          </w:p>
        </w:tc>
        <w:tc>
          <w:tcPr>
            <w:tcW w:w="120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8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sectPr>
      <w:pgSz w:w="11900" w:h="16838" w:orient="portrait"/>
      <w:cols w:equalWidth="0" w:num="1">
        <w:col w:w="11440"/>
      </w:cols>
      <w:pgMar w:left="240" w:top="117" w:right="2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2019-12-14T19:00:59Z</dcterms:created>
  <dcterms:modified xsi:type="dcterms:W3CDTF">2019-12-14T19:00:59Z</dcterms:modified>
</cp:coreProperties>
</file>