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1"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Mail Stop 6010</w:t>
      </w:r>
    </w:p>
    <w:p>
      <w:pPr>
        <w:spacing w:after="0" w:line="276"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June 16, 2006</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to (408) 752-9028</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Vice President and Chief Financial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Form 10-K for the Fiscal Year Ended January 28,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April 13,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Form 8-K Filed May 18, 2006</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2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Hervey:</w:t>
      </w:r>
    </w:p>
    <w:p>
      <w:pPr>
        <w:spacing w:after="0" w:line="276" w:lineRule="exact"/>
        <w:rPr>
          <w:sz w:val="24"/>
          <w:szCs w:val="24"/>
          <w:color w:val="auto"/>
        </w:rPr>
      </w:pPr>
    </w:p>
    <w:p>
      <w:pPr>
        <w:ind w:left="360" w:right="440" w:firstLine="720"/>
        <w:spacing w:after="0" w:line="247" w:lineRule="auto"/>
        <w:rPr>
          <w:sz w:val="20"/>
          <w:szCs w:val="20"/>
          <w:color w:val="auto"/>
        </w:rPr>
      </w:pPr>
      <w:r>
        <w:rPr>
          <w:rFonts w:ascii="Times New Roman" w:cs="Times New Roman" w:eastAsia="Times New Roman" w:hAnsi="Times New Roman"/>
          <w:sz w:val="24"/>
          <w:szCs w:val="24"/>
          <w:color w:val="auto"/>
        </w:rPr>
        <w:t>We have reviewed your filing and have the following comments. We have limited our review of your filing to those issues we have addressed in our comments. In some of our comments, we may ask you to provide us with information so we may better understand your disclosure. After reviewing this information, we may raise additional comments.</w:t>
      </w:r>
    </w:p>
    <w:p>
      <w:pPr>
        <w:spacing w:after="0" w:line="236" w:lineRule="exact"/>
        <w:rPr>
          <w:sz w:val="24"/>
          <w:szCs w:val="24"/>
          <w:color w:val="auto"/>
        </w:rPr>
      </w:pPr>
    </w:p>
    <w:p>
      <w:pPr>
        <w:ind w:left="36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ectPr>
          <w:pgSz w:w="12240" w:h="15840" w:orient="portrait"/>
          <w:cols w:equalWidth="0" w:num="1">
            <w:col w:w="9360"/>
          </w:cols>
          <w:pgMar w:left="1440" w:top="1440" w:right="1440" w:bottom="144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16, 2006</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10-K for the Fiscal Year-Ended January 28, 2006</w:t>
      </w:r>
    </w:p>
    <w:p>
      <w:pPr>
        <w:spacing w:after="0" w:line="276" w:lineRule="exact"/>
        <w:rPr>
          <w:sz w:val="20"/>
          <w:szCs w:val="20"/>
          <w:color w:val="auto"/>
        </w:rPr>
      </w:pPr>
    </w:p>
    <w:p>
      <w:pPr>
        <w:ind w:left="1080" w:right="600" w:hanging="720"/>
        <w:spacing w:after="0" w:line="271" w:lineRule="auto"/>
        <w:tabs>
          <w:tab w:leader="none" w:pos="1080" w:val="left"/>
        </w:tabs>
        <w:numPr>
          <w:ilvl w:val="0"/>
          <w:numId w:val="1"/>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 note that although your fiscal years ended January 28, 2006 and January 29, 2005, you present consolidated balance sheets and income statements as of and for the periods ended January 31, 2006, 2005 and 2004 for ease of presentation.</w:t>
      </w:r>
    </w:p>
    <w:p>
      <w:pPr>
        <w:spacing w:after="0" w:line="208" w:lineRule="exact"/>
        <w:rPr>
          <w:rFonts w:ascii="Times New Roman" w:cs="Times New Roman" w:eastAsia="Times New Roman" w:hAnsi="Times New Roman"/>
          <w:sz w:val="23"/>
          <w:szCs w:val="23"/>
          <w:color w:val="auto"/>
        </w:rPr>
      </w:pPr>
    </w:p>
    <w:p>
      <w:pPr>
        <w:ind w:left="1440" w:right="520" w:hanging="360"/>
        <w:spacing w:after="0" w:line="225" w:lineRule="auto"/>
        <w:tabs>
          <w:tab w:leader="none" w:pos="1440" w:val="left"/>
        </w:tabs>
        <w:numPr>
          <w:ilvl w:val="1"/>
          <w:numId w:val="1"/>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Please confirm that your financial statements are in fact presented as of and for the 52- or 53- week period ended January 28, 2006, January 29, 2005 and January 31, 2004. Otherwise, please clearly explain the adjustments you made in order to present the information as of January 31</w:t>
      </w:r>
      <w:r>
        <w:rPr>
          <w:rFonts w:ascii="Times New Roman" w:cs="Times New Roman" w:eastAsia="Times New Roman" w:hAnsi="Times New Roman"/>
          <w:sz w:val="31"/>
          <w:szCs w:val="31"/>
          <w:color w:val="auto"/>
          <w:vertAlign w:val="superscript"/>
        </w:rPr>
        <w:t>st</w:t>
      </w:r>
      <w:r>
        <w:rPr>
          <w:rFonts w:ascii="Times New Roman" w:cs="Times New Roman" w:eastAsia="Times New Roman" w:hAnsi="Times New Roman"/>
          <w:sz w:val="24"/>
          <w:szCs w:val="24"/>
          <w:color w:val="auto"/>
        </w:rPr>
        <w:t xml:space="preserve"> of each year.</w:t>
      </w:r>
    </w:p>
    <w:p>
      <w:pPr>
        <w:spacing w:after="0" w:line="4" w:lineRule="exact"/>
        <w:rPr>
          <w:rFonts w:ascii="PMingLiU" w:cs="PMingLiU" w:eastAsia="PMingLiU" w:hAnsi="PMingLiU"/>
          <w:sz w:val="24"/>
          <w:szCs w:val="24"/>
          <w:color w:val="auto"/>
        </w:rPr>
      </w:pPr>
    </w:p>
    <w:p>
      <w:pPr>
        <w:ind w:left="1440" w:hanging="360"/>
        <w:spacing w:after="0" w:line="226" w:lineRule="auto"/>
        <w:tabs>
          <w:tab w:leader="none" w:pos="1440" w:val="left"/>
        </w:tabs>
        <w:numPr>
          <w:ilvl w:val="1"/>
          <w:numId w:val="1"/>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Tell us why management believes such presentation is appropriate.</w:t>
      </w:r>
    </w:p>
    <w:p>
      <w:pPr>
        <w:spacing w:after="0" w:line="1" w:lineRule="exact"/>
        <w:rPr>
          <w:rFonts w:ascii="PMingLiU" w:cs="PMingLiU" w:eastAsia="PMingLiU" w:hAnsi="PMingLiU"/>
          <w:sz w:val="24"/>
          <w:szCs w:val="24"/>
          <w:color w:val="auto"/>
        </w:rPr>
      </w:pPr>
    </w:p>
    <w:p>
      <w:pPr>
        <w:ind w:left="1440" w:right="360" w:hanging="360"/>
        <w:spacing w:after="0" w:line="239" w:lineRule="auto"/>
        <w:tabs>
          <w:tab w:leader="none" w:pos="1440" w:val="left"/>
        </w:tabs>
        <w:numPr>
          <w:ilvl w:val="1"/>
          <w:numId w:val="1"/>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Please have your auditors explain why they believe that the audit report, opining on consolidated balance sheets dated January 31, 2006 and 2005 and income statements and cash flows for periods ended January 31, 2006, 2005 and 2004, although in 2006 and 2005 the actual period ended on different days and covered different periods, are appropriate and complies with Article 2 of Regulation S-X and PCAOB standards.</w:t>
      </w:r>
    </w:p>
    <w:p>
      <w:pPr>
        <w:spacing w:after="0" w:line="24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8-K filed May 18, 2006</w:t>
      </w:r>
    </w:p>
    <w:p>
      <w:pPr>
        <w:spacing w:after="0" w:line="276" w:lineRule="exact"/>
        <w:rPr>
          <w:sz w:val="20"/>
          <w:szCs w:val="20"/>
          <w:color w:val="auto"/>
        </w:rPr>
      </w:pPr>
    </w:p>
    <w:p>
      <w:pPr>
        <w:ind w:left="1080" w:right="420" w:hanging="720"/>
        <w:spacing w:after="0" w:line="242" w:lineRule="auto"/>
        <w:tabs>
          <w:tab w:leader="none" w:pos="1080"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We note that you present your non-GAAP measures in the form of a non-GAAP Consolidated Statements of Income. This format may be confusing to investors as it also reflects several non-GAAP measures, including non-GAAP gross profit, non-GAAP total operating expenses, non-GAAP operating expenses, non-GAAP income before income taxes, non-GAAP net income per share – basic, and non-GAAP net income per share – diluted, which have not been described to investors. In fact, it appears that management does not use all these non-GAAP measures but they are shown here as a result of the presentation format. Please note that Instruction 2 to Item 2.02 of Form 8-K requires that when furnishing information under this item you must provide all the disclosures required by paragraph (e)(1)(i) of Item 10 of Regulation S-K, including a reconciliation to the directly comparable GAAP measure for </w:t>
      </w:r>
      <w:r>
        <w:rPr>
          <w:rFonts w:ascii="Times New Roman" w:cs="Times New Roman" w:eastAsia="Times New Roman" w:hAnsi="Times New Roman"/>
          <w:sz w:val="24"/>
          <w:szCs w:val="24"/>
          <w:b w:val="1"/>
          <w:bCs w:val="1"/>
          <w:color w:val="auto"/>
        </w:rPr>
        <w:t>each</w:t>
      </w:r>
      <w:r>
        <w:rPr>
          <w:rFonts w:ascii="Times New Roman" w:cs="Times New Roman" w:eastAsia="Times New Roman" w:hAnsi="Times New Roman"/>
          <w:sz w:val="24"/>
          <w:szCs w:val="24"/>
          <w:color w:val="auto"/>
        </w:rPr>
        <w:t xml:space="preserve"> non-GAAP measure presented and explain why you believe the measures provide useful information to investors.</w:t>
      </w:r>
    </w:p>
    <w:p>
      <w:pPr>
        <w:spacing w:after="0" w:line="245" w:lineRule="exact"/>
        <w:rPr>
          <w:rFonts w:ascii="Times New Roman" w:cs="Times New Roman" w:eastAsia="Times New Roman" w:hAnsi="Times New Roman"/>
          <w:sz w:val="24"/>
          <w:szCs w:val="24"/>
          <w:color w:val="auto"/>
        </w:rPr>
      </w:pPr>
    </w:p>
    <w:p>
      <w:pPr>
        <w:ind w:left="1440" w:right="520" w:hanging="360"/>
        <w:spacing w:after="0" w:line="242" w:lineRule="auto"/>
        <w:tabs>
          <w:tab w:leader="none" w:pos="1440" w:val="left"/>
        </w:tabs>
        <w:numPr>
          <w:ilvl w:val="1"/>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To eliminate investor confusion, please remove the non-GAAP Consolidated Statements of Income from all future filings and instead disclose only those non-GAAP measures used by management that you wish to highlight for investors, with the appropriate reconciliations.</w:t>
      </w:r>
    </w:p>
    <w:p>
      <w:pPr>
        <w:ind w:left="1440" w:right="380" w:hanging="360"/>
        <w:spacing w:after="0" w:line="238" w:lineRule="auto"/>
        <w:tabs>
          <w:tab w:leader="none" w:pos="1440" w:val="left"/>
        </w:tabs>
        <w:numPr>
          <w:ilvl w:val="1"/>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Please note that in the event that your Form 8-K is incorporated by reference into a 33 Act registration statement, we may have additional questions relating to the appropriateness of this information being included in a document filed with, and not just furnished to, the Commission. At that time, we may request an amendment to the Form 8-K.</w:t>
      </w:r>
    </w:p>
    <w:p>
      <w:pPr>
        <w:sectPr>
          <w:pgSz w:w="12240" w:h="15840" w:orient="portrait"/>
          <w:cols w:equalWidth="0" w:num="1">
            <w:col w:w="9360"/>
          </w:cols>
          <w:pgMar w:left="1440" w:top="700" w:right="1440" w:bottom="1440" w:gutter="0" w:footer="0" w:header="0"/>
        </w:sectPr>
      </w:pPr>
    </w:p>
    <w:bookmarkStart w:id="2" w:name="page3"/>
    <w:bookmarkEnd w:id="2"/>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16, 2006</w:t>
      </w:r>
    </w:p>
    <w:p>
      <w:pPr>
        <w:ind w:left="360"/>
        <w:spacing w:after="0"/>
        <w:rPr>
          <w:sz w:val="20"/>
          <w:szCs w:val="20"/>
          <w:color w:val="auto"/>
        </w:rPr>
      </w:pPr>
      <w:r>
        <w:rPr>
          <w:rFonts w:ascii="Times New Roman" w:cs="Times New Roman" w:eastAsia="Times New Roman" w:hAnsi="Times New Roman"/>
          <w:sz w:val="24"/>
          <w:szCs w:val="24"/>
          <w:color w:val="auto"/>
        </w:rPr>
        <w:t>Page 3</w:t>
      </w:r>
    </w:p>
    <w:p>
      <w:pPr>
        <w:spacing w:after="0" w:line="246" w:lineRule="exact"/>
        <w:rPr>
          <w:sz w:val="20"/>
          <w:szCs w:val="20"/>
          <w:color w:val="auto"/>
        </w:rPr>
      </w:pPr>
    </w:p>
    <w:p>
      <w:pPr>
        <w:ind w:left="1080" w:right="380" w:hanging="720"/>
        <w:spacing w:after="0" w:line="242" w:lineRule="auto"/>
        <w:tabs>
          <w:tab w:leader="none" w:pos="108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While there is no </w:t>
      </w:r>
      <w:r>
        <w:rPr>
          <w:rFonts w:ascii="Times New Roman" w:cs="Times New Roman" w:eastAsia="Times New Roman" w:hAnsi="Times New Roman"/>
          <w:sz w:val="24"/>
          <w:szCs w:val="24"/>
          <w:i w:val="1"/>
          <w:iCs w:val="1"/>
          <w:color w:val="auto"/>
        </w:rPr>
        <w:t>per se</w:t>
      </w:r>
      <w:r>
        <w:rPr>
          <w:rFonts w:ascii="Times New Roman" w:cs="Times New Roman" w:eastAsia="Times New Roman" w:hAnsi="Times New Roman"/>
          <w:sz w:val="24"/>
          <w:szCs w:val="24"/>
          <w:color w:val="auto"/>
        </w:rPr>
        <w:t xml:space="preserve"> prohibition against removing a recurring item, you must meet the burden of demonstrating the usefulness of any measure that excludes recurring items, especially if the non-GAAP financial measure is used to evaluate performance. Whether a non-GAAP financial measure that eliminates a recurring item or items from the most directly comparable GAAP financial measure is acceptable depends on all of the facts and circumstances. However, if there is a past pattern of the charges, no articulated demonstration that such charges will not continue and no other unusual reason that a company can substantiate to identify the special nature of the charge, it would be difficult for a company to meet the burden of disclosing why such a non-GAAP financial measure is useful to investors. In such circumstances, Item 10(e) of Regulation S-K would not permit the use of the non-GAAP financial measure and similar considerations may apply under Item 12 of Form 8-K. In addition, inclusion of such a measure may be misleading absent the following disclosure, which should be specific to </w:t>
      </w:r>
      <w:r>
        <w:rPr>
          <w:rFonts w:ascii="Times New Roman" w:cs="Times New Roman" w:eastAsia="Times New Roman" w:hAnsi="Times New Roman"/>
          <w:sz w:val="24"/>
          <w:szCs w:val="24"/>
          <w:u w:val="single" w:color="auto"/>
          <w:color w:val="auto"/>
        </w:rPr>
        <w:t>each</w:t>
      </w:r>
      <w:r>
        <w:rPr>
          <w:rFonts w:ascii="Times New Roman" w:cs="Times New Roman" w:eastAsia="Times New Roman" w:hAnsi="Times New Roman"/>
          <w:sz w:val="24"/>
          <w:szCs w:val="24"/>
          <w:color w:val="auto"/>
        </w:rPr>
        <w:t xml:space="preserve"> measure and not a broad overall, vague disclosure:</w:t>
      </w:r>
    </w:p>
    <w:p>
      <w:pPr>
        <w:spacing w:after="0" w:line="262" w:lineRule="exact"/>
        <w:rPr>
          <w:rFonts w:ascii="Times New Roman" w:cs="Times New Roman" w:eastAsia="Times New Roman" w:hAnsi="Times New Roman"/>
          <w:sz w:val="24"/>
          <w:szCs w:val="24"/>
          <w:color w:val="auto"/>
        </w:rPr>
      </w:pPr>
    </w:p>
    <w:p>
      <w:pPr>
        <w:ind w:left="1800" w:right="400" w:hanging="720"/>
        <w:spacing w:after="0" w:line="255" w:lineRule="auto"/>
        <w:rPr>
          <w:rFonts w:ascii="Times New Roman" w:cs="Times New Roman" w:eastAsia="Times New Roman" w:hAnsi="Times New Roman"/>
          <w:sz w:val="24"/>
          <w:szCs w:val="24"/>
          <w:color w:val="auto"/>
        </w:rPr>
      </w:pPr>
      <w:r>
        <w:rPr>
          <w:rFonts w:ascii="MS PGothic" w:cs="MS PGothic" w:eastAsia="MS PGothic" w:hAnsi="MS PGothic"/>
          <w:sz w:val="24"/>
          <w:szCs w:val="24"/>
          <w:color w:val="auto"/>
        </w:rPr>
        <w:t>⋅</w:t>
      </w:r>
      <w:r>
        <w:rPr>
          <w:rFonts w:ascii="Times New Roman" w:cs="Times New Roman" w:eastAsia="Times New Roman" w:hAnsi="Times New Roman"/>
          <w:sz w:val="24"/>
          <w:szCs w:val="24"/>
          <w:color w:val="auto"/>
        </w:rPr>
        <w:t>the manner in which management uses the non-GAAP measure to conduct or evaluate its business;</w:t>
      </w:r>
    </w:p>
    <w:p>
      <w:pPr>
        <w:spacing w:after="0" w:line="1" w:lineRule="exact"/>
        <w:rPr>
          <w:rFonts w:ascii="Times New Roman" w:cs="Times New Roman" w:eastAsia="Times New Roman" w:hAnsi="Times New Roman"/>
          <w:sz w:val="24"/>
          <w:szCs w:val="24"/>
          <w:color w:val="auto"/>
        </w:rPr>
      </w:pPr>
    </w:p>
    <w:p>
      <w:pPr>
        <w:ind w:left="1800" w:right="1000" w:hanging="720"/>
        <w:spacing w:after="0" w:line="247" w:lineRule="auto"/>
        <w:rPr>
          <w:rFonts w:ascii="Times New Roman" w:cs="Times New Roman" w:eastAsia="Times New Roman" w:hAnsi="Times New Roman"/>
          <w:sz w:val="24"/>
          <w:szCs w:val="24"/>
          <w:color w:val="auto"/>
        </w:rPr>
      </w:pPr>
      <w:r>
        <w:rPr>
          <w:rFonts w:ascii="MS PGothic" w:cs="MS PGothic" w:eastAsia="MS PGothic" w:hAnsi="MS PGothic"/>
          <w:sz w:val="24"/>
          <w:szCs w:val="24"/>
          <w:color w:val="auto"/>
        </w:rPr>
        <w:t>⋅</w:t>
      </w:r>
      <w:r>
        <w:rPr>
          <w:rFonts w:ascii="Times New Roman" w:cs="Times New Roman" w:eastAsia="Times New Roman" w:hAnsi="Times New Roman"/>
          <w:sz w:val="24"/>
          <w:szCs w:val="24"/>
          <w:color w:val="auto"/>
        </w:rPr>
        <w:t>the economic substance behind management's decision to use such a measure;</w:t>
      </w:r>
    </w:p>
    <w:p>
      <w:pPr>
        <w:ind w:left="1800" w:right="680" w:hanging="720"/>
        <w:spacing w:after="0" w:line="245" w:lineRule="auto"/>
        <w:rPr>
          <w:rFonts w:ascii="Times New Roman" w:cs="Times New Roman" w:eastAsia="Times New Roman" w:hAnsi="Times New Roman"/>
          <w:sz w:val="24"/>
          <w:szCs w:val="24"/>
          <w:color w:val="auto"/>
        </w:rPr>
      </w:pPr>
      <w:r>
        <w:rPr>
          <w:rFonts w:ascii="MS PGothic" w:cs="MS PGothic" w:eastAsia="MS PGothic" w:hAnsi="MS PGothic"/>
          <w:sz w:val="24"/>
          <w:szCs w:val="24"/>
          <w:color w:val="auto"/>
        </w:rPr>
        <w:t>⋅</w:t>
      </w:r>
      <w:r>
        <w:rPr>
          <w:rFonts w:ascii="Times New Roman" w:cs="Times New Roman" w:eastAsia="Times New Roman" w:hAnsi="Times New Roman"/>
          <w:sz w:val="24"/>
          <w:szCs w:val="24"/>
          <w:color w:val="auto"/>
        </w:rPr>
        <w:t>the material limitations associated with use of the non-GAAP financial measure as compared to the use of the most directly comparable GAAP financial measure;</w:t>
      </w:r>
    </w:p>
    <w:p>
      <w:pPr>
        <w:ind w:left="1800" w:right="460" w:hanging="720"/>
        <w:spacing w:after="0" w:line="247" w:lineRule="auto"/>
        <w:rPr>
          <w:rFonts w:ascii="Times New Roman" w:cs="Times New Roman" w:eastAsia="Times New Roman" w:hAnsi="Times New Roman"/>
          <w:sz w:val="24"/>
          <w:szCs w:val="24"/>
          <w:color w:val="auto"/>
        </w:rPr>
      </w:pPr>
      <w:r>
        <w:rPr>
          <w:rFonts w:ascii="MS PGothic" w:cs="MS PGothic" w:eastAsia="MS PGothic" w:hAnsi="MS PGothic"/>
          <w:sz w:val="24"/>
          <w:szCs w:val="24"/>
          <w:color w:val="auto"/>
        </w:rPr>
        <w:t>⋅</w:t>
      </w:r>
      <w:r>
        <w:rPr>
          <w:rFonts w:ascii="Times New Roman" w:cs="Times New Roman" w:eastAsia="Times New Roman" w:hAnsi="Times New Roman"/>
          <w:sz w:val="24"/>
          <w:szCs w:val="24"/>
          <w:color w:val="auto"/>
        </w:rPr>
        <w:t>the manner in which management compensates for these limitations when using the non-GAAP financial measure; and</w:t>
      </w:r>
    </w:p>
    <w:p>
      <w:pPr>
        <w:jc w:val="center"/>
        <w:ind w:left="1800" w:right="1240" w:hanging="720"/>
        <w:spacing w:after="0" w:line="276" w:lineRule="auto"/>
        <w:rPr>
          <w:rFonts w:ascii="Times New Roman" w:cs="Times New Roman" w:eastAsia="Times New Roman" w:hAnsi="Times New Roman"/>
          <w:sz w:val="24"/>
          <w:szCs w:val="24"/>
          <w:color w:val="auto"/>
        </w:rPr>
      </w:pPr>
      <w:r>
        <w:rPr>
          <w:rFonts w:ascii="MS PGothic" w:cs="MS PGothic" w:eastAsia="MS PGothic" w:hAnsi="MS PGothic"/>
          <w:sz w:val="24"/>
          <w:szCs w:val="24"/>
          <w:color w:val="auto"/>
        </w:rPr>
        <w:t>⋅</w:t>
      </w:r>
      <w:r>
        <w:rPr>
          <w:rFonts w:ascii="Times New Roman" w:cs="Times New Roman" w:eastAsia="Times New Roman" w:hAnsi="Times New Roman"/>
          <w:sz w:val="23"/>
          <w:szCs w:val="23"/>
          <w:color w:val="auto"/>
        </w:rPr>
        <w:t>the substantive reasons why management believes the non-GAAP financial measure provides useful information to investors.</w:t>
      </w:r>
    </w:p>
    <w:p>
      <w:pPr>
        <w:spacing w:after="0" w:line="200" w:lineRule="exact"/>
        <w:rPr>
          <w:rFonts w:ascii="Times New Roman" w:cs="Times New Roman" w:eastAsia="Times New Roman" w:hAnsi="Times New Roman"/>
          <w:sz w:val="24"/>
          <w:szCs w:val="24"/>
          <w:color w:val="auto"/>
        </w:rPr>
      </w:pPr>
    </w:p>
    <w:p>
      <w:pPr>
        <w:ind w:left="1080" w:right="380"/>
        <w:spacing w:after="0" w:line="293" w:lineRule="auto"/>
        <w:rPr>
          <w:rFonts w:ascii="Times New Roman" w:cs="Times New Roman" w:eastAsia="Times New Roman" w:hAnsi="Times New Roman"/>
          <w:sz w:val="24"/>
          <w:szCs w:val="24"/>
          <w:color w:val="auto"/>
        </w:rPr>
      </w:pPr>
      <w:r>
        <w:rPr>
          <w:rFonts w:ascii="Times New Roman" w:cs="Times New Roman" w:eastAsia="Times New Roman" w:hAnsi="Times New Roman"/>
          <w:sz w:val="23"/>
          <w:szCs w:val="23"/>
          <w:color w:val="auto"/>
        </w:rPr>
        <w:t>Refer to Question 8 of the FAQ Regarding the Use of Non-GAAP Financial Measures dated June 13, 2003 and note our concern when preparing future filings.</w:t>
      </w:r>
    </w:p>
    <w:p>
      <w:pPr>
        <w:spacing w:after="0" w:line="182" w:lineRule="exact"/>
        <w:rPr>
          <w:rFonts w:ascii="Times New Roman" w:cs="Times New Roman" w:eastAsia="Times New Roman" w:hAnsi="Times New Roman"/>
          <w:sz w:val="24"/>
          <w:szCs w:val="24"/>
          <w:color w:val="auto"/>
        </w:rPr>
      </w:pPr>
    </w:p>
    <w:p>
      <w:pPr>
        <w:ind w:left="1080" w:right="360" w:hanging="720"/>
        <w:spacing w:after="0" w:line="242" w:lineRule="auto"/>
        <w:tabs>
          <w:tab w:leader="none" w:pos="1080"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With respect to your use of a per share measure that is not calculated using a share figure that is presented on a diluted basis in accordance with GAAP, please tell us whether you considered whether this presentation complies with the requirement of Regulation G that a registrant, or a person acting on its behalf, shall not make public a non-GAAP financial measure that, taken together with the information accompanying that measure, contains an untrue statement of a material fact or omits to state a material fact necessary in order to make the presentation of the non-GAAP financial measure, in light of the circumstances under which it is presented, not misleading. See footnote 49 of Regulation G from the SEC Release No. 33-8176: Conditions for Use of Non-GAAP Financial Measures. In addition, your current disclosure does not appear to sufficiently explain the reasons why you believe this presentation provides useful information to investors. Finally, note our concerns when preparing future filings.</w:t>
      </w:r>
    </w:p>
    <w:p>
      <w:pPr>
        <w:sectPr>
          <w:pgSz w:w="12240" w:h="15840" w:orient="portrait"/>
          <w:cols w:equalWidth="0" w:num="1">
            <w:col w:w="9360"/>
          </w:cols>
          <w:pgMar w:left="1440" w:top="700" w:right="1440" w:bottom="936" w:gutter="0" w:footer="0" w:header="0"/>
        </w:sectPr>
      </w:pPr>
    </w:p>
    <w:bookmarkStart w:id="3" w:name="page4"/>
    <w:bookmarkEnd w:id="3"/>
    <w:p>
      <w:pPr>
        <w:ind w:left="360"/>
        <w:spacing w:after="0"/>
        <w:rPr>
          <w:sz w:val="20"/>
          <w:szCs w:val="20"/>
          <w:color w:val="auto"/>
        </w:rPr>
      </w:pPr>
      <w:r>
        <w:rPr>
          <w:rFonts w:ascii="Times New Roman" w:cs="Times New Roman" w:eastAsia="Times New Roman" w:hAnsi="Times New Roman"/>
          <w:sz w:val="24"/>
          <w:szCs w:val="24"/>
          <w:color w:val="auto"/>
        </w:rPr>
        <w:t>George A. Hervey</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16, 2006</w:t>
      </w:r>
    </w:p>
    <w:p>
      <w:pPr>
        <w:ind w:left="360"/>
        <w:spacing w:after="0"/>
        <w:rPr>
          <w:sz w:val="20"/>
          <w:szCs w:val="20"/>
          <w:color w:val="auto"/>
        </w:rPr>
      </w:pPr>
      <w:r>
        <w:rPr>
          <w:rFonts w:ascii="Times New Roman" w:cs="Times New Roman" w:eastAsia="Times New Roman" w:hAnsi="Times New Roman"/>
          <w:sz w:val="24"/>
          <w:szCs w:val="24"/>
          <w:color w:val="auto"/>
        </w:rPr>
        <w:t>Page 4</w:t>
      </w:r>
    </w:p>
    <w:p>
      <w:pPr>
        <w:spacing w:after="0" w:line="250" w:lineRule="exact"/>
        <w:rPr>
          <w:sz w:val="20"/>
          <w:szCs w:val="20"/>
          <w:color w:val="auto"/>
        </w:rPr>
      </w:pPr>
    </w:p>
    <w:p>
      <w:pPr>
        <w:jc w:val="both"/>
        <w:ind w:left="360" w:right="500" w:firstLine="720"/>
        <w:spacing w:after="0" w:line="250" w:lineRule="auto"/>
        <w:rPr>
          <w:sz w:val="20"/>
          <w:szCs w:val="20"/>
          <w:color w:val="auto"/>
        </w:rPr>
      </w:pPr>
      <w:r>
        <w:rPr>
          <w:rFonts w:ascii="Times New Roman" w:cs="Times New Roman" w:eastAsia="Times New Roman" w:hAnsi="Times New Roman"/>
          <w:sz w:val="24"/>
          <w:szCs w:val="24"/>
          <w:color w:val="auto"/>
        </w:rPr>
        <w:t>As appropriate, please respond to these comments within 10 business days or tell us when you will provide us with a response. Detailed cover letters greatly facilitate our review. Please understand that we may have additional comments after reviewing your amendment and responses to our comments.</w:t>
      </w:r>
    </w:p>
    <w:p>
      <w:pPr>
        <w:spacing w:after="0" w:line="230" w:lineRule="exact"/>
        <w:rPr>
          <w:sz w:val="20"/>
          <w:szCs w:val="20"/>
          <w:color w:val="auto"/>
        </w:rPr>
      </w:pPr>
    </w:p>
    <w:p>
      <w:pPr>
        <w:ind w:left="360" w:right="42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5" w:lineRule="exact"/>
        <w:rPr>
          <w:sz w:val="20"/>
          <w:szCs w:val="20"/>
          <w:color w:val="auto"/>
        </w:rPr>
      </w:pPr>
    </w:p>
    <w:p>
      <w:pPr>
        <w:ind w:left="360" w:right="880" w:firstLine="720"/>
        <w:spacing w:after="0" w:line="271" w:lineRule="auto"/>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 from the company acknowledging that:</w:t>
      </w:r>
    </w:p>
    <w:p>
      <w:pPr>
        <w:spacing w:after="0" w:line="205" w:lineRule="exact"/>
        <w:rPr>
          <w:sz w:val="20"/>
          <w:szCs w:val="20"/>
          <w:color w:val="auto"/>
        </w:rPr>
      </w:pPr>
    </w:p>
    <w:p>
      <w:pPr>
        <w:ind w:left="1080" w:right="440" w:hanging="360"/>
        <w:spacing w:after="0" w:line="244" w:lineRule="auto"/>
        <w:tabs>
          <w:tab w:leader="none" w:pos="1080" w:val="left"/>
        </w:tabs>
        <w:numPr>
          <w:ilvl w:val="0"/>
          <w:numId w:val="4"/>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ind w:left="1080" w:right="660" w:hanging="360"/>
        <w:spacing w:after="0" w:line="243" w:lineRule="auto"/>
        <w:tabs>
          <w:tab w:leader="none" w:pos="1080" w:val="left"/>
        </w:tabs>
        <w:numPr>
          <w:ilvl w:val="0"/>
          <w:numId w:val="4"/>
        </w:numPr>
        <w:rPr>
          <w:rFonts w:ascii="PMingLiU" w:cs="PMingLiU" w:eastAsia="PMingLiU" w:hAnsi="PMingLiU"/>
          <w:sz w:val="23"/>
          <w:szCs w:val="23"/>
          <w:color w:val="auto"/>
        </w:rPr>
      </w:pPr>
      <w:r>
        <w:rPr>
          <w:rFonts w:ascii="Times New Roman" w:cs="Times New Roman" w:eastAsia="Times New Roman" w:hAnsi="Times New Roman"/>
          <w:sz w:val="23"/>
          <w:szCs w:val="23"/>
          <w:color w:val="auto"/>
        </w:rPr>
        <w:t>staff comments or changes to disclosure in response to staff comments do not foreclose the Commission from taking any action with respect to the filing; and</w:t>
      </w:r>
    </w:p>
    <w:p>
      <w:pPr>
        <w:ind w:left="1080" w:right="440" w:hanging="360"/>
        <w:spacing w:after="0" w:line="237" w:lineRule="auto"/>
        <w:tabs>
          <w:tab w:leader="none" w:pos="1080" w:val="left"/>
        </w:tabs>
        <w:numPr>
          <w:ilvl w:val="0"/>
          <w:numId w:val="4"/>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43" w:lineRule="exact"/>
        <w:rPr>
          <w:sz w:val="20"/>
          <w:szCs w:val="20"/>
          <w:color w:val="auto"/>
        </w:rPr>
      </w:pPr>
    </w:p>
    <w:p>
      <w:pPr>
        <w:ind w:left="360" w:right="420" w:firstLine="720"/>
        <w:spacing w:after="0" w:line="255"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 or in response to our comments on your filing.</w:t>
      </w:r>
    </w:p>
    <w:p>
      <w:pPr>
        <w:spacing w:after="0" w:line="224" w:lineRule="exact"/>
        <w:rPr>
          <w:sz w:val="20"/>
          <w:szCs w:val="20"/>
          <w:color w:val="auto"/>
        </w:rPr>
      </w:pPr>
    </w:p>
    <w:p>
      <w:pPr>
        <w:ind w:left="1080"/>
        <w:spacing w:after="0"/>
        <w:rPr>
          <w:sz w:val="20"/>
          <w:szCs w:val="20"/>
          <w:color w:val="auto"/>
        </w:rPr>
      </w:pPr>
      <w:r>
        <w:rPr>
          <w:rFonts w:ascii="Times New Roman" w:cs="Times New Roman" w:eastAsia="Times New Roman" w:hAnsi="Times New Roman"/>
          <w:sz w:val="24"/>
          <w:szCs w:val="24"/>
          <w:color w:val="auto"/>
        </w:rPr>
        <w:t>You may contact Kevin Kuhar, Staff Accountant, at (202) 551-3662 or me at</w:t>
      </w:r>
    </w:p>
    <w:p>
      <w:pPr>
        <w:spacing w:after="0" w:line="26" w:lineRule="exact"/>
        <w:rPr>
          <w:sz w:val="20"/>
          <w:szCs w:val="20"/>
          <w:color w:val="auto"/>
        </w:rPr>
      </w:pPr>
    </w:p>
    <w:p>
      <w:pPr>
        <w:ind w:left="940" w:hanging="580"/>
        <w:spacing w:after="0"/>
        <w:tabs>
          <w:tab w:leader="none" w:pos="940" w:val="left"/>
        </w:tabs>
        <w:numPr>
          <w:ilvl w:val="0"/>
          <w:numId w:val="5"/>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551-3603 if you have questions regarding these comments on the financial</w:t>
      </w:r>
    </w:p>
    <w:p>
      <w:pPr>
        <w:ind w:left="360" w:right="680"/>
        <w:spacing w:after="0" w:line="248"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statements and related matters. In this regard, do not hesitate to contact Angela Crane, Branch Chief, at (202) 551-3554.</w:t>
      </w:r>
    </w:p>
    <w:p>
      <w:pPr>
        <w:spacing w:after="0" w:line="200" w:lineRule="exact"/>
        <w:rPr>
          <w:sz w:val="20"/>
          <w:szCs w:val="20"/>
          <w:color w:val="auto"/>
        </w:rPr>
      </w:pPr>
    </w:p>
    <w:p>
      <w:pPr>
        <w:spacing w:after="0" w:line="30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Jay Webb</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Reviewing Accountant</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panose1 w:val="02020500000000000000"/>
    <w:charset w:val="00"/>
    <w:family w:val="roman"/>
    <w:pitch w:val="variable"/>
    <w:sig w:usb0="A00002FF" w:usb1="28CFFCFA" w:usb2="00000016" w:usb3="00000000" w:csb0="00100001" w:csb1="00000000"/>
  </w:font>
  <w:font w:name="MS PGothic">
    <w:panose1 w:val="020B0600070205080204"/>
    <w:charset w:val="0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1"/>
    </w:lvl>
    <w:lvl w:ilvl="1">
      <w:lvlJc w:val="left"/>
      <w:lvlText w:val=""/>
      <w:numFmt w:val="bullet"/>
      <w:start w:val="1"/>
    </w:lvl>
  </w:abstractNum>
  <w:abstractNum w:abstractNumId="1">
    <w:nsid w:val="2AE8944A"/>
    <w:multiLevelType w:val="hybridMultilevel"/>
    <w:lvl w:ilvl="0">
      <w:lvlJc w:val="left"/>
      <w:lvlText w:val="%1."/>
      <w:numFmt w:val="decimal"/>
      <w:start w:val="2"/>
    </w:lvl>
    <w:lvl w:ilvl="1">
      <w:lvlJc w:val="left"/>
      <w:lvlText w:val=""/>
      <w:numFmt w:val="bullet"/>
      <w:start w:val="1"/>
    </w:lvl>
  </w:abstractNum>
  <w:abstractNum w:abstractNumId="2">
    <w:nsid w:val="625558EC"/>
    <w:multiLevelType w:val="hybridMultilevel"/>
    <w:lvl w:ilvl="0">
      <w:lvlJc w:val="left"/>
      <w:lvlText w:val="%1."/>
      <w:numFmt w:val="decimal"/>
      <w:start w:val="3"/>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1)"/>
      <w:numFmt w:val="decimal"/>
      <w:start w:val="20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2019-12-14T20:28:54Z</dcterms:created>
  <dcterms:modified xsi:type="dcterms:W3CDTF">2019-12-14T20:28:54Z</dcterms:modified>
</cp:coreProperties>
</file>