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210820</wp:posOffset>
            </wp:positionV>
            <wp:extent cx="182689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8"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May 1, 2006</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85" w:right="279" w:bottom="0" w:gutter="0" w:footer="0" w:header="0"/>
        </w:sectPr>
      </w:pPr>
    </w:p>
    <w:p>
      <w:pPr>
        <w:spacing w:after="0" w:line="205" w:lineRule="exact"/>
        <w:rPr>
          <w:sz w:val="24"/>
          <w:szCs w:val="24"/>
          <w:color w:val="auto"/>
        </w:rPr>
      </w:pPr>
    </w:p>
    <w:p>
      <w:pPr>
        <w:ind w:left="15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84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40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2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2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8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8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8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00" w:space="720"/>
            <w:col w:w="3420" w:space="720"/>
            <w:col w:w="2520"/>
          </w:cols>
          <w:pgMar w:left="240" w:top="585" w:right="279" w:bottom="0" w:gutter="0" w:footer="0" w:header="0"/>
          <w:type w:val="continuous"/>
        </w:sectPr>
      </w:pPr>
    </w:p>
    <w:p>
      <w:pPr>
        <w:spacing w:after="0" w:line="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7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85"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342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458470</wp:posOffset>
            </wp:positionV>
            <wp:extent cx="7267575"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2" w:lineRule="exact"/>
        <w:rPr>
          <w:sz w:val="24"/>
          <w:szCs w:val="24"/>
          <w:color w:val="auto"/>
        </w:rPr>
      </w:pPr>
    </w:p>
    <w:p>
      <w:pPr>
        <w:spacing w:after="0"/>
        <w:tabs>
          <w:tab w:leader="none" w:pos="13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229" w:lineRule="exact"/>
        <w:rPr>
          <w:sz w:val="24"/>
          <w:szCs w:val="24"/>
          <w:color w:val="auto"/>
        </w:rPr>
      </w:pPr>
    </w:p>
    <w:p>
      <w:pPr>
        <w:spacing w:after="0" w:line="259" w:lineRule="auto"/>
        <w:rPr>
          <w:sz w:val="20"/>
          <w:szCs w:val="20"/>
          <w:color w:val="auto"/>
        </w:rPr>
      </w:pPr>
      <w:r>
        <w:rPr>
          <w:rFonts w:ascii="Arial" w:cs="Arial" w:eastAsia="Arial" w:hAnsi="Arial"/>
          <w:sz w:val="18"/>
          <w:szCs w:val="18"/>
          <w:color w:val="auto"/>
        </w:rPr>
        <w:t>On May 1, 2006, certain affiliates of Marvell Technology Group Ltd. (“Marvell”) completed the acquisition of the printer semiconductor business of Avago Technologies (“Avago”) in accordance with the terms and conditions of a Purchase and Sale Agreement dated February 17, 2006 (the “Original Agreement”), as amended by Amendment No. 1 to the Purchase and Sale Agreement dated April 11, 2006 (the “Amendment,” and together with the Original Agreement, the “Agreement”).</w:t>
      </w:r>
    </w:p>
    <w:p>
      <w:pPr>
        <w:spacing w:after="0" w:line="18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8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right="44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4"/>
          <w:szCs w:val="24"/>
          <w:color w:val="auto"/>
        </w:rPr>
      </w:pPr>
    </w:p>
    <w:p>
      <w:pPr>
        <w:ind w:left="660"/>
        <w:spacing w:after="0"/>
        <w:rPr>
          <w:sz w:val="20"/>
          <w:szCs w:val="20"/>
          <w:color w:val="auto"/>
        </w:rPr>
      </w:pPr>
      <w:r>
        <w:rPr>
          <w:rFonts w:ascii="Arial" w:cs="Arial" w:eastAsia="Arial" w:hAnsi="Arial"/>
          <w:sz w:val="18"/>
          <w:szCs w:val="18"/>
          <w:color w:val="auto"/>
        </w:rPr>
        <w:t>Dated: May 4, 2006</w:t>
      </w:r>
    </w:p>
    <w:p>
      <w:pPr>
        <w:spacing w:after="0" w:line="225" w:lineRule="exact"/>
        <w:rPr>
          <w:sz w:val="24"/>
          <w:szCs w:val="24"/>
          <w:color w:val="auto"/>
        </w:rPr>
      </w:pPr>
    </w:p>
    <w:p>
      <w:pPr>
        <w:ind w:left="5720"/>
        <w:spacing w:after="0"/>
        <w:rPr>
          <w:sz w:val="20"/>
          <w:szCs w:val="20"/>
          <w:color w:val="auto"/>
        </w:rPr>
      </w:pPr>
      <w:r>
        <w:rPr>
          <w:rFonts w:ascii="Arial" w:cs="Arial" w:eastAsia="Arial" w:hAnsi="Arial"/>
          <w:sz w:val="18"/>
          <w:szCs w:val="18"/>
          <w:color w:val="auto"/>
        </w:rPr>
        <w:t>MARVELL TECHNOLOGY GROUP LTD.</w:t>
      </w:r>
    </w:p>
    <w:p>
      <w:pPr>
        <w:sectPr>
          <w:pgSz w:w="11900" w:h="16838" w:orient="portrait"/>
          <w:cols w:equalWidth="0" w:num="1">
            <w:col w:w="11380"/>
          </w:cols>
          <w:pgMar w:left="240" w:top="585" w:right="27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30"/>
        </w:trPr>
        <w:tc>
          <w:tcPr>
            <w:tcW w:w="6260" w:type="dxa"/>
            <w:vAlign w:val="bottom"/>
          </w:tcPr>
          <w:p>
            <w:pPr>
              <w:jc w:val="right"/>
              <w:ind w:right="190"/>
              <w:spacing w:after="0"/>
              <w:rPr>
                <w:sz w:val="20"/>
                <w:szCs w:val="20"/>
                <w:color w:val="auto"/>
              </w:rPr>
            </w:pPr>
            <w:r>
              <w:rPr>
                <w:rFonts w:ascii="Arial" w:cs="Arial" w:eastAsia="Arial" w:hAnsi="Arial"/>
                <w:sz w:val="18"/>
                <w:szCs w:val="18"/>
                <w:color w:val="auto"/>
              </w:rPr>
              <w:t>By:</w:t>
            </w:r>
          </w:p>
        </w:tc>
        <w:tc>
          <w:tcPr>
            <w:tcW w:w="5160" w:type="dxa"/>
            <w:vAlign w:val="bottom"/>
            <w:tcBorders>
              <w:bottom w:val="single" w:sz="8" w:color="auto"/>
            </w:tcBorders>
          </w:tcPr>
          <w:p>
            <w:pPr>
              <w:ind w:left="180"/>
              <w:spacing w:after="0"/>
              <w:rPr>
                <w:sz w:val="20"/>
                <w:szCs w:val="20"/>
                <w:color w:val="auto"/>
              </w:rPr>
            </w:pPr>
            <w:r>
              <w:rPr>
                <w:rFonts w:ascii="Arial" w:cs="Arial" w:eastAsia="Arial" w:hAnsi="Arial"/>
                <w:sz w:val="18"/>
                <w:szCs w:val="18"/>
                <w:color w:val="auto"/>
              </w:rPr>
              <w:t>/s/ George A. Hervey</w:t>
            </w:r>
          </w:p>
        </w:tc>
        <w:tc>
          <w:tcPr>
            <w:tcW w:w="20" w:type="dxa"/>
            <w:vAlign w:val="bottom"/>
          </w:tcPr>
          <w:p>
            <w:pPr>
              <w:spacing w:after="0"/>
              <w:rPr>
                <w:sz w:val="20"/>
                <w:szCs w:val="20"/>
                <w:color w:val="auto"/>
              </w:rPr>
            </w:pPr>
          </w:p>
        </w:tc>
      </w:tr>
      <w:tr>
        <w:trPr>
          <w:trHeight w:val="195"/>
        </w:trPr>
        <w:tc>
          <w:tcPr>
            <w:tcW w:w="6260" w:type="dxa"/>
            <w:vAlign w:val="bottom"/>
          </w:tcPr>
          <w:p>
            <w:pPr>
              <w:spacing w:after="0"/>
              <w:rPr>
                <w:sz w:val="16"/>
                <w:szCs w:val="16"/>
                <w:color w:val="auto"/>
              </w:rPr>
            </w:pPr>
          </w:p>
        </w:tc>
        <w:tc>
          <w:tcPr>
            <w:tcW w:w="5160" w:type="dxa"/>
            <w:vAlign w:val="bottom"/>
          </w:tcPr>
          <w:p>
            <w:pPr>
              <w:jc w:val="center"/>
              <w:ind w:right="1830"/>
              <w:spacing w:after="0" w:line="195" w:lineRule="exact"/>
              <w:rPr>
                <w:sz w:val="20"/>
                <w:szCs w:val="20"/>
                <w:color w:val="auto"/>
              </w:rPr>
            </w:pPr>
            <w:r>
              <w:rPr>
                <w:rFonts w:ascii="Arial" w:cs="Arial" w:eastAsia="Arial" w:hAnsi="Arial"/>
                <w:sz w:val="18"/>
                <w:szCs w:val="18"/>
                <w:color w:val="auto"/>
                <w:w w:val="91"/>
              </w:rPr>
              <w:t>George A. Hervey</w:t>
            </w:r>
          </w:p>
        </w:tc>
        <w:tc>
          <w:tcPr>
            <w:tcW w:w="20" w:type="dxa"/>
            <w:vAlign w:val="bottom"/>
          </w:tcPr>
          <w:p>
            <w:pPr>
              <w:spacing w:after="0"/>
              <w:rPr>
                <w:sz w:val="16"/>
                <w:szCs w:val="16"/>
                <w:color w:val="auto"/>
              </w:rPr>
            </w:pPr>
          </w:p>
        </w:tc>
      </w:tr>
      <w:tr>
        <w:trPr>
          <w:trHeight w:val="216"/>
        </w:trPr>
        <w:tc>
          <w:tcPr>
            <w:tcW w:w="6260" w:type="dxa"/>
            <w:vAlign w:val="bottom"/>
          </w:tcPr>
          <w:p>
            <w:pPr>
              <w:spacing w:after="0"/>
              <w:rPr>
                <w:sz w:val="18"/>
                <w:szCs w:val="18"/>
                <w:color w:val="auto"/>
              </w:rPr>
            </w:pPr>
          </w:p>
        </w:tc>
        <w:tc>
          <w:tcPr>
            <w:tcW w:w="5160" w:type="dxa"/>
            <w:vAlign w:val="bottom"/>
          </w:tcPr>
          <w:p>
            <w:pPr>
              <w:jc w:val="center"/>
              <w:ind w:right="1830"/>
              <w:spacing w:after="0"/>
              <w:rPr>
                <w:sz w:val="20"/>
                <w:szCs w:val="20"/>
                <w:color w:val="auto"/>
              </w:rPr>
            </w:pPr>
            <w:r>
              <w:rPr>
                <w:rFonts w:ascii="Arial" w:cs="Arial" w:eastAsia="Arial" w:hAnsi="Arial"/>
                <w:sz w:val="18"/>
                <w:szCs w:val="18"/>
                <w:color w:val="auto"/>
                <w:w w:val="89"/>
              </w:rPr>
              <w:t>Vice President of Finance and</w:t>
            </w:r>
          </w:p>
        </w:tc>
        <w:tc>
          <w:tcPr>
            <w:tcW w:w="20" w:type="dxa"/>
            <w:vAlign w:val="bottom"/>
          </w:tcPr>
          <w:p>
            <w:pPr>
              <w:spacing w:after="0"/>
              <w:rPr>
                <w:sz w:val="18"/>
                <w:szCs w:val="18"/>
                <w:color w:val="auto"/>
              </w:rPr>
            </w:pPr>
          </w:p>
        </w:tc>
      </w:tr>
      <w:tr>
        <w:trPr>
          <w:trHeight w:val="230"/>
        </w:trPr>
        <w:tc>
          <w:tcPr>
            <w:tcW w:w="6260" w:type="dxa"/>
            <w:vAlign w:val="bottom"/>
          </w:tcPr>
          <w:p>
            <w:pPr>
              <w:spacing w:after="0"/>
              <w:rPr>
                <w:sz w:val="20"/>
                <w:szCs w:val="20"/>
                <w:color w:val="auto"/>
              </w:rPr>
            </w:pPr>
          </w:p>
        </w:tc>
        <w:tc>
          <w:tcPr>
            <w:tcW w:w="5160" w:type="dxa"/>
            <w:vAlign w:val="bottom"/>
          </w:tcPr>
          <w:p>
            <w:pPr>
              <w:jc w:val="center"/>
              <w:ind w:right="1810"/>
              <w:spacing w:after="0"/>
              <w:rPr>
                <w:sz w:val="20"/>
                <w:szCs w:val="20"/>
                <w:color w:val="auto"/>
              </w:rPr>
            </w:pPr>
            <w:r>
              <w:rPr>
                <w:rFonts w:ascii="Arial" w:cs="Arial" w:eastAsia="Arial" w:hAnsi="Arial"/>
                <w:sz w:val="18"/>
                <w:szCs w:val="18"/>
                <w:color w:val="auto"/>
                <w:w w:val="93"/>
              </w:rPr>
              <w:t>Chief Financial Officer</w:t>
            </w:r>
          </w:p>
        </w:tc>
        <w:tc>
          <w:tcPr>
            <w:tcW w:w="20" w:type="dxa"/>
            <w:vAlign w:val="bottom"/>
          </w:tcPr>
          <w:p>
            <w:pPr>
              <w:spacing w:after="0"/>
              <w:rPr>
                <w:sz w:val="20"/>
                <w:szCs w:val="20"/>
                <w:color w:val="auto"/>
              </w:rPr>
            </w:pPr>
          </w:p>
        </w:tc>
      </w:tr>
      <w:tr>
        <w:trPr>
          <w:trHeight w:val="648"/>
        </w:trPr>
        <w:tc>
          <w:tcPr>
            <w:tcW w:w="6260" w:type="dxa"/>
            <w:vAlign w:val="bottom"/>
          </w:tcPr>
          <w:p>
            <w:pPr>
              <w:jc w:val="right"/>
              <w:ind w:right="410"/>
              <w:spacing w:after="0"/>
              <w:rPr>
                <w:sz w:val="20"/>
                <w:szCs w:val="20"/>
                <w:color w:val="auto"/>
              </w:rPr>
            </w:pPr>
            <w:r>
              <w:rPr>
                <w:rFonts w:ascii="Arial" w:cs="Arial" w:eastAsia="Arial" w:hAnsi="Arial"/>
                <w:sz w:val="18"/>
                <w:szCs w:val="18"/>
                <w:color w:val="auto"/>
              </w:rPr>
              <w:t>3</w:t>
            </w:r>
          </w:p>
        </w:tc>
        <w:tc>
          <w:tcPr>
            <w:tcW w:w="516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118"/>
        </w:trPr>
        <w:tc>
          <w:tcPr>
            <w:tcW w:w="6260" w:type="dxa"/>
            <w:vAlign w:val="bottom"/>
            <w:tcBorders>
              <w:bottom w:val="single" w:sz="8" w:color="808080"/>
            </w:tcBorders>
          </w:tcPr>
          <w:p>
            <w:pPr>
              <w:spacing w:after="0"/>
              <w:rPr>
                <w:sz w:val="10"/>
                <w:szCs w:val="10"/>
                <w:color w:val="auto"/>
              </w:rPr>
            </w:pPr>
          </w:p>
        </w:tc>
        <w:tc>
          <w:tcPr>
            <w:tcW w:w="516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sectPr>
      <w:pgSz w:w="11900" w:h="16838" w:orient="portrait"/>
      <w:cols w:equalWidth="0" w:num="1">
        <w:col w:w="11440"/>
      </w:cols>
      <w:pgMar w:left="240" w:top="341" w:right="2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2019-12-14T20:21:59Z</dcterms:created>
  <dcterms:modified xsi:type="dcterms:W3CDTF">2019-12-14T20:21:59Z</dcterms:modified>
</cp:coreProperties>
</file>