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0810" cy="130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810" cy="13081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420" w:type="dxa"/>
            <w:vAlign w:val="bottom"/>
          </w:tcPr>
          <w:p>
            <w:pPr>
              <w:jc w:val="center"/>
              <w:ind w:right="29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6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20" w:type="dxa"/>
            <w:vAlign w:val="bottom"/>
            <w:vMerge w:val="restart"/>
          </w:tcPr>
          <w:p>
            <w:pPr>
              <w:jc w:val="center"/>
              <w:ind w:right="29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4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40" w:type="dxa"/>
            <w:vAlign w:val="bottom"/>
            <w:gridSpan w:val="3"/>
            <w:vMerge w:val="restart"/>
          </w:tcPr>
          <w:p>
            <w:pPr>
              <w:ind w:left="4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4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20" w:type="dxa"/>
            <w:vAlign w:val="bottom"/>
            <w:vMerge w:val="restart"/>
          </w:tcPr>
          <w:p>
            <w:pPr>
              <w:jc w:val="center"/>
              <w:ind w:right="296"/>
              <w:spacing w:after="0" w:line="188" w:lineRule="exact"/>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46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8"/>
        </w:trPr>
        <w:tc>
          <w:tcPr>
            <w:tcW w:w="642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6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
              <w:spacing w:after="0"/>
              <w:rPr>
                <w:sz w:val="20"/>
                <w:szCs w:val="20"/>
                <w:color w:val="auto"/>
              </w:rPr>
            </w:pPr>
            <w:r>
              <w:rPr>
                <w:rFonts w:ascii="Arial" w:cs="Arial" w:eastAsia="Arial" w:hAnsi="Arial"/>
                <w:sz w:val="12"/>
                <w:szCs w:val="12"/>
                <w:color w:val="auto"/>
                <w:w w:val="97"/>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46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0"/>
        </w:trPr>
        <w:tc>
          <w:tcPr>
            <w:tcW w:w="64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0"/>
        </w:trPr>
        <w:tc>
          <w:tcPr>
            <w:tcW w:w="6420" w:type="dxa"/>
            <w:vAlign w:val="bottom"/>
            <w:vMerge w:val="restart"/>
          </w:tcPr>
          <w:p>
            <w:pPr>
              <w:jc w:val="center"/>
              <w:ind w:right="31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4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6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5411470</wp:posOffset>
            </wp:positionH>
            <wp:positionV relativeFrom="paragraph">
              <wp:posOffset>-626110</wp:posOffset>
            </wp:positionV>
            <wp:extent cx="5842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39445"/>
                    </a:xfrm>
                    <a:prstGeom prst="rect">
                      <a:avLst/>
                    </a:prstGeom>
                    <a:noFill/>
                  </pic:spPr>
                </pic:pic>
              </a:graphicData>
            </a:graphic>
          </wp:anchor>
        </w:drawing>
        <w:drawing>
          <wp:anchor simplePos="0" relativeHeight="251657728" behindDoc="1" locked="0" layoutInCell="0" allowOverlap="1">
            <wp:simplePos x="0" y="0"/>
            <wp:positionH relativeFrom="column">
              <wp:posOffset>4069080</wp:posOffset>
            </wp:positionH>
            <wp:positionV relativeFrom="paragraph">
              <wp:posOffset>-626110</wp:posOffset>
            </wp:positionV>
            <wp:extent cx="58420" cy="639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3944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-1775460</wp:posOffset>
            </wp:positionH>
            <wp:positionV relativeFrom="paragraph">
              <wp:posOffset>15875</wp:posOffset>
            </wp:positionV>
            <wp:extent cx="7325995" cy="7368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995" cy="7368540"/>
                    </a:xfrm>
                    <a:prstGeom prst="rect">
                      <a:avLst/>
                    </a:prstGeom>
                    <a:noFill/>
                  </pic:spPr>
                </pic:pic>
              </a:graphicData>
            </a:graphic>
          </wp:anchor>
        </w:drawing>
      </w:r>
    </w:p>
    <w:p>
      <w:pPr>
        <w:spacing w:after="0" w:line="93" w:lineRule="exact"/>
        <w:rPr>
          <w:sz w:val="24"/>
          <w:szCs w:val="24"/>
          <w:color w:val="auto"/>
        </w:rPr>
      </w:pPr>
    </w:p>
    <w:p>
      <w:pPr>
        <w:sectPr>
          <w:pgSz w:w="11900" w:h="16838" w:orient="portrait"/>
          <w:cols w:equalWidth="0" w:num="2">
            <w:col w:w="2260" w:space="520"/>
            <w:col w:w="8740"/>
          </w:cols>
          <w:pgMar w:left="240" w:top="221" w:right="13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1240" w:type="dxa"/>
            <w:vAlign w:val="bottom"/>
          </w:tcPr>
          <w:p>
            <w:pPr>
              <w:ind w:left="20"/>
              <w:spacing w:after="0"/>
              <w:rPr>
                <w:sz w:val="20"/>
                <w:szCs w:val="20"/>
                <w:color w:val="auto"/>
              </w:rPr>
            </w:pPr>
            <w:r>
              <w:rPr>
                <w:rFonts w:ascii="Arial" w:cs="Arial" w:eastAsia="Arial" w:hAnsi="Arial"/>
                <w:sz w:val="13"/>
                <w:szCs w:val="13"/>
                <w:color w:val="auto"/>
              </w:rPr>
              <w:t>(Last)</w:t>
            </w:r>
          </w:p>
        </w:tc>
        <w:tc>
          <w:tcPr>
            <w:tcW w:w="880" w:type="dxa"/>
            <w:vAlign w:val="bottom"/>
          </w:tcPr>
          <w:p>
            <w:pPr>
              <w:ind w:left="60"/>
              <w:spacing w:after="0"/>
              <w:rPr>
                <w:sz w:val="20"/>
                <w:szCs w:val="20"/>
                <w:color w:val="auto"/>
              </w:rPr>
            </w:pPr>
            <w:r>
              <w:rPr>
                <w:rFonts w:ascii="Arial" w:cs="Arial" w:eastAsia="Arial" w:hAnsi="Arial"/>
                <w:sz w:val="13"/>
                <w:szCs w:val="13"/>
                <w:color w:val="auto"/>
              </w:rPr>
              <w:t>(First)</w:t>
            </w:r>
          </w:p>
        </w:tc>
        <w:tc>
          <w:tcPr>
            <w:tcW w:w="1680" w:type="dxa"/>
            <w:vAlign w:val="bottom"/>
          </w:tcPr>
          <w:p>
            <w:pPr>
              <w:ind w:left="46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1"/>
        </w:trPr>
        <w:tc>
          <w:tcPr>
            <w:tcW w:w="20" w:type="dxa"/>
            <w:vAlign w:val="bottom"/>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8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7"/>
        </w:trPr>
        <w:tc>
          <w:tcPr>
            <w:tcW w:w="12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8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1240" w:type="dxa"/>
            <w:vAlign w:val="bottom"/>
          </w:tcPr>
          <w:p>
            <w:pPr>
              <w:ind w:left="20"/>
              <w:spacing w:after="0"/>
              <w:rPr>
                <w:sz w:val="20"/>
                <w:szCs w:val="20"/>
                <w:color w:val="auto"/>
              </w:rPr>
            </w:pPr>
            <w:r>
              <w:rPr>
                <w:rFonts w:ascii="Arial" w:cs="Arial" w:eastAsia="Arial" w:hAnsi="Arial"/>
                <w:sz w:val="17"/>
                <w:szCs w:val="17"/>
                <w:color w:val="0000FF"/>
              </w:rPr>
              <w:t>SANTA CLARA</w:t>
            </w:r>
          </w:p>
        </w:tc>
        <w:tc>
          <w:tcPr>
            <w:tcW w:w="880" w:type="dxa"/>
            <w:vAlign w:val="bottom"/>
          </w:tcPr>
          <w:p>
            <w:pPr>
              <w:ind w:left="60"/>
              <w:spacing w:after="0"/>
              <w:rPr>
                <w:sz w:val="20"/>
                <w:szCs w:val="20"/>
                <w:color w:val="auto"/>
              </w:rPr>
            </w:pPr>
            <w:r>
              <w:rPr>
                <w:rFonts w:ascii="Arial" w:cs="Arial" w:eastAsia="Arial" w:hAnsi="Arial"/>
                <w:sz w:val="17"/>
                <w:szCs w:val="17"/>
                <w:color w:val="0000FF"/>
              </w:rPr>
              <w:t>CA</w:t>
            </w:r>
          </w:p>
        </w:tc>
        <w:tc>
          <w:tcPr>
            <w:tcW w:w="1680" w:type="dxa"/>
            <w:vAlign w:val="bottom"/>
          </w:tcPr>
          <w:p>
            <w:pPr>
              <w:ind w:left="46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880" w:type="dxa"/>
            <w:vAlign w:val="bottom"/>
            <w:tcBorders>
              <w:bottom w:val="single" w:sz="8" w:color="9A9A9A"/>
            </w:tcBorders>
          </w:tcPr>
          <w:p>
            <w:pPr>
              <w:spacing w:after="0"/>
              <w:rPr>
                <w:sz w:val="12"/>
                <w:szCs w:val="12"/>
                <w:color w:val="auto"/>
              </w:rPr>
            </w:pPr>
          </w:p>
        </w:tc>
        <w:tc>
          <w:tcPr>
            <w:tcW w:w="168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1240" w:type="dxa"/>
            <w:vAlign w:val="bottom"/>
          </w:tcPr>
          <w:p>
            <w:pPr>
              <w:ind w:left="20"/>
              <w:spacing w:after="0"/>
              <w:rPr>
                <w:sz w:val="20"/>
                <w:szCs w:val="20"/>
                <w:color w:val="auto"/>
              </w:rPr>
            </w:pPr>
            <w:r>
              <w:rPr>
                <w:rFonts w:ascii="Arial" w:cs="Arial" w:eastAsia="Arial" w:hAnsi="Arial"/>
                <w:sz w:val="13"/>
                <w:szCs w:val="13"/>
                <w:color w:val="auto"/>
              </w:rPr>
              <w:t>(City)</w:t>
            </w:r>
          </w:p>
        </w:tc>
        <w:tc>
          <w:tcPr>
            <w:tcW w:w="880" w:type="dxa"/>
            <w:vAlign w:val="bottom"/>
          </w:tcPr>
          <w:p>
            <w:pPr>
              <w:ind w:left="60"/>
              <w:spacing w:after="0"/>
              <w:rPr>
                <w:sz w:val="20"/>
                <w:szCs w:val="20"/>
                <w:color w:val="auto"/>
              </w:rPr>
            </w:pPr>
            <w:r>
              <w:rPr>
                <w:rFonts w:ascii="Arial" w:cs="Arial" w:eastAsia="Arial" w:hAnsi="Arial"/>
                <w:sz w:val="13"/>
                <w:szCs w:val="13"/>
                <w:color w:val="auto"/>
              </w:rPr>
              <w:t>(State)</w:t>
            </w:r>
          </w:p>
        </w:tc>
        <w:tc>
          <w:tcPr>
            <w:tcW w:w="1680" w:type="dxa"/>
            <w:vAlign w:val="bottom"/>
          </w:tcPr>
          <w:p>
            <w:pPr>
              <w:ind w:left="46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tcPr>
          <w:p>
            <w:pPr>
              <w:spacing w:after="0" w:line="138"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222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2220" w:type="dxa"/>
            <w:vAlign w:val="bottom"/>
            <w:gridSpan w:val="2"/>
            <w:vMerge w:val="continue"/>
          </w:tcPr>
          <w:p>
            <w:pPr>
              <w:spacing w:after="0"/>
              <w:rPr>
                <w:sz w:val="3"/>
                <w:szCs w:val="3"/>
                <w:color w:val="auto"/>
              </w:rPr>
            </w:pPr>
          </w:p>
        </w:tc>
        <w:tc>
          <w:tcPr>
            <w:tcW w:w="12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9"/>
        </w:trPr>
        <w:tc>
          <w:tcPr>
            <w:tcW w:w="60" w:type="dxa"/>
            <w:vAlign w:val="bottom"/>
          </w:tcPr>
          <w:p>
            <w:pPr>
              <w:spacing w:after="0"/>
              <w:rPr>
                <w:sz w:val="3"/>
                <w:szCs w:val="3"/>
                <w:color w:val="auto"/>
              </w:rPr>
            </w:pPr>
          </w:p>
        </w:tc>
        <w:tc>
          <w:tcPr>
            <w:tcW w:w="3920" w:type="dxa"/>
            <w:vAlign w:val="bottom"/>
            <w:gridSpan w:val="2"/>
          </w:tcPr>
          <w:p>
            <w:pPr>
              <w:spacing w:after="0"/>
              <w:rPr>
                <w:sz w:val="3"/>
                <w:szCs w:val="3"/>
                <w:color w:val="auto"/>
              </w:rPr>
            </w:pPr>
          </w:p>
        </w:tc>
        <w:tc>
          <w:tcPr>
            <w:tcW w:w="500" w:type="dxa"/>
            <w:vAlign w:val="bottom"/>
            <w:vMerge w:val="restart"/>
          </w:tcPr>
          <w:p>
            <w:pPr>
              <w:ind w:left="280"/>
              <w:spacing w:after="0" w:line="53" w:lineRule="exact"/>
              <w:rPr>
                <w:sz w:val="20"/>
                <w:szCs w:val="20"/>
                <w:color w:val="auto"/>
              </w:rPr>
            </w:pPr>
            <w:r>
              <w:rPr>
                <w:rFonts w:ascii="Arial" w:cs="Arial" w:eastAsia="Arial" w:hAnsi="Arial"/>
                <w:sz w:val="6"/>
                <w:szCs w:val="6"/>
                <w:color w:val="0000FF"/>
              </w:rPr>
              <w:t>X</w:t>
            </w:r>
          </w:p>
        </w:tc>
        <w:tc>
          <w:tcPr>
            <w:tcW w:w="17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220" w:type="dxa"/>
            <w:vAlign w:val="bottom"/>
            <w:vMerge w:val="restart"/>
          </w:tcPr>
          <w:p>
            <w:pPr>
              <w:ind w:left="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62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0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720" w:type="dxa"/>
            <w:vAlign w:val="bottom"/>
            <w:vMerge w:val="continue"/>
          </w:tcPr>
          <w:p>
            <w:pPr>
              <w:spacing w:after="0" w:line="20" w:lineRule="exact"/>
              <w:rPr>
                <w:sz w:val="1"/>
                <w:szCs w:val="1"/>
                <w:color w:val="auto"/>
              </w:rPr>
            </w:pPr>
          </w:p>
        </w:tc>
        <w:tc>
          <w:tcPr>
            <w:tcW w:w="122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4"/>
        </w:trPr>
        <w:tc>
          <w:tcPr>
            <w:tcW w:w="60" w:type="dxa"/>
            <w:vAlign w:val="bottom"/>
          </w:tcPr>
          <w:p>
            <w:pPr>
              <w:spacing w:after="0"/>
              <w:rPr>
                <w:sz w:val="13"/>
                <w:szCs w:val="13"/>
                <w:color w:val="auto"/>
              </w:rPr>
            </w:pPr>
          </w:p>
        </w:tc>
        <w:tc>
          <w:tcPr>
            <w:tcW w:w="3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720" w:type="dxa"/>
            <w:vAlign w:val="bottom"/>
            <w:vMerge w:val="continue"/>
          </w:tcPr>
          <w:p>
            <w:pPr>
              <w:spacing w:after="0"/>
              <w:rPr>
                <w:sz w:val="13"/>
                <w:szCs w:val="13"/>
                <w:color w:val="auto"/>
              </w:rPr>
            </w:pPr>
          </w:p>
        </w:tc>
        <w:tc>
          <w:tcPr>
            <w:tcW w:w="12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9"/>
        </w:trPr>
        <w:tc>
          <w:tcPr>
            <w:tcW w:w="60" w:type="dxa"/>
            <w:vAlign w:val="bottom"/>
          </w:tcPr>
          <w:p>
            <w:pPr>
              <w:spacing w:after="0"/>
              <w:rPr>
                <w:sz w:val="19"/>
                <w:szCs w:val="19"/>
                <w:color w:val="auto"/>
              </w:rPr>
            </w:pPr>
          </w:p>
        </w:tc>
        <w:tc>
          <w:tcPr>
            <w:tcW w:w="3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7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220" w:type="dxa"/>
            <w:vAlign w:val="bottom"/>
          </w:tcPr>
          <w:p>
            <w:pPr>
              <w:ind w:left="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2"/>
        </w:trPr>
        <w:tc>
          <w:tcPr>
            <w:tcW w:w="60" w:type="dxa"/>
            <w:vAlign w:val="bottom"/>
          </w:tcPr>
          <w:p>
            <w:pPr>
              <w:spacing w:after="0"/>
              <w:rPr>
                <w:sz w:val="8"/>
                <w:szCs w:val="8"/>
                <w:color w:val="auto"/>
              </w:rPr>
            </w:pPr>
          </w:p>
        </w:tc>
        <w:tc>
          <w:tcPr>
            <w:tcW w:w="3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7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220" w:type="dxa"/>
            <w:vAlign w:val="bottom"/>
            <w:vMerge w:val="restart"/>
          </w:tcPr>
          <w:p>
            <w:pPr>
              <w:ind w:left="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720" w:type="dxa"/>
            <w:vAlign w:val="bottom"/>
            <w:vMerge w:val="continue"/>
          </w:tcPr>
          <w:p>
            <w:pPr>
              <w:spacing w:after="0"/>
              <w:rPr>
                <w:sz w:val="5"/>
                <w:szCs w:val="5"/>
                <w:color w:val="auto"/>
              </w:rPr>
            </w:pPr>
          </w:p>
        </w:tc>
        <w:tc>
          <w:tcPr>
            <w:tcW w:w="12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5"/>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6"/>
                <w:szCs w:val="16"/>
                <w:color w:val="auto"/>
              </w:rPr>
            </w:pPr>
          </w:p>
        </w:tc>
        <w:tc>
          <w:tcPr>
            <w:tcW w:w="1720" w:type="dxa"/>
            <w:vAlign w:val="bottom"/>
          </w:tcPr>
          <w:p>
            <w:pPr>
              <w:ind w:left="740"/>
              <w:spacing w:after="0" w:line="185" w:lineRule="exact"/>
              <w:rPr>
                <w:sz w:val="20"/>
                <w:szCs w:val="20"/>
                <w:color w:val="auto"/>
              </w:rPr>
            </w:pPr>
            <w:r>
              <w:rPr>
                <w:rFonts w:ascii="Arial" w:cs="Arial" w:eastAsia="Arial" w:hAnsi="Arial"/>
                <w:sz w:val="17"/>
                <w:szCs w:val="17"/>
                <w:color w:val="0000FF"/>
                <w:w w:val="87"/>
              </w:rPr>
              <w:t>Vice President</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3"/>
        </w:trPr>
        <w:tc>
          <w:tcPr>
            <w:tcW w:w="3680" w:type="dxa"/>
            <w:vAlign w:val="bottom"/>
            <w:gridSpan w:val="2"/>
          </w:tcPr>
          <w:p>
            <w:pPr>
              <w:ind w:left="60"/>
              <w:spacing w:after="0"/>
              <w:rPr>
                <w:sz w:val="20"/>
                <w:szCs w:val="20"/>
                <w:color w:val="auto"/>
              </w:rPr>
            </w:pPr>
            <w:r>
              <w:rPr>
                <w:rFonts w:ascii="Arial" w:cs="Arial" w:eastAsia="Arial" w:hAnsi="Arial"/>
                <w:sz w:val="17"/>
                <w:szCs w:val="17"/>
                <w:color w:val="0000FF"/>
              </w:rPr>
              <w:t>03/10/2006</w:t>
            </w:r>
          </w:p>
        </w:tc>
        <w:tc>
          <w:tcPr>
            <w:tcW w:w="3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7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4"/>
        </w:trPr>
        <w:tc>
          <w:tcPr>
            <w:tcW w:w="60" w:type="dxa"/>
            <w:vAlign w:val="bottom"/>
            <w:tcBorders>
              <w:bottom w:val="single" w:sz="8" w:color="2C2C2C"/>
            </w:tcBorders>
          </w:tcPr>
          <w:p>
            <w:pPr>
              <w:spacing w:after="0"/>
              <w:rPr>
                <w:sz w:val="18"/>
                <w:szCs w:val="18"/>
                <w:color w:val="auto"/>
              </w:rPr>
            </w:pPr>
          </w:p>
        </w:tc>
        <w:tc>
          <w:tcPr>
            <w:tcW w:w="3620" w:type="dxa"/>
            <w:vAlign w:val="bottom"/>
            <w:tcBorders>
              <w:bottom w:val="single" w:sz="8" w:color="2C2C2C"/>
            </w:tcBorders>
          </w:tcPr>
          <w:p>
            <w:pPr>
              <w:spacing w:after="0"/>
              <w:rPr>
                <w:sz w:val="18"/>
                <w:szCs w:val="18"/>
                <w:color w:val="auto"/>
              </w:rPr>
            </w:pPr>
          </w:p>
        </w:tc>
        <w:tc>
          <w:tcPr>
            <w:tcW w:w="30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3"/>
          </w:tcPr>
          <w:p>
            <w:pPr>
              <w:spacing w:after="0"/>
              <w:rPr>
                <w:sz w:val="18"/>
                <w:szCs w:val="18"/>
                <w:color w:val="auto"/>
              </w:rPr>
            </w:pP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31"/>
        </w:trPr>
        <w:tc>
          <w:tcPr>
            <w:tcW w:w="6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40" w:type="dxa"/>
            <w:vAlign w:val="bottom"/>
            <w:gridSpan w:val="3"/>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8"/>
                <w:szCs w:val="18"/>
                <w:color w:val="auto"/>
              </w:rPr>
            </w:pPr>
          </w:p>
        </w:tc>
        <w:tc>
          <w:tcPr>
            <w:tcW w:w="3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940" w:type="dxa"/>
            <w:vAlign w:val="bottom"/>
            <w:gridSpan w:val="2"/>
          </w:tcPr>
          <w:p>
            <w:pPr>
              <w:ind w:left="12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344" w:lineRule="exact"/>
        <w:rPr>
          <w:sz w:val="20"/>
          <w:szCs w:val="20"/>
          <w:color w:val="auto"/>
        </w:rPr>
      </w:pPr>
    </w:p>
    <w:p>
      <w:pPr>
        <w:sectPr>
          <w:pgSz w:w="11900" w:h="16838" w:orient="portrait"/>
          <w:cols w:equalWidth="0" w:num="2">
            <w:col w:w="3900" w:space="100"/>
            <w:col w:w="7520"/>
          </w:cols>
          <w:pgMar w:left="240" w:top="221"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tcPr>
          <w:p>
            <w:pPr>
              <w:ind w:left="90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6"/>
        </w:trPr>
        <w:tc>
          <w:tcPr>
            <w:tcW w:w="2600" w:type="dxa"/>
            <w:vAlign w:val="bottom"/>
          </w:tcPr>
          <w:p>
            <w:pPr>
              <w:spacing w:after="0"/>
              <w:rPr>
                <w:sz w:val="10"/>
                <w:szCs w:val="10"/>
                <w:color w:val="auto"/>
              </w:rPr>
            </w:pPr>
          </w:p>
        </w:tc>
        <w:tc>
          <w:tcPr>
            <w:tcW w:w="1920" w:type="dxa"/>
            <w:vAlign w:val="bottom"/>
          </w:tcPr>
          <w:p>
            <w:pPr>
              <w:ind w:left="900"/>
              <w:spacing w:after="0" w:line="126"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80"/>
              <w:spacing w:after="0" w:line="126"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26"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9"/>
        </w:trPr>
        <w:tc>
          <w:tcPr>
            <w:tcW w:w="2600" w:type="dxa"/>
            <w:vAlign w:val="bottom"/>
          </w:tcPr>
          <w:p>
            <w:pPr>
              <w:spacing w:after="0"/>
              <w:rPr>
                <w:sz w:val="11"/>
                <w:szCs w:val="11"/>
                <w:color w:val="auto"/>
              </w:rPr>
            </w:pPr>
          </w:p>
        </w:tc>
        <w:tc>
          <w:tcPr>
            <w:tcW w:w="1920" w:type="dxa"/>
            <w:vAlign w:val="bottom"/>
          </w:tcPr>
          <w:p>
            <w:pPr>
              <w:ind w:left="900"/>
              <w:spacing w:after="0" w:line="129"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9"/>
              </w:rPr>
              <w:t>Beneficially Owned</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600" w:type="dxa"/>
            <w:vAlign w:val="bottom"/>
          </w:tcPr>
          <w:p>
            <w:pPr>
              <w:spacing w:after="0"/>
              <w:rPr>
                <w:sz w:val="6"/>
                <w:szCs w:val="6"/>
                <w:color w:val="auto"/>
              </w:rPr>
            </w:pPr>
          </w:p>
        </w:tc>
        <w:tc>
          <w:tcPr>
            <w:tcW w:w="192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200" w:type="dxa"/>
            <w:vAlign w:val="bottom"/>
            <w:vMerge w:val="restart"/>
          </w:tcPr>
          <w:p>
            <w:pPr>
              <w:ind w:left="80"/>
              <w:spacing w:after="0" w:line="129"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600" w:type="dxa"/>
            <w:vAlign w:val="bottom"/>
          </w:tcPr>
          <w:p>
            <w:pPr>
              <w:spacing w:after="0"/>
              <w:rPr>
                <w:sz w:val="3"/>
                <w:szCs w:val="3"/>
                <w:color w:val="auto"/>
              </w:rPr>
            </w:pPr>
          </w:p>
        </w:tc>
        <w:tc>
          <w:tcPr>
            <w:tcW w:w="192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200"/>
              <w:spacing w:after="0" w:line="129"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600" w:type="dxa"/>
            <w:vAlign w:val="bottom"/>
          </w:tcPr>
          <w:p>
            <w:pPr>
              <w:spacing w:after="0"/>
              <w:rPr>
                <w:sz w:val="7"/>
                <w:szCs w:val="7"/>
                <w:color w:val="auto"/>
              </w:rPr>
            </w:pPr>
          </w:p>
        </w:tc>
        <w:tc>
          <w:tcPr>
            <w:tcW w:w="192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2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600" w:type="dxa"/>
            <w:vAlign w:val="bottom"/>
          </w:tcPr>
          <w:p>
            <w:pPr>
              <w:spacing w:after="0"/>
              <w:rPr>
                <w:sz w:val="5"/>
                <w:szCs w:val="5"/>
                <w:color w:val="auto"/>
              </w:rPr>
            </w:pPr>
          </w:p>
        </w:tc>
        <w:tc>
          <w:tcPr>
            <w:tcW w:w="192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20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600" w:type="dxa"/>
            <w:vAlign w:val="bottom"/>
            <w:tcBorders>
              <w:bottom w:val="single" w:sz="8" w:color="2C2C2C"/>
            </w:tcBorders>
          </w:tcPr>
          <w:p>
            <w:pPr>
              <w:spacing w:after="0"/>
              <w:rPr>
                <w:sz w:val="4"/>
                <w:szCs w:val="4"/>
                <w:color w:val="auto"/>
              </w:rPr>
            </w:pPr>
          </w:p>
        </w:tc>
        <w:tc>
          <w:tcPr>
            <w:tcW w:w="192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49"/>
        </w:trPr>
        <w:tc>
          <w:tcPr>
            <w:tcW w:w="2600" w:type="dxa"/>
            <w:vAlign w:val="bottom"/>
          </w:tcPr>
          <w:p>
            <w:pPr>
              <w:spacing w:after="0"/>
              <w:rPr>
                <w:sz w:val="21"/>
                <w:szCs w:val="21"/>
                <w:color w:val="auto"/>
              </w:rPr>
            </w:pPr>
          </w:p>
        </w:tc>
        <w:tc>
          <w:tcPr>
            <w:tcW w:w="19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6"/>
        </w:trPr>
        <w:tc>
          <w:tcPr>
            <w:tcW w:w="26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20"/>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92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0" w:type="dxa"/>
            <w:vAlign w:val="bottom"/>
          </w:tcPr>
          <w:p>
            <w:pPr>
              <w:ind w:left="240"/>
              <w:spacing w:after="0"/>
              <w:rPr>
                <w:sz w:val="20"/>
                <w:szCs w:val="20"/>
                <w:color w:val="auto"/>
              </w:rPr>
            </w:pPr>
            <w:r>
              <w:rPr>
                <w:rFonts w:ascii="Arial" w:cs="Arial" w:eastAsia="Arial" w:hAnsi="Arial"/>
                <w:sz w:val="17"/>
                <w:szCs w:val="17"/>
                <w:color w:val="0000FF"/>
              </w:rPr>
              <w:t>19,392,150</w:t>
            </w:r>
          </w:p>
        </w:tc>
        <w:tc>
          <w:tcPr>
            <w:tcW w:w="940" w:type="dxa"/>
            <w:vAlign w:val="bottom"/>
          </w:tcPr>
          <w:p>
            <w:pPr>
              <w:ind w:left="460"/>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bl>
    <w:p>
      <w:pPr>
        <w:ind w:left="10640"/>
        <w:spacing w:after="0"/>
        <w:rPr>
          <w:sz w:val="20"/>
          <w:szCs w:val="20"/>
          <w:color w:val="auto"/>
        </w:rPr>
      </w:pPr>
      <w:r>
        <w:rPr>
          <w:rFonts w:ascii="Arial" w:cs="Arial" w:eastAsia="Arial" w:hAnsi="Arial"/>
          <w:sz w:val="17"/>
          <w:szCs w:val="17"/>
          <w:color w:val="0000FF"/>
        </w:rPr>
        <w:t>Revocable</w:t>
      </w:r>
    </w:p>
    <w:p>
      <w:pPr>
        <w:spacing w:after="0" w:line="4" w:lineRule="exact"/>
        <w:rPr>
          <w:sz w:val="20"/>
          <w:szCs w:val="20"/>
          <w:color w:val="auto"/>
        </w:rPr>
      </w:pPr>
    </w:p>
    <w:p>
      <w:pPr>
        <w:ind w:left="10640"/>
        <w:spacing w:after="0"/>
        <w:rPr>
          <w:sz w:val="20"/>
          <w:szCs w:val="20"/>
          <w:color w:val="auto"/>
        </w:rPr>
      </w:pPr>
      <w:r>
        <w:rPr>
          <w:rFonts w:ascii="Arial" w:cs="Arial" w:eastAsia="Arial" w:hAnsi="Arial"/>
          <w:sz w:val="17"/>
          <w:szCs w:val="17"/>
          <w:color w:val="0000FF"/>
        </w:rPr>
        <w:t>Family</w:t>
      </w:r>
    </w:p>
    <w:p>
      <w:pPr>
        <w:spacing w:after="0" w:line="11" w:lineRule="exact"/>
        <w:rPr>
          <w:sz w:val="20"/>
          <w:szCs w:val="20"/>
          <w:color w:val="auto"/>
        </w:rPr>
      </w:pPr>
    </w:p>
    <w:p>
      <w:pPr>
        <w:ind w:left="10640"/>
        <w:spacing w:after="0"/>
        <w:rPr>
          <w:sz w:val="20"/>
          <w:szCs w:val="20"/>
          <w:color w:val="auto"/>
        </w:rPr>
      </w:pPr>
      <w:r>
        <w:rPr>
          <w:rFonts w:ascii="Arial" w:cs="Arial" w:eastAsia="Arial" w:hAnsi="Arial"/>
          <w:sz w:val="17"/>
          <w:szCs w:val="17"/>
          <w:color w:val="0000FF"/>
        </w:rPr>
        <w:t>Trust</w:t>
      </w:r>
    </w:p>
    <w:p>
      <w:pPr>
        <w:spacing w:after="0" w:line="150"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99"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60" w:type="dxa"/>
            <w:vAlign w:val="bottom"/>
          </w:tcPr>
          <w:p>
            <w:pPr>
              <w:spacing w:after="0"/>
              <w:rPr>
                <w:sz w:val="12"/>
                <w:szCs w:val="12"/>
                <w:color w:val="auto"/>
              </w:rPr>
            </w:pP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6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 of</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2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Expiration Date</w:t>
            </w:r>
          </w:p>
        </w:tc>
        <w:tc>
          <w:tcPr>
            <w:tcW w:w="16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 Underlying</w:t>
            </w:r>
          </w:p>
        </w:tc>
        <w:tc>
          <w:tcPr>
            <w:tcW w:w="70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7"/>
              </w:rPr>
              <w:t>Derivative</w:t>
            </w: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16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 Security (Instr.</w:t>
            </w:r>
          </w:p>
        </w:tc>
        <w:tc>
          <w:tcPr>
            <w:tcW w:w="7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360" w:type="dxa"/>
            <w:vAlign w:val="bottom"/>
          </w:tcPr>
          <w:p>
            <w:pPr>
              <w:spacing w:after="0"/>
              <w:rPr>
                <w:sz w:val="11"/>
                <w:szCs w:val="11"/>
                <w:color w:val="auto"/>
              </w:rPr>
            </w:pPr>
          </w:p>
        </w:tc>
        <w:tc>
          <w:tcPr>
            <w:tcW w:w="8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Acquired (A)</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3 and 4)</w:t>
            </w:r>
          </w:p>
        </w:tc>
        <w:tc>
          <w:tcPr>
            <w:tcW w:w="980" w:type="dxa"/>
            <w:vAlign w:val="bottom"/>
          </w:tcPr>
          <w:p>
            <w:pPr>
              <w:spacing w:after="0"/>
              <w:rPr>
                <w:sz w:val="11"/>
                <w:szCs w:val="11"/>
                <w:color w:val="auto"/>
              </w:rPr>
            </w:pPr>
          </w:p>
        </w:tc>
        <w:tc>
          <w:tcPr>
            <w:tcW w:w="7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5)</w:t>
            </w: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or Disposed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2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20" w:type="dxa"/>
            <w:vAlign w:val="bottom"/>
          </w:tcPr>
          <w:p>
            <w:pPr>
              <w:spacing w:after="0"/>
              <w:rPr>
                <w:sz w:val="3"/>
                <w:szCs w:val="3"/>
                <w:color w:val="auto"/>
              </w:rPr>
            </w:pPr>
          </w:p>
        </w:tc>
        <w:tc>
          <w:tcPr>
            <w:tcW w:w="36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980" w:type="dxa"/>
            <w:vAlign w:val="bottom"/>
          </w:tcPr>
          <w:p>
            <w:pPr>
              <w:spacing w:after="0"/>
              <w:rPr>
                <w:sz w:val="3"/>
                <w:szCs w:val="3"/>
                <w:color w:val="auto"/>
              </w:rPr>
            </w:pPr>
          </w:p>
        </w:tc>
        <w:tc>
          <w:tcPr>
            <w:tcW w:w="70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Amount or</w:t>
            </w:r>
          </w:p>
        </w:tc>
        <w:tc>
          <w:tcPr>
            <w:tcW w:w="700" w:type="dxa"/>
            <w:vAlign w:val="bottom"/>
          </w:tcPr>
          <w:p>
            <w:pPr>
              <w:spacing w:after="0"/>
              <w:rPr>
                <w:sz w:val="11"/>
                <w:szCs w:val="11"/>
                <w:color w:val="auto"/>
              </w:rPr>
            </w:pPr>
          </w:p>
        </w:tc>
        <w:tc>
          <w:tcPr>
            <w:tcW w:w="9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Expiration</w:t>
            </w:r>
          </w:p>
        </w:tc>
        <w:tc>
          <w:tcPr>
            <w:tcW w:w="620" w:type="dxa"/>
            <w:vAlign w:val="bottom"/>
          </w:tcPr>
          <w:p>
            <w:pPr>
              <w:spacing w:after="0"/>
              <w:rPr>
                <w:sz w:val="11"/>
                <w:szCs w:val="11"/>
                <w:color w:val="auto"/>
              </w:rPr>
            </w:pPr>
          </w:p>
        </w:tc>
        <w:tc>
          <w:tcPr>
            <w:tcW w:w="9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Number of</w:t>
            </w: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980" w:type="dxa"/>
            <w:vAlign w:val="bottom"/>
          </w:tcPr>
          <w:p>
            <w:pPr>
              <w:ind w:left="60"/>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89"/>
              </w:rPr>
              <w:t>$</w:t>
            </w:r>
            <w:r>
              <w:rPr>
                <w:rFonts w:ascii="Arial" w:cs="Arial" w:eastAsia="Arial" w:hAnsi="Arial"/>
                <w:sz w:val="12"/>
                <w:szCs w:val="12"/>
                <w:color w:val="0000FF"/>
                <w:w w:val="89"/>
              </w:rPr>
              <w:t>68.75</w:t>
            </w:r>
            <w:r>
              <w:rPr>
                <w:rFonts w:ascii="Arial" w:cs="Arial" w:eastAsia="Arial" w:hAnsi="Arial"/>
                <w:sz w:val="21"/>
                <w:szCs w:val="21"/>
                <w:color w:val="008000"/>
                <w:w w:val="89"/>
                <w:vertAlign w:val="superscript"/>
              </w:rPr>
              <w:t>(1)</w:t>
            </w: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3"/>
              </w:rPr>
              <w:t>109,000</w:t>
            </w:r>
            <w:r>
              <w:rPr>
                <w:rFonts w:ascii="Arial" w:cs="Arial" w:eastAsia="Arial" w:hAnsi="Arial"/>
                <w:sz w:val="21"/>
                <w:szCs w:val="21"/>
                <w:color w:val="008000"/>
                <w:w w:val="83"/>
                <w:vertAlign w:val="superscript"/>
              </w:rPr>
              <w:t>(2)</w:t>
            </w:r>
          </w:p>
        </w:tc>
        <w:tc>
          <w:tcPr>
            <w:tcW w:w="70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7"/>
              </w:rPr>
              <w:t>109,000</w:t>
            </w:r>
            <w:r>
              <w:rPr>
                <w:rFonts w:ascii="Arial" w:cs="Arial" w:eastAsia="Arial" w:hAnsi="Arial"/>
                <w:sz w:val="21"/>
                <w:szCs w:val="21"/>
                <w:color w:val="008000"/>
                <w:w w:val="87"/>
                <w:vertAlign w:val="superscript"/>
              </w:rPr>
              <w:t>(2)</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vMerge w:val="continue"/>
          </w:tcPr>
          <w:p>
            <w:pPr>
              <w:spacing w:after="0"/>
              <w:rPr>
                <w:sz w:val="11"/>
                <w:szCs w:val="11"/>
                <w:color w:val="auto"/>
              </w:rPr>
            </w:pP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89"/>
              </w:rPr>
              <w:t>03/10/2006</w:t>
            </w:r>
          </w:p>
        </w:tc>
        <w:tc>
          <w:tcPr>
            <w:tcW w:w="1100" w:type="dxa"/>
            <w:vAlign w:val="bottom"/>
          </w:tcPr>
          <w:p>
            <w:pPr>
              <w:spacing w:after="0"/>
              <w:rPr>
                <w:sz w:val="11"/>
                <w:szCs w:val="11"/>
                <w:color w:val="auto"/>
              </w:rPr>
            </w:pPr>
          </w:p>
        </w:tc>
        <w:tc>
          <w:tcPr>
            <w:tcW w:w="420" w:type="dxa"/>
            <w:vAlign w:val="bottom"/>
          </w:tcPr>
          <w:p>
            <w:pPr>
              <w:ind w:left="160"/>
              <w:spacing w:after="0" w:line="138" w:lineRule="exact"/>
              <w:rPr>
                <w:sz w:val="20"/>
                <w:szCs w:val="20"/>
                <w:color w:val="auto"/>
              </w:rPr>
            </w:pPr>
            <w:r>
              <w:rPr>
                <w:rFonts w:ascii="Arial" w:cs="Arial" w:eastAsia="Arial" w:hAnsi="Arial"/>
                <w:sz w:val="13"/>
                <w:szCs w:val="13"/>
                <w:color w:val="0000FF"/>
              </w:rPr>
              <w:t>A</w:t>
            </w:r>
          </w:p>
        </w:tc>
        <w:tc>
          <w:tcPr>
            <w:tcW w:w="360" w:type="dxa"/>
            <w:vAlign w:val="bottom"/>
          </w:tcPr>
          <w:p>
            <w:pPr>
              <w:spacing w:after="0"/>
              <w:rPr>
                <w:sz w:val="11"/>
                <w:szCs w:val="11"/>
                <w:color w:val="auto"/>
              </w:rPr>
            </w:pPr>
          </w:p>
        </w:tc>
        <w:tc>
          <w:tcPr>
            <w:tcW w:w="640" w:type="dxa"/>
            <w:vAlign w:val="bottom"/>
          </w:tcPr>
          <w:p>
            <w:pPr>
              <w:jc w:val="center"/>
              <w:spacing w:after="0" w:line="138" w:lineRule="exact"/>
              <w:rPr>
                <w:sz w:val="20"/>
                <w:szCs w:val="20"/>
                <w:color w:val="auto"/>
              </w:rPr>
            </w:pPr>
            <w:r>
              <w:rPr>
                <w:rFonts w:ascii="Arial" w:cs="Arial" w:eastAsia="Arial" w:hAnsi="Arial"/>
                <w:sz w:val="13"/>
                <w:szCs w:val="13"/>
                <w:color w:val="0000FF"/>
                <w:w w:val="89"/>
              </w:rPr>
              <w:t>109,000</w:t>
            </w:r>
          </w:p>
        </w:tc>
        <w:tc>
          <w:tcPr>
            <w:tcW w:w="2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tcPr>
          <w:p>
            <w:pPr>
              <w:ind w:left="60"/>
              <w:spacing w:after="0" w:line="138" w:lineRule="exact"/>
              <w:rPr>
                <w:sz w:val="20"/>
                <w:szCs w:val="20"/>
                <w:color w:val="auto"/>
              </w:rPr>
            </w:pPr>
            <w:r>
              <w:rPr>
                <w:rFonts w:ascii="Arial" w:cs="Arial" w:eastAsia="Arial" w:hAnsi="Arial"/>
                <w:sz w:val="13"/>
                <w:szCs w:val="13"/>
                <w:color w:val="0000FF"/>
                <w:w w:val="98"/>
              </w:rPr>
              <w:t>01/31/2016</w:t>
            </w:r>
          </w:p>
        </w:tc>
        <w:tc>
          <w:tcPr>
            <w:tcW w:w="62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700" w:type="dxa"/>
            <w:vAlign w:val="bottom"/>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continue"/>
          </w:tcPr>
          <w:p>
            <w:pPr>
              <w:spacing w:after="0"/>
              <w:rPr>
                <w:sz w:val="11"/>
                <w:szCs w:val="11"/>
                <w:color w:val="auto"/>
              </w:rPr>
            </w:pPr>
          </w:p>
        </w:tc>
        <w:tc>
          <w:tcPr>
            <w:tcW w:w="740" w:type="dxa"/>
            <w:vAlign w:val="bottom"/>
          </w:tcPr>
          <w:p>
            <w:pPr>
              <w:ind w:left="32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vMerge w:val="restart"/>
          </w:tcPr>
          <w:p>
            <w:pPr>
              <w:ind w:left="120"/>
              <w:spacing w:after="0" w:line="280" w:lineRule="exact"/>
              <w:rPr>
                <w:sz w:val="20"/>
                <w:szCs w:val="20"/>
                <w:color w:val="auto"/>
              </w:rPr>
            </w:pPr>
            <w:r>
              <w:rPr>
                <w:rFonts w:ascii="Arial" w:cs="Arial" w:eastAsia="Arial" w:hAnsi="Arial"/>
                <w:sz w:val="25"/>
                <w:szCs w:val="25"/>
                <w:color w:val="0000FF"/>
                <w:vertAlign w:val="subscript"/>
              </w:rPr>
              <w:t>J</w:t>
            </w:r>
            <w:r>
              <w:rPr>
                <w:rFonts w:ascii="Arial" w:cs="Arial" w:eastAsia="Arial" w:hAnsi="Arial"/>
                <w:sz w:val="11"/>
                <w:szCs w:val="11"/>
                <w:color w:val="008000"/>
              </w:rPr>
              <w:t>(3)</w:t>
            </w: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(4)(5)</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980" w:type="dxa"/>
            <w:vAlign w:val="bottom"/>
            <w:vMerge w:val="restart"/>
          </w:tcPr>
          <w:p>
            <w:pPr>
              <w:jc w:val="center"/>
              <w:spacing w:after="0" w:line="280" w:lineRule="exact"/>
              <w:rPr>
                <w:sz w:val="20"/>
                <w:szCs w:val="20"/>
                <w:color w:val="auto"/>
              </w:rPr>
            </w:pPr>
            <w:r>
              <w:rPr>
                <w:rFonts w:ascii="Arial" w:cs="Arial" w:eastAsia="Arial" w:hAnsi="Arial"/>
                <w:sz w:val="32"/>
                <w:szCs w:val="32"/>
                <w:color w:val="0000FF"/>
                <w:w w:val="75"/>
                <w:vertAlign w:val="subscript"/>
              </w:rPr>
              <w:t>89,000</w:t>
            </w:r>
            <w:r>
              <w:rPr>
                <w:rFonts w:ascii="Arial" w:cs="Arial" w:eastAsia="Arial" w:hAnsi="Arial"/>
                <w:sz w:val="11"/>
                <w:szCs w:val="11"/>
                <w:color w:val="008000"/>
                <w:w w:val="75"/>
              </w:rPr>
              <w:t>(4)(5)</w:t>
            </w:r>
          </w:p>
        </w:tc>
        <w:tc>
          <w:tcPr>
            <w:tcW w:w="70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1"/>
              </w:rPr>
              <w:t>89,000</w:t>
            </w:r>
            <w:r>
              <w:rPr>
                <w:rFonts w:ascii="Arial" w:cs="Arial" w:eastAsia="Arial" w:hAnsi="Arial"/>
                <w:sz w:val="21"/>
                <w:szCs w:val="21"/>
                <w:color w:val="008000"/>
                <w:w w:val="81"/>
                <w:vertAlign w:val="superscript"/>
              </w:rPr>
              <w:t>(4)(5)</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89"/>
              </w:rPr>
              <w:t>05/25/2006</w:t>
            </w:r>
          </w:p>
        </w:tc>
        <w:tc>
          <w:tcPr>
            <w:tcW w:w="1100" w:type="dxa"/>
            <w:vAlign w:val="bottom"/>
          </w:tcPr>
          <w:p>
            <w:pPr>
              <w:spacing w:after="0"/>
              <w:rPr>
                <w:sz w:val="11"/>
                <w:szCs w:val="11"/>
                <w:color w:val="auto"/>
              </w:rPr>
            </w:pPr>
          </w:p>
        </w:tc>
        <w:tc>
          <w:tcPr>
            <w:tcW w:w="420" w:type="dxa"/>
            <w:vAlign w:val="bottom"/>
            <w:vMerge w:val="continue"/>
          </w:tcPr>
          <w:p>
            <w:pPr>
              <w:spacing w:after="0"/>
              <w:rPr>
                <w:sz w:val="11"/>
                <w:szCs w:val="11"/>
                <w:color w:val="auto"/>
              </w:rPr>
            </w:pPr>
          </w:p>
        </w:tc>
        <w:tc>
          <w:tcPr>
            <w:tcW w:w="360" w:type="dxa"/>
            <w:vAlign w:val="bottom"/>
          </w:tcPr>
          <w:p>
            <w:pPr>
              <w:ind w:left="140"/>
              <w:spacing w:after="0" w:line="138" w:lineRule="exact"/>
              <w:rPr>
                <w:sz w:val="20"/>
                <w:szCs w:val="20"/>
                <w:color w:val="auto"/>
              </w:rPr>
            </w:pPr>
            <w:r>
              <w:rPr>
                <w:rFonts w:ascii="Arial" w:cs="Arial" w:eastAsia="Arial" w:hAnsi="Arial"/>
                <w:sz w:val="13"/>
                <w:szCs w:val="13"/>
                <w:color w:val="0000FF"/>
              </w:rPr>
              <w:t>V</w:t>
            </w:r>
          </w:p>
        </w:tc>
        <w:tc>
          <w:tcPr>
            <w:tcW w:w="640" w:type="dxa"/>
            <w:vAlign w:val="bottom"/>
          </w:tcPr>
          <w:p>
            <w:pPr>
              <w:jc w:val="center"/>
              <w:spacing w:after="0" w:line="138" w:lineRule="exact"/>
              <w:rPr>
                <w:sz w:val="20"/>
                <w:szCs w:val="20"/>
                <w:color w:val="auto"/>
              </w:rPr>
            </w:pPr>
            <w:r>
              <w:rPr>
                <w:rFonts w:ascii="Arial" w:cs="Arial" w:eastAsia="Arial" w:hAnsi="Arial"/>
                <w:sz w:val="13"/>
                <w:szCs w:val="13"/>
                <w:color w:val="0000FF"/>
                <w:w w:val="90"/>
              </w:rPr>
              <w:t>89,000</w:t>
            </w:r>
          </w:p>
        </w:tc>
        <w:tc>
          <w:tcPr>
            <w:tcW w:w="2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tcPr>
          <w:p>
            <w:pPr>
              <w:ind w:left="60"/>
              <w:spacing w:after="0" w:line="138" w:lineRule="exact"/>
              <w:rPr>
                <w:sz w:val="20"/>
                <w:szCs w:val="20"/>
                <w:color w:val="auto"/>
              </w:rPr>
            </w:pPr>
            <w:r>
              <w:rPr>
                <w:rFonts w:ascii="Arial" w:cs="Arial" w:eastAsia="Arial" w:hAnsi="Arial"/>
                <w:sz w:val="13"/>
                <w:szCs w:val="13"/>
                <w:color w:val="0000FF"/>
                <w:w w:val="98"/>
              </w:rPr>
              <w:t>05/25/2016</w:t>
            </w:r>
          </w:p>
        </w:tc>
        <w:tc>
          <w:tcPr>
            <w:tcW w:w="62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700" w:type="dxa"/>
            <w:vAlign w:val="bottom"/>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continue"/>
          </w:tcPr>
          <w:p>
            <w:pPr>
              <w:spacing w:after="0"/>
              <w:rPr>
                <w:sz w:val="11"/>
                <w:szCs w:val="11"/>
                <w:color w:val="auto"/>
              </w:rPr>
            </w:pPr>
          </w:p>
        </w:tc>
        <w:tc>
          <w:tcPr>
            <w:tcW w:w="740" w:type="dxa"/>
            <w:vAlign w:val="bottom"/>
          </w:tcPr>
          <w:p>
            <w:pPr>
              <w:ind w:left="32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vMerge w:val="restart"/>
          </w:tcPr>
          <w:p>
            <w:pPr>
              <w:ind w:left="120"/>
              <w:spacing w:after="0" w:line="280" w:lineRule="exact"/>
              <w:rPr>
                <w:sz w:val="20"/>
                <w:szCs w:val="20"/>
                <w:color w:val="auto"/>
              </w:rPr>
            </w:pPr>
            <w:r>
              <w:rPr>
                <w:rFonts w:ascii="Arial" w:cs="Arial" w:eastAsia="Arial" w:hAnsi="Arial"/>
                <w:sz w:val="25"/>
                <w:szCs w:val="25"/>
                <w:color w:val="0000FF"/>
                <w:vertAlign w:val="subscript"/>
              </w:rPr>
              <w:t>J</w:t>
            </w:r>
            <w:r>
              <w:rPr>
                <w:rFonts w:ascii="Arial" w:cs="Arial" w:eastAsia="Arial" w:hAnsi="Arial"/>
                <w:sz w:val="11"/>
                <w:szCs w:val="11"/>
                <w:color w:val="008000"/>
              </w:rPr>
              <w:t>(6)</w:t>
            </w: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1"/>
              </w:rPr>
              <w:t>89,000</w:t>
            </w:r>
            <w:r>
              <w:rPr>
                <w:rFonts w:ascii="Arial" w:cs="Arial" w:eastAsia="Arial" w:hAnsi="Arial"/>
                <w:sz w:val="21"/>
                <w:szCs w:val="21"/>
                <w:color w:val="008000"/>
                <w:w w:val="81"/>
                <w:vertAlign w:val="superscript"/>
              </w:rPr>
              <w:t>(7)(8)</w:t>
            </w:r>
          </w:p>
        </w:tc>
        <w:tc>
          <w:tcPr>
            <w:tcW w:w="70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1"/>
              </w:rPr>
              <w:t>89,000</w:t>
            </w:r>
            <w:r>
              <w:rPr>
                <w:rFonts w:ascii="Arial" w:cs="Arial" w:eastAsia="Arial" w:hAnsi="Arial"/>
                <w:sz w:val="21"/>
                <w:szCs w:val="21"/>
                <w:color w:val="008000"/>
                <w:w w:val="81"/>
                <w:vertAlign w:val="superscript"/>
              </w:rPr>
              <w:t>(7)(8)</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49.59</w:t>
            </w:r>
          </w:p>
        </w:tc>
        <w:tc>
          <w:tcPr>
            <w:tcW w:w="1080" w:type="dxa"/>
            <w:vAlign w:val="bottom"/>
          </w:tcPr>
          <w:p>
            <w:pPr>
              <w:jc w:val="center"/>
              <w:spacing w:after="0" w:line="138" w:lineRule="exact"/>
              <w:rPr>
                <w:sz w:val="20"/>
                <w:szCs w:val="20"/>
                <w:color w:val="auto"/>
              </w:rPr>
            </w:pPr>
            <w:r>
              <w:rPr>
                <w:rFonts w:ascii="Arial" w:cs="Arial" w:eastAsia="Arial" w:hAnsi="Arial"/>
                <w:sz w:val="13"/>
                <w:szCs w:val="13"/>
                <w:color w:val="0000FF"/>
                <w:w w:val="89"/>
              </w:rPr>
              <w:t>05/25/2006</w:t>
            </w:r>
          </w:p>
        </w:tc>
        <w:tc>
          <w:tcPr>
            <w:tcW w:w="1100" w:type="dxa"/>
            <w:vAlign w:val="bottom"/>
          </w:tcPr>
          <w:p>
            <w:pPr>
              <w:spacing w:after="0"/>
              <w:rPr>
                <w:sz w:val="11"/>
                <w:szCs w:val="11"/>
                <w:color w:val="auto"/>
              </w:rPr>
            </w:pPr>
          </w:p>
        </w:tc>
        <w:tc>
          <w:tcPr>
            <w:tcW w:w="420" w:type="dxa"/>
            <w:vAlign w:val="bottom"/>
            <w:vMerge w:val="continue"/>
          </w:tcPr>
          <w:p>
            <w:pPr>
              <w:spacing w:after="0"/>
              <w:rPr>
                <w:sz w:val="11"/>
                <w:szCs w:val="11"/>
                <w:color w:val="auto"/>
              </w:rPr>
            </w:pPr>
          </w:p>
        </w:tc>
        <w:tc>
          <w:tcPr>
            <w:tcW w:w="360" w:type="dxa"/>
            <w:vAlign w:val="bottom"/>
          </w:tcPr>
          <w:p>
            <w:pPr>
              <w:ind w:left="140"/>
              <w:spacing w:after="0" w:line="138" w:lineRule="exact"/>
              <w:rPr>
                <w:sz w:val="20"/>
                <w:szCs w:val="20"/>
                <w:color w:val="auto"/>
              </w:rPr>
            </w:pPr>
            <w:r>
              <w:rPr>
                <w:rFonts w:ascii="Arial" w:cs="Arial" w:eastAsia="Arial" w:hAnsi="Arial"/>
                <w:sz w:val="13"/>
                <w:szCs w:val="13"/>
                <w:color w:val="0000FF"/>
              </w:rPr>
              <w:t>V</w:t>
            </w:r>
          </w:p>
        </w:tc>
        <w:tc>
          <w:tcPr>
            <w:tcW w:w="640" w:type="dxa"/>
            <w:vAlign w:val="bottom"/>
          </w:tcPr>
          <w:p>
            <w:pPr>
              <w:jc w:val="center"/>
              <w:spacing w:after="0" w:line="138" w:lineRule="exact"/>
              <w:rPr>
                <w:sz w:val="20"/>
                <w:szCs w:val="20"/>
                <w:color w:val="auto"/>
              </w:rPr>
            </w:pPr>
            <w:r>
              <w:rPr>
                <w:rFonts w:ascii="Arial" w:cs="Arial" w:eastAsia="Arial" w:hAnsi="Arial"/>
                <w:sz w:val="13"/>
                <w:szCs w:val="13"/>
                <w:color w:val="0000FF"/>
                <w:w w:val="90"/>
              </w:rPr>
              <w:t>89,000</w:t>
            </w:r>
          </w:p>
        </w:tc>
        <w:tc>
          <w:tcPr>
            <w:tcW w:w="2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tcPr>
          <w:p>
            <w:pPr>
              <w:ind w:left="60"/>
              <w:spacing w:after="0" w:line="138" w:lineRule="exact"/>
              <w:rPr>
                <w:sz w:val="20"/>
                <w:szCs w:val="20"/>
                <w:color w:val="auto"/>
              </w:rPr>
            </w:pPr>
            <w:r>
              <w:rPr>
                <w:rFonts w:ascii="Arial" w:cs="Arial" w:eastAsia="Arial" w:hAnsi="Arial"/>
                <w:sz w:val="13"/>
                <w:szCs w:val="13"/>
                <w:color w:val="0000FF"/>
                <w:w w:val="98"/>
              </w:rPr>
              <w:t>05/25/2016</w:t>
            </w:r>
          </w:p>
        </w:tc>
        <w:tc>
          <w:tcPr>
            <w:tcW w:w="62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700" w:type="dxa"/>
            <w:vAlign w:val="bottom"/>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continue"/>
          </w:tcPr>
          <w:p>
            <w:pPr>
              <w:spacing w:after="0"/>
              <w:rPr>
                <w:sz w:val="11"/>
                <w:szCs w:val="11"/>
                <w:color w:val="auto"/>
              </w:rPr>
            </w:pPr>
          </w:p>
        </w:tc>
        <w:tc>
          <w:tcPr>
            <w:tcW w:w="740" w:type="dxa"/>
            <w:vAlign w:val="bottom"/>
          </w:tcPr>
          <w:p>
            <w:pPr>
              <w:ind w:left="32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(9)</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3"/>
              </w:rPr>
              <w:t>20,834</w:t>
            </w:r>
            <w:r>
              <w:rPr>
                <w:rFonts w:ascii="Arial" w:cs="Arial" w:eastAsia="Arial" w:hAnsi="Arial"/>
                <w:sz w:val="21"/>
                <w:szCs w:val="21"/>
                <w:color w:val="008000"/>
                <w:w w:val="83"/>
                <w:vertAlign w:val="superscript"/>
              </w:rPr>
              <w:t>(9)</w:t>
            </w:r>
          </w:p>
        </w:tc>
        <w:tc>
          <w:tcPr>
            <w:tcW w:w="70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20,834</w:t>
            </w:r>
            <w:r>
              <w:rPr>
                <w:rFonts w:ascii="Arial" w:cs="Arial" w:eastAsia="Arial" w:hAnsi="Arial"/>
                <w:sz w:val="21"/>
                <w:szCs w:val="21"/>
                <w:color w:val="008000"/>
                <w:w w:val="84"/>
                <w:vertAlign w:val="superscript"/>
              </w:rPr>
              <w:t>(9)</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12.005</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tcPr>
          <w:p>
            <w:pPr>
              <w:ind w:left="60"/>
              <w:spacing w:after="0" w:line="138" w:lineRule="exact"/>
              <w:rPr>
                <w:sz w:val="20"/>
                <w:szCs w:val="20"/>
                <w:color w:val="auto"/>
              </w:rPr>
            </w:pPr>
            <w:r>
              <w:rPr>
                <w:rFonts w:ascii="Arial" w:cs="Arial" w:eastAsia="Arial" w:hAnsi="Arial"/>
                <w:sz w:val="13"/>
                <w:szCs w:val="13"/>
                <w:color w:val="0000FF"/>
                <w:w w:val="98"/>
              </w:rPr>
              <w:t>06/06/2012</w:t>
            </w:r>
          </w:p>
        </w:tc>
        <w:tc>
          <w:tcPr>
            <w:tcW w:w="62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740" w:type="dxa"/>
            <w:vAlign w:val="bottom"/>
          </w:tcPr>
          <w:p>
            <w:pPr>
              <w:ind w:left="32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1"/>
              </w:rPr>
              <w:t>(10)</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5"/>
              </w:rPr>
              <w:t>1,259,166</w:t>
            </w:r>
            <w:r>
              <w:rPr>
                <w:rFonts w:ascii="Arial" w:cs="Arial" w:eastAsia="Arial" w:hAnsi="Arial"/>
                <w:sz w:val="21"/>
                <w:szCs w:val="21"/>
                <w:color w:val="008000"/>
                <w:w w:val="85"/>
                <w:vertAlign w:val="superscript"/>
              </w:rPr>
              <w:t>(10)</w:t>
            </w:r>
          </w:p>
        </w:tc>
        <w:tc>
          <w:tcPr>
            <w:tcW w:w="70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2"/>
              </w:rPr>
              <w:t>1,259,166</w:t>
            </w:r>
            <w:r>
              <w:rPr>
                <w:rFonts w:ascii="Arial" w:cs="Arial" w:eastAsia="Arial" w:hAnsi="Arial"/>
                <w:sz w:val="21"/>
                <w:szCs w:val="21"/>
                <w:color w:val="008000"/>
                <w:w w:val="82"/>
                <w:vertAlign w:val="superscript"/>
              </w:rPr>
              <w:t>(10)</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680" w:type="dxa"/>
            <w:vAlign w:val="bottom"/>
          </w:tcPr>
          <w:p>
            <w:pPr>
              <w:ind w:left="60"/>
              <w:spacing w:after="0" w:line="138"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18.25</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tcPr>
          <w:p>
            <w:pPr>
              <w:ind w:left="60"/>
              <w:spacing w:after="0" w:line="138" w:lineRule="exact"/>
              <w:rPr>
                <w:sz w:val="20"/>
                <w:szCs w:val="20"/>
                <w:color w:val="auto"/>
              </w:rPr>
            </w:pPr>
            <w:r>
              <w:rPr>
                <w:rFonts w:ascii="Arial" w:cs="Arial" w:eastAsia="Arial" w:hAnsi="Arial"/>
                <w:sz w:val="13"/>
                <w:szCs w:val="13"/>
                <w:color w:val="0000FF"/>
                <w:w w:val="98"/>
              </w:rPr>
              <w:t>12/26/2013</w:t>
            </w:r>
          </w:p>
        </w:tc>
        <w:tc>
          <w:tcPr>
            <w:tcW w:w="62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vMerge w:val="continue"/>
          </w:tcPr>
          <w:p>
            <w:pPr>
              <w:spacing w:after="0"/>
              <w:rPr>
                <w:sz w:val="11"/>
                <w:szCs w:val="11"/>
                <w:color w:val="auto"/>
              </w:rPr>
            </w:pPr>
          </w:p>
        </w:tc>
        <w:tc>
          <w:tcPr>
            <w:tcW w:w="740" w:type="dxa"/>
            <w:vAlign w:val="bottom"/>
          </w:tcPr>
          <w:p>
            <w:pPr>
              <w:ind w:left="32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ind w:left="160"/>
              <w:spacing w:after="0" w:line="129" w:lineRule="exact"/>
              <w:rPr>
                <w:sz w:val="20"/>
                <w:szCs w:val="20"/>
                <w:color w:val="auto"/>
              </w:rPr>
            </w:pPr>
            <w:r>
              <w:rPr>
                <w:rFonts w:ascii="Arial" w:cs="Arial" w:eastAsia="Arial" w:hAnsi="Arial"/>
                <w:sz w:val="13"/>
                <w:szCs w:val="13"/>
                <w:color w:val="0000FF"/>
              </w:rPr>
              <w:t>Stock</w:t>
            </w: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7"/>
        </w:trPr>
        <w:tc>
          <w:tcPr>
            <w:tcW w:w="6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tcPr>
          <w:p>
            <w:pPr>
              <w:spacing w:after="0"/>
              <w:rPr>
                <w:sz w:val="2"/>
                <w:szCs w:val="2"/>
                <w:color w:val="auto"/>
              </w:rPr>
            </w:pPr>
          </w:p>
        </w:tc>
        <w:tc>
          <w:tcPr>
            <w:tcW w:w="2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20" w:type="dxa"/>
            <w:vAlign w:val="bottom"/>
          </w:tcPr>
          <w:p>
            <w:pPr>
              <w:spacing w:after="0"/>
              <w:rPr>
                <w:sz w:val="2"/>
                <w:szCs w:val="2"/>
                <w:color w:val="auto"/>
              </w:rPr>
            </w:pPr>
          </w:p>
        </w:tc>
        <w:tc>
          <w:tcPr>
            <w:tcW w:w="62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9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0"/>
          <w:szCs w:val="20"/>
          <w:color w:val="auto"/>
        </w:rPr>
      </w:pPr>
    </w:p>
    <w:p>
      <w:pPr>
        <w:ind w:left="180" w:hanging="138"/>
        <w:spacing w:after="0"/>
        <w:tabs>
          <w:tab w:leader="none" w:pos="180"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The exercise price of this option is $68.75, the highest closing price of the Company's common stock for the period commencing January 31, 2006, the vesting start date, and ending on March 10, 2006, the grant date.</w:t>
      </w:r>
    </w:p>
    <w:p>
      <w:pPr>
        <w:spacing w:after="0" w:line="66" w:lineRule="exact"/>
        <w:rPr>
          <w:rFonts w:ascii="Arial" w:cs="Arial" w:eastAsia="Arial" w:hAnsi="Arial"/>
          <w:sz w:val="11"/>
          <w:szCs w:val="11"/>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on 01/31/2009.</w:t>
      </w:r>
    </w:p>
    <w:p>
      <w:pPr>
        <w:spacing w:after="0" w:line="43"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Represents the acquisition of an option to purchase 89,000 shares which will vest upon the satisfaction of certain performance criteria.</w:t>
      </w:r>
    </w:p>
    <w:p>
      <w:pPr>
        <w:spacing w:after="0" w:line="43" w:lineRule="exact"/>
        <w:rPr>
          <w:rFonts w:ascii="Arial" w:cs="Arial" w:eastAsia="Arial" w:hAnsi="Arial"/>
          <w:sz w:val="13"/>
          <w:szCs w:val="13"/>
          <w:color w:val="008000"/>
        </w:rPr>
      </w:pPr>
    </w:p>
    <w:p>
      <w:pPr>
        <w:ind w:left="40" w:right="200" w:firstLine="2"/>
        <w:spacing w:after="0" w:line="257" w:lineRule="auto"/>
        <w:tabs>
          <w:tab w:leader="none" w:pos="169"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This option shall become vested and fully exercisable and the shares will be fully vested on the 10-K Due Date corresponding to the first fiscal year ending on or prior to January 30, 2010 in which Pro Forma EPS for such fiscal year exceeds $2.78 (the "Target EPS"). The Target EPS shall be proportionately adjusted by the Executive Compensation Committee of the Board for any stock split, reverse stock split, stock dividend, share combination, recapitalization or similar event effected subsequent to the date of grant (and shall be adjusted to be $1.39 should the 2-for-1 stock split in the form of a stock dividend approved, subject to shareholder 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(Continued on Footnote 5).</w:t>
      </w:r>
    </w:p>
    <w:p>
      <w:pPr>
        <w:spacing w:after="0" w:line="21" w:lineRule="exact"/>
        <w:rPr>
          <w:rFonts w:ascii="Arial" w:cs="Arial" w:eastAsia="Arial" w:hAnsi="Arial"/>
          <w:sz w:val="12"/>
          <w:szCs w:val="12"/>
          <w:color w:val="008000"/>
        </w:rPr>
      </w:pPr>
    </w:p>
    <w:p>
      <w:pPr>
        <w:ind w:left="40" w:right="260" w:firstLine="2"/>
        <w:spacing w:after="0" w:line="234"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4: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Represents the acquisition of an option to purchase 89,000 shares which will vest upon the satisfaction of certain performance criteria.</w:t>
      </w:r>
    </w:p>
    <w:p>
      <w:pPr>
        <w:spacing w:after="0" w:line="43" w:lineRule="exact"/>
        <w:rPr>
          <w:rFonts w:ascii="Arial" w:cs="Arial" w:eastAsia="Arial" w:hAnsi="Arial"/>
          <w:sz w:val="13"/>
          <w:szCs w:val="13"/>
          <w:color w:val="008000"/>
        </w:rPr>
      </w:pPr>
    </w:p>
    <w:p>
      <w:pPr>
        <w:ind w:left="40" w:right="220" w:firstLine="2"/>
        <w:spacing w:after="0" w:line="303" w:lineRule="auto"/>
        <w:tabs>
          <w:tab w:leader="none" w:pos="169"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This option shall become vested and fully exercisable and the shares will be fully vested on the 10-K Due Date corresponding to the first fiscal year ending on or prior to January 30, 2010 in which Pro Forma EPS for such fiscal year exceeds $4.17 (the "Target EPS"). The Target EPS shall be proportionately adjusted by the Executive Compensation Committee of the Board for any stock split, reverse stock split, stock dividend, share combination, recapitalization or similar event effected subsequent to the date of grant (and shall be adjusted to be $2.085 should the 2-for-1 stock split in the form of a stock dividend approved, subject to shareholder</w:t>
      </w:r>
    </w:p>
    <w:p>
      <w:pPr>
        <w:sectPr>
          <w:pgSz w:w="11900" w:h="16838" w:orient="portrait"/>
          <w:cols w:equalWidth="0" w:num="1">
            <w:col w:w="11520"/>
          </w:cols>
          <w:pgMar w:left="240" w:top="221" w:right="139" w:bottom="0" w:gutter="0" w:footer="0" w:header="0"/>
          <w:type w:val="continuous"/>
        </w:sectPr>
      </w:pPr>
    </w:p>
    <w:bookmarkStart w:id="1" w:name="page2"/>
    <w:bookmarkEnd w:id="1"/>
    <w:p>
      <w:pPr>
        <w:spacing w:after="0" w:line="249" w:lineRule="auto"/>
        <w:rPr>
          <w:sz w:val="20"/>
          <w:szCs w:val="20"/>
          <w:color w:val="auto"/>
        </w:rPr>
      </w:pPr>
      <w:r>
        <w:rPr>
          <w:rFonts w:ascii="Arial" w:cs="Arial" w:eastAsia="Arial" w:hAnsi="Arial"/>
          <w:sz w:val="13"/>
          <w:szCs w:val="13"/>
          <w:color w:val="008000"/>
        </w:rPr>
        <w:t>approval of an increase in the Company's authorized share capital, by the Board on February 21, 2006, be effected). As used herein, "10-K Due Date" shall mean, with respect to the fiscal year in question, the prescribed due date on which the Company's Annual Report on Form 10-K is required to be filed (Continued on Footnote 8).</w:t>
      </w:r>
    </w:p>
    <w:p>
      <w:pPr>
        <w:spacing w:after="0" w:line="25" w:lineRule="exact"/>
        <w:rPr>
          <w:sz w:val="20"/>
          <w:szCs w:val="20"/>
          <w:color w:val="auto"/>
        </w:rPr>
      </w:pPr>
    </w:p>
    <w:p>
      <w:pPr>
        <w:ind w:right="60" w:firstLine="2"/>
        <w:spacing w:after="0" w:line="234" w:lineRule="auto"/>
        <w:tabs>
          <w:tab w:leader="none" w:pos="12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7: with the Securities and Exchange Commission.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w:t>
      </w:r>
    </w:p>
    <w:p>
      <w:pPr>
        <w:spacing w:after="0" w:line="31" w:lineRule="exact"/>
        <w:rPr>
          <w:rFonts w:ascii="Arial" w:cs="Arial" w:eastAsia="Arial" w:hAnsi="Arial"/>
          <w:sz w:val="13"/>
          <w:szCs w:val="13"/>
          <w:color w:val="008000"/>
        </w:rPr>
      </w:pPr>
    </w:p>
    <w:p>
      <w:pPr>
        <w:ind w:left="140" w:hanging="138"/>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Vests 25% on 06/06/03 and 4,166.66 shares per month from 07/06/03 through 06/06/06. Options become exerciseable as they vest.</w:t>
      </w:r>
    </w:p>
    <w:p>
      <w:pPr>
        <w:spacing w:after="0" w:line="43" w:lineRule="exact"/>
        <w:rPr>
          <w:rFonts w:ascii="Arial" w:cs="Arial" w:eastAsia="Arial" w:hAnsi="Arial"/>
          <w:sz w:val="13"/>
          <w:szCs w:val="13"/>
          <w:color w:val="008000"/>
        </w:rPr>
      </w:pPr>
    </w:p>
    <w:p>
      <w:pPr>
        <w:ind w:left="200" w:hanging="198"/>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Vests 25% on 12/26/04; and 27,500 shares per month from 01/26/05 through 12/26/07. Options become exerciseable as they vest.</w:t>
      </w:r>
    </w:p>
    <w:p>
      <w:pPr>
        <w:spacing w:after="0" w:line="3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16"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0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4"/>
              </w:rPr>
              <w:t>Pantas Sutardja</w:t>
            </w:r>
          </w:p>
        </w:tc>
        <w:tc>
          <w:tcPr>
            <w:tcW w:w="1260" w:type="dxa"/>
            <w:vAlign w:val="bottom"/>
          </w:tcPr>
          <w:p>
            <w:pPr>
              <w:spacing w:after="0"/>
              <w:rPr>
                <w:sz w:val="16"/>
                <w:szCs w:val="16"/>
                <w:color w:val="auto"/>
              </w:rPr>
            </w:pPr>
          </w:p>
        </w:tc>
        <w:tc>
          <w:tcPr>
            <w:tcW w:w="7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6"/>
              </w:rPr>
              <w:t>05/26/2006</w:t>
            </w:r>
          </w:p>
        </w:tc>
      </w:tr>
      <w:tr>
        <w:trPr>
          <w:trHeight w:val="224"/>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3840" w:firstLine="2"/>
        <w:spacing w:after="0" w:line="334"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31"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8"/>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2019-12-17T03:19:23Z</dcterms:created>
  <dcterms:modified xsi:type="dcterms:W3CDTF">2019-12-17T03:19:23Z</dcterms:modified>
</cp:coreProperties>
</file>