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18"/>
          <w:szCs w:val="18"/>
          <w:color w:val="auto"/>
        </w:rPr>
        <w:t>As filed with the Securities and Exchange Commission on April 13, 2006.</w:t>
      </w:r>
    </w:p>
    <w:p>
      <w:pPr>
        <w:spacing w:after="0" w:line="225" w:lineRule="exact"/>
        <w:rPr>
          <w:sz w:val="24"/>
          <w:szCs w:val="24"/>
          <w:color w:val="auto"/>
        </w:rPr>
      </w:pPr>
    </w:p>
    <w:p>
      <w:pPr>
        <w:ind w:left="9360"/>
        <w:spacing w:after="0"/>
        <w:rPr>
          <w:sz w:val="20"/>
          <w:szCs w:val="20"/>
          <w:color w:val="auto"/>
        </w:rPr>
      </w:pPr>
      <w:r>
        <w:rPr>
          <w:rFonts w:ascii="Arial" w:cs="Arial" w:eastAsia="Arial" w:hAnsi="Arial"/>
          <w:sz w:val="18"/>
          <w:szCs w:val="18"/>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83185</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r>
    </w:p>
    <w:p>
      <w:pPr>
        <w:spacing w:after="0" w:line="340"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S-8</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REGISTRATION STATEMENT</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Under</w:t>
      </w:r>
    </w:p>
    <w:p>
      <w:pPr>
        <w:jc w:val="center"/>
        <w:ind w:right="-19"/>
        <w:spacing w:after="0"/>
        <w:rPr>
          <w:sz w:val="20"/>
          <w:szCs w:val="20"/>
          <w:color w:val="auto"/>
        </w:rPr>
      </w:pPr>
      <w:r>
        <w:rPr>
          <w:rFonts w:ascii="Arial" w:cs="Arial" w:eastAsia="Arial" w:hAnsi="Arial"/>
          <w:sz w:val="22"/>
          <w:szCs w:val="22"/>
          <w:b w:val="1"/>
          <w:bCs w:val="1"/>
          <w:color w:val="auto"/>
        </w:rPr>
        <w:t>THE SECURITIES ACT OF 1933</w:t>
      </w:r>
    </w:p>
    <w:p>
      <w:pPr>
        <w:spacing w:after="0" w:line="168"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20" w:type="dxa"/>
        <w:tblCellMar>
          <w:top w:w="0" w:type="dxa"/>
          <w:left w:w="0" w:type="dxa"/>
          <w:bottom w:w="0" w:type="dxa"/>
          <w:right w:w="0" w:type="dxa"/>
        </w:tblCellMar>
      </w:tblPr>
      <w:tr>
        <w:trPr>
          <w:trHeight w:val="220"/>
        </w:trPr>
        <w:tc>
          <w:tcPr>
            <w:tcW w:w="4200" w:type="dxa"/>
            <w:vAlign w:val="bottom"/>
          </w:tcPr>
          <w:p>
            <w:pPr>
              <w:jc w:val="center"/>
              <w:ind w:right="191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3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30"/>
              <w:spacing w:after="0"/>
              <w:rPr>
                <w:sz w:val="20"/>
                <w:szCs w:val="20"/>
                <w:color w:val="auto"/>
              </w:rPr>
            </w:pPr>
            <w:r>
              <w:rPr>
                <w:rFonts w:ascii="Arial" w:cs="Arial" w:eastAsia="Arial" w:hAnsi="Arial"/>
                <w:sz w:val="18"/>
                <w:szCs w:val="18"/>
                <w:color w:val="auto"/>
                <w:w w:val="93"/>
              </w:rPr>
              <w:t>(I.R.S. Employer</w:t>
            </w:r>
          </w:p>
        </w:tc>
      </w:tr>
      <w:tr>
        <w:trPr>
          <w:trHeight w:val="230"/>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including Zip Code, and Telephone Number, including</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Area Code of Registrant’s Principal Executive Offices)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Amended and Restated</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1995 Stock Option Plan</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Amended 2000 Employee Stock Purchase Plan</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(Full title of the plans)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Matthew Gloss</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(Name, Address, including Zip Code, and Telephone Number, including Area Code,</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of Agent for Service)</w:t>
      </w:r>
    </w:p>
    <w:p>
      <w:pPr>
        <w:spacing w:after="0" w:line="21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CALCULATION OF REGISTRATION FEE</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Title of</w:t>
            </w:r>
          </w:p>
        </w:tc>
        <w:tc>
          <w:tcPr>
            <w:tcW w:w="1600" w:type="dxa"/>
            <w:vAlign w:val="bottom"/>
          </w:tcPr>
          <w:p>
            <w:pPr>
              <w:jc w:val="center"/>
              <w:spacing w:after="0"/>
              <w:rPr>
                <w:sz w:val="20"/>
                <w:szCs w:val="20"/>
                <w:color w:val="auto"/>
              </w:rPr>
            </w:pPr>
            <w:r>
              <w:rPr>
                <w:rFonts w:ascii="Arial" w:cs="Arial" w:eastAsia="Arial" w:hAnsi="Arial"/>
                <w:sz w:val="14"/>
                <w:szCs w:val="14"/>
                <w:b w:val="1"/>
                <w:bCs w:val="1"/>
                <w:color w:val="auto"/>
                <w:w w:val="94"/>
              </w:rPr>
              <w:t>Amount</w:t>
            </w: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3"/>
              </w:rPr>
              <w:t>Proposed Maximum</w:t>
            </w:r>
          </w:p>
        </w:tc>
        <w:tc>
          <w:tcPr>
            <w:tcW w:w="160" w:type="dxa"/>
            <w:vAlign w:val="bottom"/>
          </w:tcPr>
          <w:p>
            <w:pPr>
              <w:spacing w:after="0"/>
              <w:rPr>
                <w:sz w:val="14"/>
                <w:szCs w:val="14"/>
                <w:color w:val="auto"/>
              </w:rPr>
            </w:pPr>
          </w:p>
        </w:tc>
        <w:tc>
          <w:tcPr>
            <w:tcW w:w="18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9"/>
              </w:rPr>
              <w:t>Proposed</w:t>
            </w:r>
          </w:p>
        </w:tc>
        <w:tc>
          <w:tcPr>
            <w:tcW w:w="200" w:type="dxa"/>
            <w:vAlign w:val="bottom"/>
          </w:tcPr>
          <w:p>
            <w:pPr>
              <w:spacing w:after="0"/>
              <w:rPr>
                <w:sz w:val="14"/>
                <w:szCs w:val="14"/>
                <w:color w:val="auto"/>
              </w:rPr>
            </w:pPr>
          </w:p>
        </w:tc>
        <w:tc>
          <w:tcPr>
            <w:tcW w:w="1200" w:type="dxa"/>
            <w:vAlign w:val="bottom"/>
          </w:tcPr>
          <w:p>
            <w:pPr>
              <w:jc w:val="center"/>
              <w:ind w:right="99"/>
              <w:spacing w:after="0"/>
              <w:rPr>
                <w:sz w:val="20"/>
                <w:szCs w:val="20"/>
                <w:color w:val="auto"/>
              </w:rPr>
            </w:pPr>
            <w:r>
              <w:rPr>
                <w:rFonts w:ascii="Arial" w:cs="Arial" w:eastAsia="Arial" w:hAnsi="Arial"/>
                <w:sz w:val="14"/>
                <w:szCs w:val="14"/>
                <w:b w:val="1"/>
                <w:bCs w:val="1"/>
                <w:color w:val="auto"/>
                <w:w w:val="94"/>
              </w:rPr>
              <w:t>Amount of</w:t>
            </w:r>
          </w:p>
        </w:tc>
      </w:tr>
      <w:tr>
        <w:trPr>
          <w:trHeight w:val="149"/>
        </w:trPr>
        <w:tc>
          <w:tcPr>
            <w:tcW w:w="20" w:type="dxa"/>
            <w:vAlign w:val="bottom"/>
          </w:tcPr>
          <w:p>
            <w:pPr>
              <w:spacing w:after="0"/>
              <w:rPr>
                <w:sz w:val="12"/>
                <w:szCs w:val="12"/>
                <w:color w:val="auto"/>
              </w:rPr>
            </w:pPr>
          </w:p>
        </w:tc>
        <w:tc>
          <w:tcPr>
            <w:tcW w:w="41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Securities To</w:t>
            </w: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To Be</w:t>
            </w:r>
          </w:p>
        </w:tc>
        <w:tc>
          <w:tcPr>
            <w:tcW w:w="2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4"/>
              </w:rPr>
              <w:t>Offering Price</w:t>
            </w:r>
          </w:p>
        </w:tc>
        <w:tc>
          <w:tcPr>
            <w:tcW w:w="160" w:type="dxa"/>
            <w:vAlign w:val="bottom"/>
          </w:tcPr>
          <w:p>
            <w:pPr>
              <w:spacing w:after="0"/>
              <w:rPr>
                <w:sz w:val="12"/>
                <w:szCs w:val="12"/>
                <w:color w:val="auto"/>
              </w:rPr>
            </w:pPr>
          </w:p>
        </w:tc>
        <w:tc>
          <w:tcPr>
            <w:tcW w:w="1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4"/>
              </w:rPr>
              <w:t>Maximum Aggregate</w:t>
            </w:r>
          </w:p>
        </w:tc>
        <w:tc>
          <w:tcPr>
            <w:tcW w:w="200" w:type="dxa"/>
            <w:vAlign w:val="bottom"/>
          </w:tcPr>
          <w:p>
            <w:pPr>
              <w:spacing w:after="0"/>
              <w:rPr>
                <w:sz w:val="12"/>
                <w:szCs w:val="12"/>
                <w:color w:val="auto"/>
              </w:rPr>
            </w:pPr>
          </w:p>
        </w:tc>
        <w:tc>
          <w:tcPr>
            <w:tcW w:w="120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Registration</w:t>
            </w:r>
          </w:p>
        </w:tc>
      </w:tr>
      <w:tr>
        <w:trPr>
          <w:trHeight w:val="171"/>
        </w:trPr>
        <w:tc>
          <w:tcPr>
            <w:tcW w:w="20" w:type="dxa"/>
            <w:vAlign w:val="bottom"/>
          </w:tcPr>
          <w:p>
            <w:pPr>
              <w:spacing w:after="0"/>
              <w:rPr>
                <w:sz w:val="14"/>
                <w:szCs w:val="14"/>
                <w:color w:val="auto"/>
              </w:rPr>
            </w:pPr>
          </w:p>
        </w:tc>
        <w:tc>
          <w:tcPr>
            <w:tcW w:w="41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Be Registered</w:t>
            </w:r>
          </w:p>
        </w:tc>
        <w:tc>
          <w:tcPr>
            <w:tcW w:w="1600" w:type="dxa"/>
            <w:vAlign w:val="bottom"/>
          </w:tcPr>
          <w:p>
            <w:pPr>
              <w:jc w:val="center"/>
              <w:spacing w:after="0"/>
              <w:rPr>
                <w:sz w:val="20"/>
                <w:szCs w:val="20"/>
                <w:color w:val="auto"/>
              </w:rPr>
            </w:pPr>
            <w:r>
              <w:rPr>
                <w:rFonts w:ascii="Arial" w:cs="Arial" w:eastAsia="Arial" w:hAnsi="Arial"/>
                <w:sz w:val="14"/>
                <w:szCs w:val="14"/>
                <w:b w:val="1"/>
                <w:bCs w:val="1"/>
                <w:color w:val="auto"/>
                <w:w w:val="91"/>
              </w:rPr>
              <w:t>Registered(1)</w:t>
            </w: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2"/>
              </w:rPr>
              <w:t>per Share(2)</w:t>
            </w:r>
          </w:p>
        </w:tc>
        <w:tc>
          <w:tcPr>
            <w:tcW w:w="160" w:type="dxa"/>
            <w:vAlign w:val="bottom"/>
          </w:tcPr>
          <w:p>
            <w:pPr>
              <w:spacing w:after="0"/>
              <w:rPr>
                <w:sz w:val="14"/>
                <w:szCs w:val="14"/>
                <w:color w:val="auto"/>
              </w:rPr>
            </w:pPr>
          </w:p>
        </w:tc>
        <w:tc>
          <w:tcPr>
            <w:tcW w:w="18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6"/>
              </w:rPr>
              <w:t>Offering Price(2)</w:t>
            </w:r>
          </w:p>
        </w:tc>
        <w:tc>
          <w:tcPr>
            <w:tcW w:w="200" w:type="dxa"/>
            <w:vAlign w:val="bottom"/>
          </w:tcPr>
          <w:p>
            <w:pPr>
              <w:spacing w:after="0"/>
              <w:rPr>
                <w:sz w:val="14"/>
                <w:szCs w:val="14"/>
                <w:color w:val="auto"/>
              </w:rPr>
            </w:pPr>
          </w:p>
        </w:tc>
        <w:tc>
          <w:tcPr>
            <w:tcW w:w="1200" w:type="dxa"/>
            <w:vAlign w:val="bottom"/>
          </w:tcPr>
          <w:p>
            <w:pPr>
              <w:jc w:val="center"/>
              <w:ind w:right="99"/>
              <w:spacing w:after="0"/>
              <w:rPr>
                <w:sz w:val="20"/>
                <w:szCs w:val="20"/>
                <w:color w:val="auto"/>
              </w:rPr>
            </w:pPr>
            <w:r>
              <w:rPr>
                <w:rFonts w:ascii="Arial" w:cs="Arial" w:eastAsia="Arial" w:hAnsi="Arial"/>
                <w:sz w:val="14"/>
                <w:szCs w:val="14"/>
                <w:b w:val="1"/>
                <w:bCs w:val="1"/>
                <w:color w:val="auto"/>
                <w:w w:val="90"/>
              </w:rPr>
              <w:t>Fee</w:t>
            </w:r>
          </w:p>
        </w:tc>
      </w:tr>
      <w:tr>
        <w:trPr>
          <w:trHeight w:val="195"/>
        </w:trPr>
        <w:tc>
          <w:tcPr>
            <w:tcW w:w="20" w:type="dxa"/>
            <w:vAlign w:val="bottom"/>
          </w:tcPr>
          <w:p>
            <w:pPr>
              <w:spacing w:after="0"/>
              <w:rPr>
                <w:sz w:val="16"/>
                <w:szCs w:val="16"/>
                <w:color w:val="auto"/>
              </w:rPr>
            </w:pPr>
          </w:p>
        </w:tc>
        <w:tc>
          <w:tcPr>
            <w:tcW w:w="39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8"/>
              </w:rPr>
              <w:t>Common Stock, par value $0.002 per share: to be</w:t>
            </w:r>
          </w:p>
        </w:tc>
        <w:tc>
          <w:tcPr>
            <w:tcW w:w="220" w:type="dxa"/>
            <w:vAlign w:val="bottom"/>
          </w:tcPr>
          <w:p>
            <w:pPr>
              <w:spacing w:after="0"/>
              <w:rPr>
                <w:sz w:val="16"/>
                <w:szCs w:val="16"/>
                <w:color w:val="auto"/>
              </w:rPr>
            </w:pPr>
          </w:p>
        </w:tc>
        <w:tc>
          <w:tcPr>
            <w:tcW w:w="1600" w:type="dxa"/>
            <w:vAlign w:val="bottom"/>
            <w:tcBorders>
              <w:top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140" w:type="dxa"/>
            <w:vAlign w:val="bottom"/>
            <w:tcBorders>
              <w:top w:val="single" w:sz="8" w:color="auto"/>
            </w:tcBorders>
          </w:tcPr>
          <w:p>
            <w:pPr>
              <w:spacing w:after="0"/>
              <w:rPr>
                <w:sz w:val="16"/>
                <w:szCs w:val="16"/>
                <w:color w:val="auto"/>
              </w:rPr>
            </w:pPr>
          </w:p>
        </w:tc>
        <w:tc>
          <w:tcPr>
            <w:tcW w:w="1460" w:type="dxa"/>
            <w:vAlign w:val="bottom"/>
            <w:tcBorders>
              <w:top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Borders>
              <w:top w:val="single" w:sz="8" w:color="auto"/>
            </w:tcBorders>
          </w:tcPr>
          <w:p>
            <w:pPr>
              <w:spacing w:after="0"/>
              <w:rPr>
                <w:sz w:val="16"/>
                <w:szCs w:val="16"/>
                <w:color w:val="auto"/>
              </w:rPr>
            </w:pPr>
          </w:p>
        </w:tc>
        <w:tc>
          <w:tcPr>
            <w:tcW w:w="1660" w:type="dxa"/>
            <w:vAlign w:val="bottom"/>
            <w:tcBorders>
              <w:top w:val="single" w:sz="8" w:color="auto"/>
            </w:tcBorders>
          </w:tcPr>
          <w:p>
            <w:pPr>
              <w:spacing w:after="0"/>
              <w:rPr>
                <w:sz w:val="16"/>
                <w:szCs w:val="16"/>
                <w:color w:val="auto"/>
              </w:rPr>
            </w:pPr>
          </w:p>
        </w:tc>
        <w:tc>
          <w:tcPr>
            <w:tcW w:w="180" w:type="dxa"/>
            <w:vAlign w:val="bottom"/>
          </w:tcPr>
          <w:p>
            <w:pPr>
              <w:spacing w:after="0"/>
              <w:rPr>
                <w:sz w:val="16"/>
                <w:szCs w:val="16"/>
                <w:color w:val="auto"/>
              </w:rPr>
            </w:pPr>
          </w:p>
        </w:tc>
        <w:tc>
          <w:tcPr>
            <w:tcW w:w="200" w:type="dxa"/>
            <w:vAlign w:val="bottom"/>
            <w:tcBorders>
              <w:top w:val="single" w:sz="8" w:color="auto"/>
            </w:tcBorders>
          </w:tcPr>
          <w:p>
            <w:pPr>
              <w:spacing w:after="0"/>
              <w:rPr>
                <w:sz w:val="16"/>
                <w:szCs w:val="16"/>
                <w:color w:val="auto"/>
              </w:rPr>
            </w:pPr>
          </w:p>
        </w:tc>
        <w:tc>
          <w:tcPr>
            <w:tcW w:w="1200" w:type="dxa"/>
            <w:vAlign w:val="bottom"/>
            <w:tcBorders>
              <w:top w:val="single" w:sz="8" w:color="auto"/>
            </w:tcBorders>
          </w:tcPr>
          <w:p>
            <w:pPr>
              <w:spacing w:after="0"/>
              <w:rPr>
                <w:sz w:val="16"/>
                <w:szCs w:val="16"/>
                <w:color w:val="auto"/>
              </w:rPr>
            </w:pPr>
          </w:p>
        </w:tc>
      </w:tr>
      <w:tr>
        <w:trPr>
          <w:trHeight w:val="216"/>
        </w:trPr>
        <w:tc>
          <w:tcPr>
            <w:tcW w:w="20" w:type="dxa"/>
            <w:vAlign w:val="bottom"/>
          </w:tcPr>
          <w:p>
            <w:pPr>
              <w:spacing w:after="0"/>
              <w:rPr>
                <w:sz w:val="18"/>
                <w:szCs w:val="18"/>
                <w:color w:val="auto"/>
              </w:rPr>
            </w:pPr>
          </w:p>
        </w:tc>
        <w:tc>
          <w:tcPr>
            <w:tcW w:w="4160" w:type="dxa"/>
            <w:vAlign w:val="bottom"/>
            <w:gridSpan w:val="2"/>
          </w:tcPr>
          <w:p>
            <w:pPr>
              <w:ind w:left="160"/>
              <w:spacing w:after="0"/>
              <w:rPr>
                <w:sz w:val="20"/>
                <w:szCs w:val="20"/>
                <w:color w:val="auto"/>
              </w:rPr>
            </w:pPr>
            <w:r>
              <w:rPr>
                <w:rFonts w:ascii="Arial" w:cs="Arial" w:eastAsia="Arial" w:hAnsi="Arial"/>
                <w:sz w:val="18"/>
                <w:szCs w:val="18"/>
                <w:color w:val="auto"/>
              </w:rPr>
              <w:t>issued under the Marvell Technology Group Ltd.</w:t>
            </w:r>
          </w:p>
        </w:tc>
        <w:tc>
          <w:tcPr>
            <w:tcW w:w="1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160" w:type="dxa"/>
            <w:vAlign w:val="bottom"/>
            <w:gridSpan w:val="2"/>
          </w:tcPr>
          <w:p>
            <w:pPr>
              <w:ind w:left="160"/>
              <w:spacing w:after="0"/>
              <w:rPr>
                <w:sz w:val="20"/>
                <w:szCs w:val="20"/>
                <w:color w:val="auto"/>
              </w:rPr>
            </w:pPr>
            <w:r>
              <w:rPr>
                <w:rFonts w:ascii="Arial" w:cs="Arial" w:eastAsia="Arial" w:hAnsi="Arial"/>
                <w:sz w:val="18"/>
                <w:szCs w:val="18"/>
                <w:color w:val="auto"/>
              </w:rPr>
              <w:t>Amended and Restated 1995 Stock Option Plan</w:t>
            </w:r>
          </w:p>
        </w:tc>
        <w:tc>
          <w:tcPr>
            <w:tcW w:w="1600" w:type="dxa"/>
            <w:vAlign w:val="bottom"/>
          </w:tcPr>
          <w:p>
            <w:pPr>
              <w:jc w:val="center"/>
              <w:spacing w:after="0"/>
              <w:rPr>
                <w:sz w:val="20"/>
                <w:szCs w:val="20"/>
                <w:color w:val="auto"/>
              </w:rPr>
            </w:pPr>
            <w:r>
              <w:rPr>
                <w:rFonts w:ascii="Arial" w:cs="Arial" w:eastAsia="Arial" w:hAnsi="Arial"/>
                <w:sz w:val="18"/>
                <w:szCs w:val="18"/>
                <w:color w:val="auto"/>
                <w:w w:val="87"/>
              </w:rPr>
              <w:t>14,569,409 shares</w:t>
            </w:r>
          </w:p>
        </w:tc>
        <w:tc>
          <w:tcPr>
            <w:tcW w:w="3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700" w:type="dxa"/>
            <w:vAlign w:val="bottom"/>
            <w:gridSpan w:val="2"/>
          </w:tcPr>
          <w:p>
            <w:pPr>
              <w:jc w:val="right"/>
              <w:ind w:right="240"/>
              <w:spacing w:after="0"/>
              <w:rPr>
                <w:sz w:val="20"/>
                <w:szCs w:val="20"/>
                <w:color w:val="auto"/>
              </w:rPr>
            </w:pPr>
            <w:r>
              <w:rPr>
                <w:rFonts w:ascii="Arial" w:cs="Arial" w:eastAsia="Arial" w:hAnsi="Arial"/>
                <w:sz w:val="18"/>
                <w:szCs w:val="18"/>
                <w:color w:val="auto"/>
              </w:rPr>
              <w:t>57.505</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840" w:type="dxa"/>
            <w:vAlign w:val="bottom"/>
            <w:gridSpan w:val="2"/>
          </w:tcPr>
          <w:p>
            <w:pPr>
              <w:jc w:val="right"/>
              <w:ind w:right="180"/>
              <w:spacing w:after="0"/>
              <w:rPr>
                <w:sz w:val="20"/>
                <w:szCs w:val="20"/>
                <w:color w:val="auto"/>
              </w:rPr>
            </w:pPr>
            <w:r>
              <w:rPr>
                <w:rFonts w:ascii="Arial" w:cs="Arial" w:eastAsia="Arial" w:hAnsi="Arial"/>
                <w:sz w:val="18"/>
                <w:szCs w:val="18"/>
                <w:color w:val="auto"/>
              </w:rPr>
              <w:t>837,813,697.78</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89,646.07</w:t>
            </w:r>
          </w:p>
        </w:tc>
      </w:tr>
      <w:tr>
        <w:trPr>
          <w:trHeight w:val="216"/>
        </w:trPr>
        <w:tc>
          <w:tcPr>
            <w:tcW w:w="4180" w:type="dxa"/>
            <w:vAlign w:val="bottom"/>
            <w:gridSpan w:val="3"/>
          </w:tcPr>
          <w:p>
            <w:pPr>
              <w:spacing w:after="0"/>
              <w:rPr>
                <w:sz w:val="20"/>
                <w:szCs w:val="20"/>
                <w:color w:val="auto"/>
              </w:rPr>
            </w:pPr>
            <w:r>
              <w:rPr>
                <w:rFonts w:ascii="Arial" w:cs="Arial" w:eastAsia="Arial" w:hAnsi="Arial"/>
                <w:sz w:val="18"/>
                <w:szCs w:val="18"/>
                <w:color w:val="auto"/>
              </w:rPr>
              <w:t>Common Stock, par value $0.002 per share: to be</w:t>
            </w:r>
          </w:p>
        </w:tc>
        <w:tc>
          <w:tcPr>
            <w:tcW w:w="1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160" w:type="dxa"/>
            <w:vAlign w:val="bottom"/>
            <w:gridSpan w:val="2"/>
          </w:tcPr>
          <w:p>
            <w:pPr>
              <w:ind w:left="160"/>
              <w:spacing w:after="0"/>
              <w:rPr>
                <w:sz w:val="20"/>
                <w:szCs w:val="20"/>
                <w:color w:val="auto"/>
              </w:rPr>
            </w:pPr>
            <w:r>
              <w:rPr>
                <w:rFonts w:ascii="Arial" w:cs="Arial" w:eastAsia="Arial" w:hAnsi="Arial"/>
                <w:sz w:val="18"/>
                <w:szCs w:val="18"/>
                <w:color w:val="auto"/>
              </w:rPr>
              <w:t>issued under the Marvell Technology Group Ltd.</w:t>
            </w:r>
          </w:p>
        </w:tc>
        <w:tc>
          <w:tcPr>
            <w:tcW w:w="1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4160" w:type="dxa"/>
            <w:vAlign w:val="bottom"/>
            <w:gridSpan w:val="2"/>
          </w:tcPr>
          <w:p>
            <w:pPr>
              <w:ind w:left="160"/>
              <w:spacing w:after="0"/>
              <w:rPr>
                <w:sz w:val="20"/>
                <w:szCs w:val="20"/>
                <w:color w:val="auto"/>
              </w:rPr>
            </w:pPr>
            <w:r>
              <w:rPr>
                <w:rFonts w:ascii="Arial" w:cs="Arial" w:eastAsia="Arial" w:hAnsi="Arial"/>
                <w:sz w:val="18"/>
                <w:szCs w:val="18"/>
                <w:color w:val="auto"/>
              </w:rPr>
              <w:t>Amended 2000 Employee Stock Purchase Plan</w:t>
            </w:r>
          </w:p>
        </w:tc>
        <w:tc>
          <w:tcPr>
            <w:tcW w:w="1600" w:type="dxa"/>
            <w:vAlign w:val="bottom"/>
          </w:tcPr>
          <w:p>
            <w:pPr>
              <w:jc w:val="center"/>
              <w:spacing w:after="0"/>
              <w:rPr>
                <w:sz w:val="20"/>
                <w:szCs w:val="20"/>
                <w:color w:val="auto"/>
              </w:rPr>
            </w:pPr>
            <w:r>
              <w:rPr>
                <w:rFonts w:ascii="Arial" w:cs="Arial" w:eastAsia="Arial" w:hAnsi="Arial"/>
                <w:sz w:val="18"/>
                <w:szCs w:val="18"/>
                <w:color w:val="auto"/>
                <w:w w:val="87"/>
              </w:rPr>
              <w:t>4,000,000 shares</w:t>
            </w:r>
          </w:p>
        </w:tc>
        <w:tc>
          <w:tcPr>
            <w:tcW w:w="3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700" w:type="dxa"/>
            <w:vAlign w:val="bottom"/>
            <w:gridSpan w:val="2"/>
          </w:tcPr>
          <w:p>
            <w:pPr>
              <w:jc w:val="right"/>
              <w:ind w:right="240"/>
              <w:spacing w:after="0"/>
              <w:rPr>
                <w:sz w:val="20"/>
                <w:szCs w:val="20"/>
                <w:color w:val="auto"/>
              </w:rPr>
            </w:pPr>
            <w:r>
              <w:rPr>
                <w:rFonts w:ascii="Arial" w:cs="Arial" w:eastAsia="Arial" w:hAnsi="Arial"/>
                <w:sz w:val="18"/>
                <w:szCs w:val="18"/>
                <w:color w:val="auto"/>
              </w:rPr>
              <w:t>57.505</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840" w:type="dxa"/>
            <w:vAlign w:val="bottom"/>
            <w:gridSpan w:val="2"/>
          </w:tcPr>
          <w:p>
            <w:pPr>
              <w:jc w:val="right"/>
              <w:ind w:right="180"/>
              <w:spacing w:after="0"/>
              <w:rPr>
                <w:sz w:val="20"/>
                <w:szCs w:val="20"/>
                <w:color w:val="auto"/>
              </w:rPr>
            </w:pPr>
            <w:r>
              <w:rPr>
                <w:rFonts w:ascii="Arial" w:cs="Arial" w:eastAsia="Arial" w:hAnsi="Arial"/>
                <w:sz w:val="18"/>
                <w:szCs w:val="18"/>
                <w:color w:val="auto"/>
              </w:rPr>
              <w:t>230,020,000.00</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24,612.14</w:t>
            </w:r>
          </w:p>
        </w:tc>
      </w:tr>
      <w:tr>
        <w:trPr>
          <w:trHeight w:val="210"/>
        </w:trPr>
        <w:tc>
          <w:tcPr>
            <w:tcW w:w="4180" w:type="dxa"/>
            <w:vAlign w:val="bottom"/>
            <w:gridSpan w:val="3"/>
          </w:tcPr>
          <w:p>
            <w:pPr>
              <w:spacing w:after="0"/>
              <w:rPr>
                <w:sz w:val="20"/>
                <w:szCs w:val="20"/>
                <w:color w:val="auto"/>
              </w:rPr>
            </w:pPr>
            <w:r>
              <w:rPr>
                <w:rFonts w:ascii="Arial" w:cs="Arial" w:eastAsia="Arial" w:hAnsi="Arial"/>
                <w:sz w:val="18"/>
                <w:szCs w:val="18"/>
                <w:color w:val="auto"/>
              </w:rPr>
              <w:t>Total Registration Fee</w:t>
            </w:r>
          </w:p>
        </w:tc>
        <w:tc>
          <w:tcPr>
            <w:tcW w:w="1600" w:type="dxa"/>
            <w:vAlign w:val="bottom"/>
            <w:tcBorders>
              <w:top w:val="single" w:sz="8" w:color="auto"/>
              <w:bottom w:val="single" w:sz="8" w:color="auto"/>
            </w:tcBorders>
          </w:tcPr>
          <w:p>
            <w:pPr>
              <w:jc w:val="center"/>
              <w:spacing w:after="0"/>
              <w:rPr>
                <w:sz w:val="20"/>
                <w:szCs w:val="20"/>
                <w:color w:val="auto"/>
              </w:rPr>
            </w:pPr>
            <w:r>
              <w:rPr>
                <w:rFonts w:ascii="Arial" w:cs="Arial" w:eastAsia="Arial" w:hAnsi="Arial"/>
                <w:sz w:val="18"/>
                <w:szCs w:val="18"/>
                <w:color w:val="auto"/>
              </w:rPr>
              <w:t>N/A</w:t>
            </w:r>
          </w:p>
        </w:tc>
        <w:tc>
          <w:tcPr>
            <w:tcW w:w="240" w:type="dxa"/>
            <w:vAlign w:val="bottom"/>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460" w:type="dxa"/>
            <w:vAlign w:val="bottom"/>
            <w:tcBorders>
              <w:top w:val="single" w:sz="8" w:color="auto"/>
              <w:bottom w:val="single" w:sz="8" w:color="auto"/>
            </w:tcBorders>
          </w:tcPr>
          <w:p>
            <w:pPr>
              <w:jc w:val="center"/>
              <w:ind w:right="59"/>
              <w:spacing w:after="0"/>
              <w:rPr>
                <w:sz w:val="20"/>
                <w:szCs w:val="20"/>
                <w:color w:val="auto"/>
              </w:rPr>
            </w:pPr>
            <w:r>
              <w:rPr>
                <w:rFonts w:ascii="Arial" w:cs="Arial" w:eastAsia="Arial" w:hAnsi="Arial"/>
                <w:sz w:val="18"/>
                <w:szCs w:val="18"/>
                <w:color w:val="auto"/>
              </w:rPr>
              <w:t>N/A</w:t>
            </w:r>
          </w:p>
        </w:tc>
        <w:tc>
          <w:tcPr>
            <w:tcW w:w="240" w:type="dxa"/>
            <w:vAlign w:val="bottom"/>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1660" w:type="dxa"/>
            <w:vAlign w:val="bottom"/>
            <w:tcBorders>
              <w:top w:val="single" w:sz="8" w:color="auto"/>
              <w:bottom w:val="single" w:sz="8" w:color="auto"/>
            </w:tcBorders>
          </w:tcPr>
          <w:p>
            <w:pPr>
              <w:jc w:val="center"/>
              <w:ind w:right="79"/>
              <w:spacing w:after="0"/>
              <w:rPr>
                <w:sz w:val="20"/>
                <w:szCs w:val="20"/>
                <w:color w:val="auto"/>
              </w:rPr>
            </w:pPr>
            <w:r>
              <w:rPr>
                <w:rFonts w:ascii="Arial" w:cs="Arial" w:eastAsia="Arial" w:hAnsi="Arial"/>
                <w:sz w:val="18"/>
                <w:szCs w:val="18"/>
                <w:color w:val="auto"/>
                <w:w w:val="99"/>
              </w:rPr>
              <w:t>N/A</w:t>
            </w:r>
          </w:p>
        </w:tc>
        <w:tc>
          <w:tcPr>
            <w:tcW w:w="18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114,258.21</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416560</wp:posOffset>
            </wp:positionH>
            <wp:positionV relativeFrom="paragraph">
              <wp:posOffset>205740</wp:posOffset>
            </wp:positionV>
            <wp:extent cx="172402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724025" cy="8890"/>
                    </a:xfrm>
                    <a:prstGeom prst="rect">
                      <a:avLst/>
                    </a:prstGeom>
                    <a:noFill/>
                  </pic:spPr>
                </pic:pic>
              </a:graphicData>
            </a:graphic>
          </wp:anchor>
        </w:drawing>
      </w:r>
    </w:p>
    <w:p>
      <w:pPr>
        <w:spacing w:after="0" w:line="200" w:lineRule="exact"/>
        <w:rPr>
          <w:sz w:val="24"/>
          <w:szCs w:val="24"/>
          <w:color w:val="auto"/>
        </w:rPr>
      </w:pPr>
    </w:p>
    <w:p>
      <w:pPr>
        <w:spacing w:after="0" w:line="211" w:lineRule="exact"/>
        <w:rPr>
          <w:sz w:val="24"/>
          <w:szCs w:val="24"/>
          <w:color w:val="auto"/>
        </w:rPr>
      </w:pPr>
    </w:p>
    <w:p>
      <w:pPr>
        <w:jc w:val="both"/>
        <w:ind w:left="660" w:hanging="652"/>
        <w:spacing w:after="0" w:line="264" w:lineRule="auto"/>
        <w:tabs>
          <w:tab w:leader="none" w:pos="681" w:val="left"/>
        </w:tabs>
        <w:numPr>
          <w:ilvl w:val="0"/>
          <w:numId w:val="1"/>
        </w:numPr>
        <w:rPr>
          <w:rFonts w:ascii="Arial" w:cs="Arial" w:eastAsia="Arial" w:hAnsi="Arial"/>
          <w:sz w:val="18"/>
          <w:szCs w:val="18"/>
          <w:color w:val="auto"/>
        </w:rPr>
      </w:pPr>
      <w:r>
        <w:rPr>
          <w:rFonts w:ascii="Arial" w:cs="Arial" w:eastAsia="Arial" w:hAnsi="Arial"/>
          <w:sz w:val="18"/>
          <w:szCs w:val="18"/>
          <w:color w:val="auto"/>
        </w:rPr>
        <w:t>Pursuant to Rule 416(a) of the Securities Act, this Registration Statement also covers shares issued pursuant to antidilution provisions set forth in the Marvell Technology Group Ltd. Amended and Restated 1995 Stock Option Plan and set forth in the Marvell Technology Group Ltd. Amended 2000 Employee Stock Purchase Plan.</w:t>
      </w:r>
    </w:p>
    <w:p>
      <w:pPr>
        <w:spacing w:after="0" w:line="181" w:lineRule="exact"/>
        <w:rPr>
          <w:rFonts w:ascii="Arial" w:cs="Arial" w:eastAsia="Arial" w:hAnsi="Arial"/>
          <w:sz w:val="18"/>
          <w:szCs w:val="18"/>
          <w:color w:val="auto"/>
        </w:rPr>
      </w:pPr>
    </w:p>
    <w:p>
      <w:pPr>
        <w:ind w:left="660" w:right="140" w:hanging="652"/>
        <w:spacing w:after="0" w:line="286" w:lineRule="auto"/>
        <w:tabs>
          <w:tab w:leader="none" w:pos="681" w:val="left"/>
        </w:tabs>
        <w:numPr>
          <w:ilvl w:val="0"/>
          <w:numId w:val="1"/>
        </w:numPr>
        <w:rPr>
          <w:rFonts w:ascii="Arial" w:cs="Arial" w:eastAsia="Arial" w:hAnsi="Arial"/>
          <w:sz w:val="17"/>
          <w:szCs w:val="17"/>
          <w:color w:val="auto"/>
        </w:rPr>
      </w:pPr>
      <w:r>
        <w:rPr>
          <w:rFonts w:ascii="Arial" w:cs="Arial" w:eastAsia="Arial" w:hAnsi="Arial"/>
          <w:sz w:val="17"/>
          <w:szCs w:val="17"/>
          <w:color w:val="auto"/>
        </w:rPr>
        <w:t>Estimated pursuant to Rule 457(h)(1) and 457(c) under the Securities Act of 1933 solely for the purpose of calculating the registration fee, based upon the average of the high and low sales prices of Marvell Technology Group Ltd. common stock, as reported on the Nasdaq National Market on April 11, 2006. Offering prices are estimated solely for the purpose of calculating the registration fee.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182880</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39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The Registration Statement shall become effective upon filing in accordance with Rule 462 under 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34290"/>
                    </a:xfrm>
                    <a:prstGeom prst="rect">
                      <a:avLst/>
                    </a:prstGeom>
                    <a:noFill/>
                  </pic:spPr>
                </pic:pic>
              </a:graphicData>
            </a:graphic>
          </wp:anchor>
        </w:drawing>
      </w:r>
    </w:p>
    <w:p>
      <w:pPr>
        <w:sectPr>
          <w:pgSz w:w="11900" w:h="16838" w:orient="portrait"/>
          <w:cols w:equalWidth="0" w:num="1">
            <w:col w:w="11400"/>
          </w:cols>
          <w:pgMar w:left="240" w:top="233" w:right="259" w:bottom="5" w:gutter="0" w:footer="0" w:header="0"/>
        </w:sectPr>
      </w:pPr>
    </w:p>
    <w:bookmarkStart w:id="1" w:name="page2"/>
    <w:bookmarkEnd w:id="1"/>
    <w:p>
      <w:pPr>
        <w:ind w:left="20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292735</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229" w:lineRule="exact"/>
        <w:rPr>
          <w:sz w:val="20"/>
          <w:szCs w:val="20"/>
          <w:color w:val="auto"/>
        </w:rPr>
      </w:pPr>
    </w:p>
    <w:p>
      <w:pPr>
        <w:ind w:right="420" w:firstLine="648"/>
        <w:spacing w:after="0" w:line="277" w:lineRule="auto"/>
        <w:rPr>
          <w:sz w:val="20"/>
          <w:szCs w:val="20"/>
          <w:color w:val="auto"/>
        </w:rPr>
      </w:pPr>
      <w:r>
        <w:rPr>
          <w:rFonts w:ascii="Arial" w:cs="Arial" w:eastAsia="Arial" w:hAnsi="Arial"/>
          <w:sz w:val="18"/>
          <w:szCs w:val="18"/>
          <w:color w:val="auto"/>
        </w:rPr>
        <w:t>This Registration Statement is being filed for the purpose of increasing the number of securities of the same class as other securities for which a Registration Statement of the Registrant on From S-8 relating to the same employee benefit plans is effective.</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7"/>
          <w:szCs w:val="17"/>
          <w:color w:val="auto"/>
        </w:rPr>
        <w:t>The Registrant’s Form S-8 Registration Statements filed with the Securities and Exchange Commission (the “Commission”) on June 26, 2000</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(Registration No. 333-40152), February 21, 2001 (Registration No. 333-55974), May 1, 2002 (Registration No. 333-87322), May 2, 2003 (Registration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No. 333-104925), August 28, 2003 (Registration No. 333-108334), April 13, 2004 (Registration No. 333-114434) and April 14, 2005 (Registration No. 333-</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124072), each of which relates to the Registrant’s Amended and Restated 1995 Stock Option Plan, are incorporated herein by reference and made a part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hereof, and the Registrant’s Form S-8 Registration Statements filed with the Commission on June 26, 2000 (Registration No. 333-40154), February 28, 2001</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(Registration No. 333-56322), May 1, 2002 (Registration No. 333-87322), May 2, 2003 (Registration No. 333-104925), April 13, 2004 (Registration No. 333-</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114434), April 14, 2006 (Registration No. 333-124072) and April 14, 2005 (Registration No. 333-124072), each of which relates to the Registrant’s Amended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2000 Employee Stock Purchase Plan, are incorporated herein by reference and made a part 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 Incorporation of Documents by Reference.</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following documents filed by the Registrant with the Commission are incorporated by reference in this Registration Statement:</w:t>
      </w:r>
    </w:p>
    <w:p>
      <w:pPr>
        <w:spacing w:after="0" w:line="225" w:lineRule="exact"/>
        <w:rPr>
          <w:sz w:val="20"/>
          <w:szCs w:val="20"/>
          <w:color w:val="auto"/>
        </w:rPr>
      </w:pPr>
    </w:p>
    <w:p>
      <w:pPr>
        <w:ind w:left="1320" w:hanging="664"/>
        <w:spacing w:after="0"/>
        <w:tabs>
          <w:tab w:leader="none" w:pos="132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Annual Report on Form 10-K for the fiscal year ended January 28, 2006.</w:t>
      </w:r>
    </w:p>
    <w:p>
      <w:pPr>
        <w:spacing w:after="0" w:line="225" w:lineRule="exact"/>
        <w:rPr>
          <w:rFonts w:ascii="Arial" w:cs="Arial" w:eastAsia="Arial" w:hAnsi="Arial"/>
          <w:sz w:val="18"/>
          <w:szCs w:val="18"/>
          <w:color w:val="auto"/>
        </w:rPr>
      </w:pPr>
    </w:p>
    <w:p>
      <w:pPr>
        <w:ind w:left="1300" w:right="40" w:hanging="644"/>
        <w:spacing w:after="0" w:line="277" w:lineRule="auto"/>
        <w:tabs>
          <w:tab w:leader="none" w:pos="1307"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Current Report on Form 8-K/A filed with the Commission on January 13, 2006 and on Form 8-K filed with the Commission on February 21, 2006.</w:t>
      </w:r>
    </w:p>
    <w:p>
      <w:pPr>
        <w:spacing w:after="0" w:line="170" w:lineRule="exact"/>
        <w:rPr>
          <w:rFonts w:ascii="Arial" w:cs="Arial" w:eastAsia="Arial" w:hAnsi="Arial"/>
          <w:sz w:val="18"/>
          <w:szCs w:val="18"/>
          <w:color w:val="auto"/>
        </w:rPr>
      </w:pPr>
    </w:p>
    <w:p>
      <w:pPr>
        <w:ind w:left="1300" w:right="60" w:hanging="644"/>
        <w:spacing w:after="0" w:line="264" w:lineRule="auto"/>
        <w:tabs>
          <w:tab w:leader="none" w:pos="131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description of the Registrant’s Capital Stock contained in the Registrant’s Registration Statement on Form 8-A, filed June 22, 2000 pursuant to Section 12(g) of the Securities Exchange Act of 1934, including any amendment or report filed for the purpose of updating such description.</w:t>
      </w:r>
    </w:p>
    <w:p>
      <w:pPr>
        <w:spacing w:after="0" w:line="181"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In addition, all documents subsequently filed by the Registrant pursuant to Section 13(a), 13(c), 14 and 15(d) of the Securities Exchange Act of 1934 (excluding any portions thereof furnished under Items 2.02 and 7.01 of Form 8-K)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filing of such documents.</w:t>
      </w:r>
    </w:p>
    <w:p>
      <w:pPr>
        <w:spacing w:after="0" w:line="183"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10820" w:type="dxa"/>
            <w:vAlign w:val="bottom"/>
            <w:gridSpan w:val="3"/>
          </w:tcPr>
          <w:p>
            <w:pPr>
              <w:jc w:val="right"/>
              <w:ind w:right="10028"/>
              <w:spacing w:after="0"/>
              <w:rPr>
                <w:sz w:val="20"/>
                <w:szCs w:val="20"/>
                <w:color w:val="auto"/>
              </w:rPr>
            </w:pPr>
            <w:r>
              <w:rPr>
                <w:rFonts w:ascii="Arial" w:cs="Arial" w:eastAsia="Arial" w:hAnsi="Arial"/>
                <w:sz w:val="18"/>
                <w:szCs w:val="18"/>
                <w:b w:val="1"/>
                <w:bCs w:val="1"/>
                <w:color w:val="auto"/>
                <w:w w:val="93"/>
              </w:rPr>
              <w:t>Exhibits.</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42"/>
        </w:trPr>
        <w:tc>
          <w:tcPr>
            <w:tcW w:w="60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340" w:type="dxa"/>
            <w:vAlign w:val="bottom"/>
            <w:vMerge w:val="restart"/>
          </w:tcPr>
          <w:p>
            <w:pPr>
              <w:jc w:val="right"/>
              <w:ind w:right="4728"/>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Number</w:t>
            </w:r>
          </w:p>
        </w:tc>
        <w:tc>
          <w:tcPr>
            <w:tcW w:w="24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10340" w:type="dxa"/>
            <w:vAlign w:val="bottom"/>
            <w:tcBorders>
              <w:bottom w:val="single" w:sz="8" w:color="auto"/>
            </w:tcBorders>
            <w:vMerge w:val="continue"/>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58"/>
        </w:trPr>
        <w:tc>
          <w:tcPr>
            <w:tcW w:w="600" w:type="dxa"/>
            <w:vAlign w:val="bottom"/>
          </w:tcPr>
          <w:p>
            <w:pPr>
              <w:jc w:val="right"/>
              <w:spacing w:after="0"/>
              <w:rPr>
                <w:sz w:val="20"/>
                <w:szCs w:val="20"/>
                <w:color w:val="auto"/>
              </w:rPr>
            </w:pPr>
            <w:r>
              <w:rPr>
                <w:rFonts w:ascii="Arial" w:cs="Arial" w:eastAsia="Arial" w:hAnsi="Arial"/>
                <w:sz w:val="18"/>
                <w:szCs w:val="18"/>
                <w:color w:val="auto"/>
              </w:rPr>
              <w:t>5.1</w:t>
            </w:r>
          </w:p>
        </w:tc>
        <w:tc>
          <w:tcPr>
            <w:tcW w:w="240" w:type="dxa"/>
            <w:vAlign w:val="bottom"/>
          </w:tcPr>
          <w:p>
            <w:pPr>
              <w:spacing w:after="0"/>
              <w:rPr>
                <w:sz w:val="24"/>
                <w:szCs w:val="24"/>
                <w:color w:val="auto"/>
              </w:rPr>
            </w:pPr>
          </w:p>
        </w:tc>
        <w:tc>
          <w:tcPr>
            <w:tcW w:w="10580" w:type="dxa"/>
            <w:vAlign w:val="bottom"/>
            <w:gridSpan w:val="2"/>
          </w:tcPr>
          <w:p>
            <w:pPr>
              <w:ind w:left="240"/>
              <w:spacing w:after="0"/>
              <w:rPr>
                <w:sz w:val="20"/>
                <w:szCs w:val="20"/>
                <w:color w:val="auto"/>
              </w:rPr>
            </w:pPr>
            <w:r>
              <w:rPr>
                <w:rFonts w:ascii="Arial" w:cs="Arial" w:eastAsia="Arial" w:hAnsi="Arial"/>
                <w:sz w:val="18"/>
                <w:szCs w:val="18"/>
                <w:color w:val="auto"/>
              </w:rPr>
              <w:t>Opinion of Appleby Spurling Hunter.</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600" w:type="dxa"/>
            <w:vAlign w:val="bottom"/>
          </w:tcPr>
          <w:p>
            <w:pPr>
              <w:jc w:val="right"/>
              <w:spacing w:after="0"/>
              <w:rPr>
                <w:sz w:val="20"/>
                <w:szCs w:val="20"/>
                <w:color w:val="auto"/>
              </w:rPr>
            </w:pPr>
            <w:r>
              <w:rPr>
                <w:rFonts w:ascii="Arial" w:cs="Arial" w:eastAsia="Arial" w:hAnsi="Arial"/>
                <w:sz w:val="18"/>
                <w:szCs w:val="18"/>
                <w:color w:val="auto"/>
              </w:rPr>
              <w:t>23.1</w:t>
            </w:r>
          </w:p>
        </w:tc>
        <w:tc>
          <w:tcPr>
            <w:tcW w:w="240" w:type="dxa"/>
            <w:vAlign w:val="bottom"/>
          </w:tcPr>
          <w:p>
            <w:pPr>
              <w:spacing w:after="0"/>
              <w:rPr>
                <w:sz w:val="24"/>
                <w:szCs w:val="24"/>
                <w:color w:val="auto"/>
              </w:rPr>
            </w:pPr>
          </w:p>
        </w:tc>
        <w:tc>
          <w:tcPr>
            <w:tcW w:w="10580" w:type="dxa"/>
            <w:vAlign w:val="bottom"/>
            <w:gridSpan w:val="2"/>
          </w:tcPr>
          <w:p>
            <w:pPr>
              <w:ind w:left="24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600" w:type="dxa"/>
            <w:vAlign w:val="bottom"/>
          </w:tcPr>
          <w:p>
            <w:pPr>
              <w:jc w:val="right"/>
              <w:spacing w:after="0"/>
              <w:rPr>
                <w:sz w:val="20"/>
                <w:szCs w:val="20"/>
                <w:color w:val="auto"/>
              </w:rPr>
            </w:pPr>
            <w:r>
              <w:rPr>
                <w:rFonts w:ascii="Arial" w:cs="Arial" w:eastAsia="Arial" w:hAnsi="Arial"/>
                <w:sz w:val="18"/>
                <w:szCs w:val="18"/>
                <w:color w:val="auto"/>
              </w:rPr>
              <w:t>23.2</w:t>
            </w:r>
          </w:p>
        </w:tc>
        <w:tc>
          <w:tcPr>
            <w:tcW w:w="240" w:type="dxa"/>
            <w:vAlign w:val="bottom"/>
          </w:tcPr>
          <w:p>
            <w:pPr>
              <w:spacing w:after="0"/>
              <w:rPr>
                <w:sz w:val="24"/>
                <w:szCs w:val="24"/>
                <w:color w:val="auto"/>
              </w:rPr>
            </w:pPr>
          </w:p>
        </w:tc>
        <w:tc>
          <w:tcPr>
            <w:tcW w:w="10580" w:type="dxa"/>
            <w:vAlign w:val="bottom"/>
            <w:gridSpan w:val="2"/>
          </w:tcPr>
          <w:p>
            <w:pPr>
              <w:ind w:left="240"/>
              <w:spacing w:after="0"/>
              <w:rPr>
                <w:sz w:val="20"/>
                <w:szCs w:val="20"/>
                <w:color w:val="auto"/>
              </w:rPr>
            </w:pPr>
            <w:r>
              <w:rPr>
                <w:rFonts w:ascii="Arial" w:cs="Arial" w:eastAsia="Arial" w:hAnsi="Arial"/>
                <w:sz w:val="18"/>
                <w:szCs w:val="18"/>
                <w:color w:val="auto"/>
              </w:rPr>
              <w:t>Consent of Appleby Spurling Hunter (included in Exhibit 5.1 hereto).</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600" w:type="dxa"/>
            <w:vAlign w:val="bottom"/>
          </w:tcPr>
          <w:p>
            <w:pPr>
              <w:jc w:val="right"/>
              <w:spacing w:after="0"/>
              <w:rPr>
                <w:sz w:val="20"/>
                <w:szCs w:val="20"/>
                <w:color w:val="auto"/>
              </w:rPr>
            </w:pPr>
            <w:r>
              <w:rPr>
                <w:rFonts w:ascii="Arial" w:cs="Arial" w:eastAsia="Arial" w:hAnsi="Arial"/>
                <w:sz w:val="18"/>
                <w:szCs w:val="18"/>
                <w:color w:val="auto"/>
              </w:rPr>
              <w:t>24.1</w:t>
            </w:r>
          </w:p>
        </w:tc>
        <w:tc>
          <w:tcPr>
            <w:tcW w:w="240" w:type="dxa"/>
            <w:vAlign w:val="bottom"/>
          </w:tcPr>
          <w:p>
            <w:pPr>
              <w:spacing w:after="0"/>
              <w:rPr>
                <w:sz w:val="24"/>
                <w:szCs w:val="24"/>
                <w:color w:val="auto"/>
              </w:rPr>
            </w:pPr>
          </w:p>
        </w:tc>
        <w:tc>
          <w:tcPr>
            <w:tcW w:w="10580" w:type="dxa"/>
            <w:vAlign w:val="bottom"/>
            <w:gridSpan w:val="2"/>
          </w:tcPr>
          <w:p>
            <w:pPr>
              <w:ind w:left="240"/>
              <w:spacing w:after="0"/>
              <w:rPr>
                <w:sz w:val="20"/>
                <w:szCs w:val="20"/>
                <w:color w:val="auto"/>
              </w:rPr>
            </w:pPr>
            <w:r>
              <w:rPr>
                <w:rFonts w:ascii="Arial" w:cs="Arial" w:eastAsia="Arial" w:hAnsi="Arial"/>
                <w:sz w:val="18"/>
                <w:szCs w:val="18"/>
                <w:color w:val="auto"/>
              </w:rPr>
              <w:t>Power of Attorney (contained on signature page hereto).</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600" w:type="dxa"/>
            <w:vAlign w:val="bottom"/>
          </w:tcPr>
          <w:p>
            <w:pPr>
              <w:spacing w:after="0"/>
              <w:rPr>
                <w:sz w:val="24"/>
                <w:szCs w:val="24"/>
                <w:color w:val="auto"/>
              </w:rPr>
            </w:pPr>
          </w:p>
        </w:tc>
        <w:tc>
          <w:tcPr>
            <w:tcW w:w="10820" w:type="dxa"/>
            <w:vAlign w:val="bottom"/>
            <w:gridSpan w:val="3"/>
          </w:tcPr>
          <w:p>
            <w:pPr>
              <w:jc w:val="right"/>
              <w:ind w:right="5588"/>
              <w:spacing w:after="0"/>
              <w:rPr>
                <w:sz w:val="20"/>
                <w:szCs w:val="20"/>
                <w:color w:val="auto"/>
              </w:rPr>
            </w:pPr>
            <w:r>
              <w:rPr>
                <w:rFonts w:ascii="Arial" w:cs="Arial" w:eastAsia="Arial" w:hAnsi="Arial"/>
                <w:sz w:val="18"/>
                <w:szCs w:val="18"/>
                <w:color w:val="auto"/>
              </w:rPr>
              <w:t>1</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8"/>
        </w:trPr>
        <w:tc>
          <w:tcPr>
            <w:tcW w:w="600" w:type="dxa"/>
            <w:vAlign w:val="bottom"/>
            <w:tcBorders>
              <w:bottom w:val="single" w:sz="8" w:color="808080"/>
            </w:tcBorders>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034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120" w:firstLine="648"/>
        <w:spacing w:after="0" w:line="26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the 13</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day of April, 2006.</w:t>
      </w:r>
    </w:p>
    <w:p>
      <w:pPr>
        <w:spacing w:after="0" w:line="54"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6220" w:type="dxa"/>
        <w:tblCellMar>
          <w:top w:w="0" w:type="dxa"/>
          <w:left w:w="0" w:type="dxa"/>
          <w:bottom w:w="0" w:type="dxa"/>
          <w:right w:w="0" w:type="dxa"/>
        </w:tblCellMar>
      </w:tblPr>
      <w:tr>
        <w:trPr>
          <w:trHeight w:val="230"/>
        </w:trPr>
        <w:tc>
          <w:tcPr>
            <w:tcW w:w="580" w:type="dxa"/>
            <w:vAlign w:val="bottom"/>
          </w:tcPr>
          <w:p>
            <w:pPr>
              <w:spacing w:after="0"/>
              <w:rPr>
                <w:sz w:val="20"/>
                <w:szCs w:val="20"/>
                <w:color w:val="auto"/>
              </w:rPr>
            </w:pPr>
            <w:r>
              <w:rPr>
                <w:rFonts w:ascii="Arial" w:cs="Arial" w:eastAsia="Arial" w:hAnsi="Arial"/>
                <w:sz w:val="18"/>
                <w:szCs w:val="18"/>
                <w:color w:val="auto"/>
              </w:rPr>
              <w:t>By:</w:t>
            </w:r>
          </w:p>
        </w:tc>
        <w:tc>
          <w:tcPr>
            <w:tcW w:w="35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195"/>
        </w:trPr>
        <w:tc>
          <w:tcPr>
            <w:tcW w:w="580" w:type="dxa"/>
            <w:vAlign w:val="bottom"/>
          </w:tcPr>
          <w:p>
            <w:pPr>
              <w:spacing w:after="0"/>
              <w:rPr>
                <w:sz w:val="16"/>
                <w:szCs w:val="16"/>
                <w:color w:val="auto"/>
              </w:rPr>
            </w:pPr>
          </w:p>
        </w:tc>
        <w:tc>
          <w:tcPr>
            <w:tcW w:w="3520" w:type="dxa"/>
            <w:vAlign w:val="bottom"/>
          </w:tcPr>
          <w:p>
            <w:pPr>
              <w:jc w:val="center"/>
              <w:spacing w:after="0" w:line="195" w:lineRule="exact"/>
              <w:rPr>
                <w:sz w:val="20"/>
                <w:szCs w:val="20"/>
                <w:color w:val="auto"/>
              </w:rPr>
            </w:pPr>
            <w:r>
              <w:rPr>
                <w:rFonts w:ascii="Arial" w:cs="Arial" w:eastAsia="Arial" w:hAnsi="Arial"/>
                <w:sz w:val="18"/>
                <w:szCs w:val="18"/>
                <w:color w:val="auto"/>
                <w:w w:val="89"/>
              </w:rPr>
              <w:t>Dr. Sehat Sutardja</w:t>
            </w:r>
          </w:p>
        </w:tc>
      </w:tr>
      <w:tr>
        <w:trPr>
          <w:trHeight w:val="230"/>
        </w:trPr>
        <w:tc>
          <w:tcPr>
            <w:tcW w:w="580" w:type="dxa"/>
            <w:vAlign w:val="bottom"/>
          </w:tcPr>
          <w:p>
            <w:pPr>
              <w:spacing w:after="0"/>
              <w:rPr>
                <w:sz w:val="20"/>
                <w:szCs w:val="20"/>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1"/>
              </w:rPr>
              <w:t>President and Chief Executive Officer</w:t>
            </w:r>
          </w:p>
        </w:tc>
      </w:tr>
    </w:tbl>
    <w:p>
      <w:pPr>
        <w:spacing w:after="0" w:line="19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 OF AUTHORIZED REPRESENTATIVE OF MARVELL TECHNOLOGY GROUP LTD.</w:t>
      </w:r>
    </w:p>
    <w:p>
      <w:pPr>
        <w:sectPr>
          <w:pgSz w:w="11900" w:h="16838" w:orient="portrait"/>
          <w:cols w:equalWidth="0" w:num="1">
            <w:col w:w="11440"/>
          </w:cols>
          <w:pgMar w:left="240" w:top="1040" w:right="219" w:bottom="144" w:gutter="0" w:footer="0" w:header="0"/>
        </w:sectPr>
      </w:pPr>
    </w:p>
    <w:bookmarkStart w:id="2" w:name="page3"/>
    <w:bookmarkEnd w:id="2"/>
    <w:p>
      <w:pPr>
        <w:ind w:right="560" w:firstLine="648"/>
        <w:spacing w:after="0" w:line="341" w:lineRule="auto"/>
        <w:rPr>
          <w:sz w:val="20"/>
          <w:szCs w:val="20"/>
          <w:color w:val="auto"/>
        </w:rPr>
      </w:pPr>
      <w:r>
        <w:rPr>
          <w:rFonts w:ascii="Arial" w:cs="Arial" w:eastAsia="Arial" w:hAnsi="Arial"/>
          <w:sz w:val="16"/>
          <w:szCs w:val="16"/>
          <w:color w:val="auto"/>
        </w:rPr>
        <w:t>Pursuant to the requirements of the Securities Act of 1933, the undersigned, the duly authorized representative in the United States of Marvell Technology Group Ltd., has signed this Registration Statement in the City of Santa Clara, State of California, on the 13</w:t>
      </w:r>
      <w:r>
        <w:rPr>
          <w:rFonts w:ascii="Arial" w:cs="Arial" w:eastAsia="Arial" w:hAnsi="Arial"/>
          <w:sz w:val="26"/>
          <w:szCs w:val="26"/>
          <w:color w:val="auto"/>
          <w:vertAlign w:val="superscript"/>
        </w:rPr>
        <w:t>th</w:t>
      </w:r>
      <w:r>
        <w:rPr>
          <w:rFonts w:ascii="Arial" w:cs="Arial" w:eastAsia="Arial" w:hAnsi="Arial"/>
          <w:sz w:val="16"/>
          <w:szCs w:val="16"/>
          <w:color w:val="auto"/>
        </w:rPr>
        <w:t xml:space="preserve"> day of April, 2006.</w:t>
      </w:r>
    </w:p>
    <w:p>
      <w:pPr>
        <w:spacing w:after="0" w:line="219" w:lineRule="exact"/>
        <w:rPr>
          <w:sz w:val="20"/>
          <w:szCs w:val="20"/>
          <w:color w:val="auto"/>
        </w:rPr>
      </w:pPr>
    </w:p>
    <w:tbl>
      <w:tblPr>
        <w:tblLayout w:type="fixed"/>
        <w:tblInd w:w="6220" w:type="dxa"/>
        <w:tblCellMar>
          <w:top w:w="0" w:type="dxa"/>
          <w:left w:w="0" w:type="dxa"/>
          <w:bottom w:w="0" w:type="dxa"/>
          <w:right w:w="0" w:type="dxa"/>
        </w:tblCellMar>
      </w:tblPr>
      <w:tr>
        <w:trPr>
          <w:trHeight w:val="230"/>
        </w:trPr>
        <w:tc>
          <w:tcPr>
            <w:tcW w:w="580" w:type="dxa"/>
            <w:vAlign w:val="bottom"/>
          </w:tcPr>
          <w:p>
            <w:pPr>
              <w:spacing w:after="0"/>
              <w:rPr>
                <w:sz w:val="20"/>
                <w:szCs w:val="20"/>
                <w:color w:val="auto"/>
              </w:rPr>
            </w:pPr>
            <w:r>
              <w:rPr>
                <w:rFonts w:ascii="Arial" w:cs="Arial" w:eastAsia="Arial" w:hAnsi="Arial"/>
                <w:sz w:val="18"/>
                <w:szCs w:val="18"/>
                <w:color w:val="auto"/>
              </w:rPr>
              <w:t>By:</w:t>
            </w:r>
          </w:p>
        </w:tc>
        <w:tc>
          <w:tcPr>
            <w:tcW w:w="35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195"/>
        </w:trPr>
        <w:tc>
          <w:tcPr>
            <w:tcW w:w="580" w:type="dxa"/>
            <w:vAlign w:val="bottom"/>
          </w:tcPr>
          <w:p>
            <w:pPr>
              <w:spacing w:after="0"/>
              <w:rPr>
                <w:sz w:val="16"/>
                <w:szCs w:val="16"/>
                <w:color w:val="auto"/>
              </w:rPr>
            </w:pPr>
          </w:p>
        </w:tc>
        <w:tc>
          <w:tcPr>
            <w:tcW w:w="3520" w:type="dxa"/>
            <w:vAlign w:val="bottom"/>
          </w:tcPr>
          <w:p>
            <w:pPr>
              <w:jc w:val="center"/>
              <w:spacing w:after="0" w:line="195" w:lineRule="exact"/>
              <w:rPr>
                <w:sz w:val="20"/>
                <w:szCs w:val="20"/>
                <w:color w:val="auto"/>
              </w:rPr>
            </w:pPr>
            <w:r>
              <w:rPr>
                <w:rFonts w:ascii="Arial" w:cs="Arial" w:eastAsia="Arial" w:hAnsi="Arial"/>
                <w:sz w:val="18"/>
                <w:szCs w:val="18"/>
                <w:color w:val="auto"/>
                <w:w w:val="89"/>
              </w:rPr>
              <w:t>Dr. Sehat Sutardja</w:t>
            </w:r>
          </w:p>
        </w:tc>
      </w:tr>
      <w:tr>
        <w:trPr>
          <w:trHeight w:val="230"/>
        </w:trPr>
        <w:tc>
          <w:tcPr>
            <w:tcW w:w="580" w:type="dxa"/>
            <w:vAlign w:val="bottom"/>
          </w:tcPr>
          <w:p>
            <w:pPr>
              <w:spacing w:after="0"/>
              <w:rPr>
                <w:sz w:val="20"/>
                <w:szCs w:val="20"/>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1"/>
              </w:rPr>
              <w:t>President and Chief Executive Officer</w:t>
            </w:r>
          </w:p>
        </w:tc>
      </w:tr>
    </w:tbl>
    <w:p>
      <w:pPr>
        <w:spacing w:after="0" w:line="19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20" w:firstLine="648"/>
        <w:spacing w:after="0" w:line="272" w:lineRule="auto"/>
        <w:rPr>
          <w:sz w:val="20"/>
          <w:szCs w:val="20"/>
          <w:color w:val="auto"/>
        </w:rPr>
      </w:pPr>
      <w:r>
        <w:rPr>
          <w:rFonts w:ascii="Arial" w:cs="Arial" w:eastAsia="Arial" w:hAnsi="Arial"/>
          <w:sz w:val="17"/>
          <w:szCs w:val="17"/>
          <w:color w:val="auto"/>
        </w:rPr>
        <w:t>KNOW ALL MEN BY THESE PRESENT, that each person whose signature appears below constitutes and appoints DR. SEHAT SUTARDJA and GEORGE HERVEY, and each of them, his true and lawful attorneys-in-fact and agents, each with full power of substitution and resubstitution, for him and in his name, place and stead, in any and all capacities, to sign any and all amendments, including post-effective amendments, to this Registration Statement on Form S-8,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might or could do in person, hereby ratifying and confirming all that said attorneys-in-fact and agents, or his substitute or substitutes, may lawfully do or cause to be done by virtue hereof.</w:t>
      </w:r>
    </w:p>
    <w:p>
      <w:pPr>
        <w:spacing w:after="0" w:line="178"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Signature</w:t>
            </w:r>
          </w:p>
        </w:tc>
        <w:tc>
          <w:tcPr>
            <w:tcW w:w="2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06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4880" w:type="dxa"/>
            <w:vAlign w:val="bottom"/>
            <w:tcBorders>
              <w:bottom w:val="single" w:sz="8" w:color="auto"/>
            </w:tcBorders>
          </w:tcPr>
          <w:p>
            <w:pPr>
              <w:jc w:val="center"/>
              <w:ind w:right="792"/>
              <w:spacing w:after="0"/>
              <w:rPr>
                <w:sz w:val="20"/>
                <w:szCs w:val="20"/>
                <w:color w:val="auto"/>
              </w:rPr>
            </w:pPr>
            <w:r>
              <w:rPr>
                <w:rFonts w:ascii="Arial" w:cs="Arial" w:eastAsia="Arial" w:hAnsi="Arial"/>
                <w:sz w:val="14"/>
                <w:szCs w:val="14"/>
                <w:b w:val="1"/>
                <w:bCs w:val="1"/>
                <w:color w:val="auto"/>
                <w:w w:val="97"/>
              </w:rPr>
              <w:t>Title</w:t>
            </w:r>
          </w:p>
        </w:tc>
        <w:tc>
          <w:tcPr>
            <w:tcW w:w="420" w:type="dxa"/>
            <w:vAlign w:val="bottom"/>
          </w:tcPr>
          <w:p>
            <w:pPr>
              <w:spacing w:after="0"/>
              <w:rPr>
                <w:sz w:val="14"/>
                <w:szCs w:val="14"/>
                <w:color w:val="auto"/>
              </w:rPr>
            </w:pPr>
          </w:p>
        </w:tc>
        <w:tc>
          <w:tcPr>
            <w:tcW w:w="1660" w:type="dxa"/>
            <w:vAlign w:val="bottom"/>
            <w:tcBorders>
              <w:bottom w:val="single" w:sz="8" w:color="auto"/>
            </w:tcBorders>
          </w:tcPr>
          <w:p>
            <w:pPr>
              <w:ind w:left="680"/>
              <w:spacing w:after="0"/>
              <w:rPr>
                <w:sz w:val="20"/>
                <w:szCs w:val="20"/>
                <w:color w:val="auto"/>
              </w:rPr>
            </w:pPr>
            <w:r>
              <w:rPr>
                <w:rFonts w:ascii="Arial" w:cs="Arial" w:eastAsia="Arial" w:hAnsi="Arial"/>
                <w:sz w:val="14"/>
                <w:szCs w:val="14"/>
                <w:b w:val="1"/>
                <w:bCs w:val="1"/>
                <w:color w:val="auto"/>
              </w:rPr>
              <w:t>Date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1"/>
        </w:trPr>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880" w:type="dxa"/>
            <w:vAlign w:val="bottom"/>
          </w:tcPr>
          <w:p>
            <w:pPr>
              <w:jc w:val="center"/>
              <w:ind w:right="852"/>
              <w:spacing w:after="0"/>
              <w:rPr>
                <w:sz w:val="20"/>
                <w:szCs w:val="20"/>
                <w:color w:val="auto"/>
              </w:rPr>
            </w:pPr>
            <w:r>
              <w:rPr>
                <w:rFonts w:ascii="Arial" w:cs="Arial" w:eastAsia="Arial" w:hAnsi="Arial"/>
                <w:sz w:val="18"/>
                <w:szCs w:val="18"/>
                <w:color w:val="auto"/>
                <w:w w:val="90"/>
              </w:rPr>
              <w:t>Chairman of the Board, President,</w:t>
            </w:r>
          </w:p>
        </w:tc>
        <w:tc>
          <w:tcPr>
            <w:tcW w:w="2080" w:type="dxa"/>
            <w:vAlign w:val="bottom"/>
            <w:gridSpan w:val="2"/>
          </w:tcPr>
          <w:p>
            <w:pPr>
              <w:ind w:left="420"/>
              <w:spacing w:after="0"/>
              <w:rPr>
                <w:sz w:val="20"/>
                <w:szCs w:val="20"/>
                <w:color w:val="auto"/>
              </w:rPr>
            </w:pPr>
            <w:r>
              <w:rPr>
                <w:rFonts w:ascii="Arial" w:cs="Arial" w:eastAsia="Arial" w:hAnsi="Arial"/>
                <w:sz w:val="18"/>
                <w:szCs w:val="18"/>
                <w:color w:val="auto"/>
              </w:rPr>
              <w:t>April 13, 2006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720" w:type="dxa"/>
            <w:vAlign w:val="bottom"/>
          </w:tcPr>
          <w:p>
            <w:pPr>
              <w:spacing w:after="0"/>
              <w:rPr>
                <w:sz w:val="20"/>
                <w:szCs w:val="20"/>
                <w:color w:val="auto"/>
              </w:rPr>
            </w:pPr>
          </w:p>
        </w:tc>
        <w:tc>
          <w:tcPr>
            <w:tcW w:w="3740" w:type="dxa"/>
            <w:vAlign w:val="bottom"/>
            <w:gridSpan w:val="5"/>
          </w:tcPr>
          <w:p>
            <w:pPr>
              <w:jc w:val="center"/>
              <w:ind w:right="1880"/>
              <w:spacing w:after="0"/>
              <w:rPr>
                <w:sz w:val="20"/>
                <w:szCs w:val="20"/>
                <w:color w:val="auto"/>
              </w:rPr>
            </w:pPr>
            <w:r>
              <w:rPr>
                <w:rFonts w:ascii="Arial" w:cs="Arial" w:eastAsia="Arial" w:hAnsi="Arial"/>
                <w:sz w:val="18"/>
                <w:szCs w:val="18"/>
                <w:color w:val="auto"/>
                <w:w w:val="89"/>
              </w:rPr>
              <w:t>/s/ Dr. Sehat Sutardja</w:t>
            </w: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3"/>
              </w:rPr>
              <w:t>and Chief Executive Officer</w:t>
            </w:r>
          </w:p>
        </w:tc>
        <w:tc>
          <w:tcPr>
            <w:tcW w:w="42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720" w:type="dxa"/>
            <w:vAlign w:val="bottom"/>
            <w:tcBorders>
              <w:top w:val="single" w:sz="8" w:color="auto"/>
            </w:tcBorders>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320" w:type="dxa"/>
            <w:vAlign w:val="bottom"/>
            <w:tcBorders>
              <w:top w:val="single" w:sz="8" w:color="auto"/>
            </w:tcBorders>
            <w:gridSpan w:val="2"/>
          </w:tcPr>
          <w:p>
            <w:pPr>
              <w:jc w:val="center"/>
              <w:ind w:right="850"/>
              <w:spacing w:after="0"/>
              <w:rPr>
                <w:sz w:val="20"/>
                <w:szCs w:val="20"/>
                <w:color w:val="auto"/>
              </w:rPr>
            </w:pPr>
            <w:r>
              <w:rPr>
                <w:rFonts w:ascii="Arial" w:cs="Arial" w:eastAsia="Arial" w:hAnsi="Arial"/>
                <w:sz w:val="18"/>
                <w:szCs w:val="18"/>
                <w:color w:val="auto"/>
                <w:w w:val="87"/>
              </w:rPr>
              <w:t>Dr. Sehat Sutardja</w:t>
            </w:r>
          </w:p>
        </w:tc>
        <w:tc>
          <w:tcPr>
            <w:tcW w:w="3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880" w:type="dxa"/>
            <w:vAlign w:val="bottom"/>
          </w:tcPr>
          <w:p>
            <w:pPr>
              <w:jc w:val="center"/>
              <w:ind w:right="812"/>
              <w:spacing w:after="0"/>
              <w:rPr>
                <w:sz w:val="20"/>
                <w:szCs w:val="20"/>
                <w:color w:val="auto"/>
              </w:rPr>
            </w:pPr>
            <w:r>
              <w:rPr>
                <w:rFonts w:ascii="Arial" w:cs="Arial" w:eastAsia="Arial" w:hAnsi="Arial"/>
                <w:sz w:val="18"/>
                <w:szCs w:val="18"/>
                <w:color w:val="auto"/>
                <w:w w:val="94"/>
              </w:rPr>
              <w:t>(Principal Executive Officer)</w:t>
            </w:r>
          </w:p>
        </w:tc>
        <w:tc>
          <w:tcPr>
            <w:tcW w:w="4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04"/>
        </w:trPr>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880" w:type="dxa"/>
            <w:vAlign w:val="bottom"/>
          </w:tcPr>
          <w:p>
            <w:pPr>
              <w:jc w:val="center"/>
              <w:ind w:right="832"/>
              <w:spacing w:after="0"/>
              <w:rPr>
                <w:sz w:val="20"/>
                <w:szCs w:val="20"/>
                <w:color w:val="auto"/>
              </w:rPr>
            </w:pPr>
            <w:r>
              <w:rPr>
                <w:rFonts w:ascii="Arial" w:cs="Arial" w:eastAsia="Arial" w:hAnsi="Arial"/>
                <w:sz w:val="18"/>
                <w:szCs w:val="18"/>
                <w:color w:val="auto"/>
                <w:w w:val="90"/>
              </w:rPr>
              <w:t>Vice President of Finance and Chief</w:t>
            </w:r>
          </w:p>
        </w:tc>
        <w:tc>
          <w:tcPr>
            <w:tcW w:w="2080" w:type="dxa"/>
            <w:vAlign w:val="bottom"/>
            <w:gridSpan w:val="2"/>
          </w:tcPr>
          <w:p>
            <w:pPr>
              <w:ind w:left="420"/>
              <w:spacing w:after="0"/>
              <w:rPr>
                <w:sz w:val="20"/>
                <w:szCs w:val="20"/>
                <w:color w:val="auto"/>
              </w:rPr>
            </w:pPr>
            <w:r>
              <w:rPr>
                <w:rFonts w:ascii="Arial" w:cs="Arial" w:eastAsia="Arial" w:hAnsi="Arial"/>
                <w:sz w:val="18"/>
                <w:szCs w:val="18"/>
                <w:color w:val="auto"/>
              </w:rPr>
              <w:t>April 13, 2006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500" w:type="dxa"/>
            <w:vAlign w:val="bottom"/>
            <w:gridSpan w:val="4"/>
          </w:tcPr>
          <w:p>
            <w:pPr>
              <w:jc w:val="center"/>
              <w:ind w:right="2120"/>
              <w:spacing w:after="0"/>
              <w:rPr>
                <w:sz w:val="20"/>
                <w:szCs w:val="20"/>
                <w:color w:val="auto"/>
              </w:rPr>
            </w:pPr>
            <w:r>
              <w:rPr>
                <w:rFonts w:ascii="Arial" w:cs="Arial" w:eastAsia="Arial" w:hAnsi="Arial"/>
                <w:sz w:val="18"/>
                <w:szCs w:val="18"/>
                <w:color w:val="auto"/>
                <w:w w:val="88"/>
              </w:rPr>
              <w:t>/s/ George Hervey</w:t>
            </w:r>
          </w:p>
        </w:tc>
        <w:tc>
          <w:tcPr>
            <w:tcW w:w="4880" w:type="dxa"/>
            <w:vAlign w:val="bottom"/>
          </w:tcPr>
          <w:p>
            <w:pPr>
              <w:jc w:val="center"/>
              <w:ind w:right="812"/>
              <w:spacing w:after="0"/>
              <w:rPr>
                <w:sz w:val="20"/>
                <w:szCs w:val="20"/>
                <w:color w:val="auto"/>
              </w:rPr>
            </w:pPr>
            <w:r>
              <w:rPr>
                <w:rFonts w:ascii="Arial" w:cs="Arial" w:eastAsia="Arial" w:hAnsi="Arial"/>
                <w:sz w:val="18"/>
                <w:szCs w:val="18"/>
                <w:color w:val="auto"/>
                <w:w w:val="94"/>
              </w:rPr>
              <w:t>Financial Officer (Principal Financial</w:t>
            </w:r>
          </w:p>
        </w:tc>
        <w:tc>
          <w:tcPr>
            <w:tcW w:w="42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720" w:type="dxa"/>
            <w:vAlign w:val="bottom"/>
            <w:tcBorders>
              <w:top w:val="single" w:sz="8" w:color="auto"/>
            </w:tcBorders>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320" w:type="dxa"/>
            <w:vAlign w:val="bottom"/>
            <w:tcBorders>
              <w:top w:val="single" w:sz="8" w:color="auto"/>
            </w:tcBorders>
            <w:gridSpan w:val="2"/>
          </w:tcPr>
          <w:p>
            <w:pPr>
              <w:jc w:val="center"/>
              <w:ind w:right="850"/>
              <w:spacing w:after="0"/>
              <w:rPr>
                <w:sz w:val="20"/>
                <w:szCs w:val="20"/>
                <w:color w:val="auto"/>
              </w:rPr>
            </w:pPr>
            <w:r>
              <w:rPr>
                <w:rFonts w:ascii="Arial" w:cs="Arial" w:eastAsia="Arial" w:hAnsi="Arial"/>
                <w:sz w:val="18"/>
                <w:szCs w:val="18"/>
                <w:color w:val="auto"/>
                <w:w w:val="90"/>
              </w:rPr>
              <w:t>George Hervey</w:t>
            </w:r>
          </w:p>
        </w:tc>
        <w:tc>
          <w:tcPr>
            <w:tcW w:w="3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3"/>
              </w:rPr>
              <w:t>and Accounting Officer)</w:t>
            </w:r>
          </w:p>
        </w:tc>
        <w:tc>
          <w:tcPr>
            <w:tcW w:w="4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4"/>
        </w:trPr>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500" w:type="dxa"/>
            <w:vAlign w:val="bottom"/>
            <w:gridSpan w:val="4"/>
          </w:tcPr>
          <w:p>
            <w:pPr>
              <w:jc w:val="center"/>
              <w:ind w:right="2120"/>
              <w:spacing w:after="0"/>
              <w:rPr>
                <w:sz w:val="20"/>
                <w:szCs w:val="20"/>
                <w:color w:val="auto"/>
              </w:rPr>
            </w:pPr>
            <w:r>
              <w:rPr>
                <w:rFonts w:ascii="Arial" w:cs="Arial" w:eastAsia="Arial" w:hAnsi="Arial"/>
                <w:sz w:val="18"/>
                <w:szCs w:val="18"/>
                <w:color w:val="auto"/>
                <w:w w:val="94"/>
              </w:rPr>
              <w:t>/s/ Weili Dai</w:t>
            </w: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1"/>
              </w:rPr>
              <w:t>Chief Operating Officer, Secretary</w:t>
            </w:r>
          </w:p>
        </w:tc>
        <w:tc>
          <w:tcPr>
            <w:tcW w:w="2080" w:type="dxa"/>
            <w:vAlign w:val="bottom"/>
            <w:gridSpan w:val="2"/>
          </w:tcPr>
          <w:p>
            <w:pPr>
              <w:ind w:left="420"/>
              <w:spacing w:after="0"/>
              <w:rPr>
                <w:sz w:val="20"/>
                <w:szCs w:val="20"/>
                <w:color w:val="auto"/>
              </w:rPr>
            </w:pPr>
            <w:r>
              <w:rPr>
                <w:rFonts w:ascii="Arial" w:cs="Arial" w:eastAsia="Arial" w:hAnsi="Arial"/>
                <w:sz w:val="18"/>
                <w:szCs w:val="18"/>
                <w:color w:val="auto"/>
              </w:rPr>
              <w:t>April 13, 2006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720" w:type="dxa"/>
            <w:vAlign w:val="bottom"/>
            <w:tcBorders>
              <w:top w:val="single" w:sz="8" w:color="auto"/>
            </w:tcBorders>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2060" w:type="dxa"/>
            <w:vAlign w:val="bottom"/>
            <w:tcBorders>
              <w:top w:val="single" w:sz="8" w:color="auto"/>
            </w:tcBorders>
          </w:tcPr>
          <w:p>
            <w:pPr>
              <w:jc w:val="center"/>
              <w:ind w:right="1110"/>
              <w:spacing w:after="0"/>
              <w:rPr>
                <w:sz w:val="20"/>
                <w:szCs w:val="20"/>
                <w:color w:val="auto"/>
              </w:rPr>
            </w:pPr>
            <w:r>
              <w:rPr>
                <w:rFonts w:ascii="Arial" w:cs="Arial" w:eastAsia="Arial" w:hAnsi="Arial"/>
                <w:sz w:val="18"/>
                <w:szCs w:val="18"/>
                <w:color w:val="auto"/>
                <w:w w:val="98"/>
              </w:rPr>
              <w:t>Weili Dai</w:t>
            </w:r>
          </w:p>
        </w:tc>
        <w:tc>
          <w:tcPr>
            <w:tcW w:w="3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880" w:type="dxa"/>
            <w:vAlign w:val="bottom"/>
          </w:tcPr>
          <w:p>
            <w:pPr>
              <w:jc w:val="center"/>
              <w:ind w:right="812"/>
              <w:spacing w:after="0"/>
              <w:rPr>
                <w:sz w:val="20"/>
                <w:szCs w:val="20"/>
                <w:color w:val="auto"/>
              </w:rPr>
            </w:pPr>
            <w:r>
              <w:rPr>
                <w:rFonts w:ascii="Arial" w:cs="Arial" w:eastAsia="Arial" w:hAnsi="Arial"/>
                <w:sz w:val="18"/>
                <w:szCs w:val="18"/>
                <w:color w:val="auto"/>
                <w:w w:val="91"/>
              </w:rPr>
              <w:t>and Director</w:t>
            </w:r>
          </w:p>
        </w:tc>
        <w:tc>
          <w:tcPr>
            <w:tcW w:w="4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4"/>
        </w:trPr>
        <w:tc>
          <w:tcPr>
            <w:tcW w:w="720" w:type="dxa"/>
            <w:vAlign w:val="bottom"/>
          </w:tcPr>
          <w:p>
            <w:pPr>
              <w:spacing w:after="0"/>
              <w:rPr>
                <w:sz w:val="24"/>
                <w:szCs w:val="24"/>
                <w:color w:val="auto"/>
              </w:rPr>
            </w:pPr>
          </w:p>
        </w:tc>
        <w:tc>
          <w:tcPr>
            <w:tcW w:w="3740" w:type="dxa"/>
            <w:vAlign w:val="bottom"/>
            <w:gridSpan w:val="5"/>
          </w:tcPr>
          <w:p>
            <w:pPr>
              <w:jc w:val="center"/>
              <w:ind w:right="1900"/>
              <w:spacing w:after="0"/>
              <w:rPr>
                <w:sz w:val="20"/>
                <w:szCs w:val="20"/>
                <w:color w:val="auto"/>
              </w:rPr>
            </w:pPr>
            <w:r>
              <w:rPr>
                <w:rFonts w:ascii="Arial" w:cs="Arial" w:eastAsia="Arial" w:hAnsi="Arial"/>
                <w:sz w:val="18"/>
                <w:szCs w:val="18"/>
                <w:color w:val="auto"/>
                <w:w w:val="88"/>
              </w:rPr>
              <w:t>/s/ Dr. Pantas Sutardja</w:t>
            </w: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2"/>
              </w:rPr>
              <w:t>Chief Technology Officer and</w:t>
            </w:r>
          </w:p>
        </w:tc>
        <w:tc>
          <w:tcPr>
            <w:tcW w:w="2080" w:type="dxa"/>
            <w:vAlign w:val="bottom"/>
            <w:gridSpan w:val="2"/>
          </w:tcPr>
          <w:p>
            <w:pPr>
              <w:ind w:left="420"/>
              <w:spacing w:after="0"/>
              <w:rPr>
                <w:sz w:val="20"/>
                <w:szCs w:val="20"/>
                <w:color w:val="auto"/>
              </w:rPr>
            </w:pPr>
            <w:r>
              <w:rPr>
                <w:rFonts w:ascii="Arial" w:cs="Arial" w:eastAsia="Arial" w:hAnsi="Arial"/>
                <w:sz w:val="18"/>
                <w:szCs w:val="18"/>
                <w:color w:val="auto"/>
              </w:rPr>
              <w:t>April 13, 2006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720" w:type="dxa"/>
            <w:vAlign w:val="bottom"/>
            <w:tcBorders>
              <w:top w:val="single" w:sz="8" w:color="auto"/>
            </w:tcBorders>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320" w:type="dxa"/>
            <w:vAlign w:val="bottom"/>
            <w:tcBorders>
              <w:top w:val="single" w:sz="8" w:color="auto"/>
            </w:tcBorders>
            <w:gridSpan w:val="2"/>
          </w:tcPr>
          <w:p>
            <w:pPr>
              <w:jc w:val="center"/>
              <w:ind w:right="850"/>
              <w:spacing w:after="0"/>
              <w:rPr>
                <w:sz w:val="20"/>
                <w:szCs w:val="20"/>
                <w:color w:val="auto"/>
              </w:rPr>
            </w:pPr>
            <w:r>
              <w:rPr>
                <w:rFonts w:ascii="Arial" w:cs="Arial" w:eastAsia="Arial" w:hAnsi="Arial"/>
                <w:sz w:val="18"/>
                <w:szCs w:val="18"/>
                <w:color w:val="auto"/>
                <w:w w:val="87"/>
              </w:rPr>
              <w:t>Dr. Pantas Sutardja</w:t>
            </w:r>
          </w:p>
        </w:tc>
        <w:tc>
          <w:tcPr>
            <w:tcW w:w="3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5"/>
              </w:rPr>
              <w:t>Director</w:t>
            </w:r>
          </w:p>
        </w:tc>
        <w:tc>
          <w:tcPr>
            <w:tcW w:w="4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4"/>
        </w:trPr>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500" w:type="dxa"/>
            <w:vAlign w:val="bottom"/>
            <w:gridSpan w:val="4"/>
          </w:tcPr>
          <w:p>
            <w:pPr>
              <w:jc w:val="center"/>
              <w:ind w:right="2140"/>
              <w:spacing w:after="0"/>
              <w:rPr>
                <w:sz w:val="20"/>
                <w:szCs w:val="20"/>
                <w:color w:val="auto"/>
              </w:rPr>
            </w:pPr>
            <w:r>
              <w:rPr>
                <w:rFonts w:ascii="Arial" w:cs="Arial" w:eastAsia="Arial" w:hAnsi="Arial"/>
                <w:sz w:val="18"/>
                <w:szCs w:val="18"/>
                <w:color w:val="auto"/>
                <w:w w:val="90"/>
              </w:rPr>
              <w:t>/s/ Herbert Chang</w:t>
            </w: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5"/>
              </w:rPr>
              <w:t>Director</w:t>
            </w:r>
          </w:p>
        </w:tc>
        <w:tc>
          <w:tcPr>
            <w:tcW w:w="2080" w:type="dxa"/>
            <w:vAlign w:val="bottom"/>
            <w:gridSpan w:val="2"/>
          </w:tcPr>
          <w:p>
            <w:pPr>
              <w:ind w:left="420"/>
              <w:spacing w:after="0"/>
              <w:rPr>
                <w:sz w:val="20"/>
                <w:szCs w:val="20"/>
                <w:color w:val="auto"/>
              </w:rPr>
            </w:pPr>
            <w:r>
              <w:rPr>
                <w:rFonts w:ascii="Arial" w:cs="Arial" w:eastAsia="Arial" w:hAnsi="Arial"/>
                <w:sz w:val="18"/>
                <w:szCs w:val="18"/>
                <w:color w:val="auto"/>
              </w:rPr>
              <w:t>April 13, 2006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720" w:type="dxa"/>
            <w:vAlign w:val="bottom"/>
            <w:tcBorders>
              <w:top w:val="single" w:sz="8" w:color="auto"/>
            </w:tcBorders>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320" w:type="dxa"/>
            <w:vAlign w:val="bottom"/>
            <w:tcBorders>
              <w:top w:val="single" w:sz="8" w:color="auto"/>
            </w:tcBorders>
            <w:gridSpan w:val="2"/>
          </w:tcPr>
          <w:p>
            <w:pPr>
              <w:jc w:val="center"/>
              <w:ind w:right="850"/>
              <w:spacing w:after="0"/>
              <w:rPr>
                <w:sz w:val="20"/>
                <w:szCs w:val="20"/>
                <w:color w:val="auto"/>
              </w:rPr>
            </w:pPr>
            <w:r>
              <w:rPr>
                <w:rFonts w:ascii="Arial" w:cs="Arial" w:eastAsia="Arial" w:hAnsi="Arial"/>
                <w:sz w:val="18"/>
                <w:szCs w:val="18"/>
                <w:color w:val="auto"/>
                <w:w w:val="89"/>
              </w:rPr>
              <w:t>Herbert Chang</w:t>
            </w:r>
          </w:p>
        </w:tc>
        <w:tc>
          <w:tcPr>
            <w:tcW w:w="3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8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4"/>
        </w:trPr>
        <w:tc>
          <w:tcPr>
            <w:tcW w:w="720" w:type="dxa"/>
            <w:vAlign w:val="bottom"/>
          </w:tcPr>
          <w:p>
            <w:pPr>
              <w:spacing w:after="0"/>
              <w:rPr>
                <w:sz w:val="24"/>
                <w:szCs w:val="24"/>
                <w:color w:val="auto"/>
              </w:rPr>
            </w:pPr>
          </w:p>
        </w:tc>
        <w:tc>
          <w:tcPr>
            <w:tcW w:w="3740" w:type="dxa"/>
            <w:vAlign w:val="bottom"/>
            <w:gridSpan w:val="5"/>
          </w:tcPr>
          <w:p>
            <w:pPr>
              <w:jc w:val="center"/>
              <w:ind w:right="1880"/>
              <w:spacing w:after="0"/>
              <w:rPr>
                <w:sz w:val="20"/>
                <w:szCs w:val="20"/>
                <w:color w:val="auto"/>
              </w:rPr>
            </w:pPr>
            <w:r>
              <w:rPr>
                <w:rFonts w:ascii="Arial" w:cs="Arial" w:eastAsia="Arial" w:hAnsi="Arial"/>
                <w:sz w:val="18"/>
                <w:szCs w:val="18"/>
                <w:color w:val="auto"/>
                <w:w w:val="90"/>
              </w:rPr>
              <w:t>/s/ Dr. Paul R. Gray</w:t>
            </w: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5"/>
              </w:rPr>
              <w:t>Director</w:t>
            </w:r>
          </w:p>
        </w:tc>
        <w:tc>
          <w:tcPr>
            <w:tcW w:w="2080" w:type="dxa"/>
            <w:vAlign w:val="bottom"/>
            <w:gridSpan w:val="2"/>
          </w:tcPr>
          <w:p>
            <w:pPr>
              <w:ind w:left="420"/>
              <w:spacing w:after="0"/>
              <w:rPr>
                <w:sz w:val="20"/>
                <w:szCs w:val="20"/>
                <w:color w:val="auto"/>
              </w:rPr>
            </w:pPr>
            <w:r>
              <w:rPr>
                <w:rFonts w:ascii="Arial" w:cs="Arial" w:eastAsia="Arial" w:hAnsi="Arial"/>
                <w:sz w:val="18"/>
                <w:szCs w:val="18"/>
                <w:color w:val="auto"/>
              </w:rPr>
              <w:t>April 13, 2006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720" w:type="dxa"/>
            <w:vAlign w:val="bottom"/>
            <w:tcBorders>
              <w:top w:val="single" w:sz="8" w:color="auto"/>
            </w:tcBorders>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320" w:type="dxa"/>
            <w:vAlign w:val="bottom"/>
            <w:tcBorders>
              <w:top w:val="single" w:sz="8" w:color="auto"/>
            </w:tcBorders>
            <w:gridSpan w:val="2"/>
          </w:tcPr>
          <w:p>
            <w:pPr>
              <w:jc w:val="center"/>
              <w:ind w:right="850"/>
              <w:spacing w:after="0"/>
              <w:rPr>
                <w:sz w:val="20"/>
                <w:szCs w:val="20"/>
                <w:color w:val="auto"/>
              </w:rPr>
            </w:pPr>
            <w:r>
              <w:rPr>
                <w:rFonts w:ascii="Arial" w:cs="Arial" w:eastAsia="Arial" w:hAnsi="Arial"/>
                <w:sz w:val="18"/>
                <w:szCs w:val="18"/>
                <w:color w:val="auto"/>
                <w:w w:val="92"/>
              </w:rPr>
              <w:t>Dr. Paul R. Gray</w:t>
            </w:r>
          </w:p>
        </w:tc>
        <w:tc>
          <w:tcPr>
            <w:tcW w:w="3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8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4"/>
        </w:trPr>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500" w:type="dxa"/>
            <w:vAlign w:val="bottom"/>
            <w:gridSpan w:val="4"/>
          </w:tcPr>
          <w:p>
            <w:pPr>
              <w:jc w:val="center"/>
              <w:ind w:right="2120"/>
              <w:spacing w:after="0"/>
              <w:rPr>
                <w:sz w:val="20"/>
                <w:szCs w:val="20"/>
                <w:color w:val="auto"/>
              </w:rPr>
            </w:pPr>
            <w:r>
              <w:rPr>
                <w:rFonts w:ascii="Arial" w:cs="Arial" w:eastAsia="Arial" w:hAnsi="Arial"/>
                <w:sz w:val="18"/>
                <w:szCs w:val="18"/>
                <w:color w:val="auto"/>
                <w:w w:val="93"/>
              </w:rPr>
              <w:t>/s/ Douglas King</w:t>
            </w: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5"/>
              </w:rPr>
              <w:t>Director</w:t>
            </w:r>
          </w:p>
        </w:tc>
        <w:tc>
          <w:tcPr>
            <w:tcW w:w="2080" w:type="dxa"/>
            <w:vAlign w:val="bottom"/>
            <w:gridSpan w:val="2"/>
          </w:tcPr>
          <w:p>
            <w:pPr>
              <w:ind w:left="420"/>
              <w:spacing w:after="0"/>
              <w:rPr>
                <w:sz w:val="20"/>
                <w:szCs w:val="20"/>
                <w:color w:val="auto"/>
              </w:rPr>
            </w:pPr>
            <w:r>
              <w:rPr>
                <w:rFonts w:ascii="Arial" w:cs="Arial" w:eastAsia="Arial" w:hAnsi="Arial"/>
                <w:sz w:val="18"/>
                <w:szCs w:val="18"/>
                <w:color w:val="auto"/>
              </w:rPr>
              <w:t>April 13, 2006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720" w:type="dxa"/>
            <w:vAlign w:val="bottom"/>
            <w:tcBorders>
              <w:top w:val="single" w:sz="8" w:color="auto"/>
            </w:tcBorders>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320" w:type="dxa"/>
            <w:vAlign w:val="bottom"/>
            <w:tcBorders>
              <w:top w:val="single" w:sz="8" w:color="auto"/>
            </w:tcBorders>
            <w:gridSpan w:val="2"/>
          </w:tcPr>
          <w:p>
            <w:pPr>
              <w:jc w:val="center"/>
              <w:ind w:right="850"/>
              <w:spacing w:after="0"/>
              <w:rPr>
                <w:sz w:val="20"/>
                <w:szCs w:val="20"/>
                <w:color w:val="auto"/>
              </w:rPr>
            </w:pPr>
            <w:r>
              <w:rPr>
                <w:rFonts w:ascii="Arial" w:cs="Arial" w:eastAsia="Arial" w:hAnsi="Arial"/>
                <w:sz w:val="18"/>
                <w:szCs w:val="18"/>
                <w:color w:val="auto"/>
                <w:w w:val="95"/>
              </w:rPr>
              <w:t>Douglas King</w:t>
            </w:r>
          </w:p>
        </w:tc>
        <w:tc>
          <w:tcPr>
            <w:tcW w:w="3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8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4"/>
        </w:trPr>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500" w:type="dxa"/>
            <w:vAlign w:val="bottom"/>
            <w:gridSpan w:val="4"/>
          </w:tcPr>
          <w:p>
            <w:pPr>
              <w:jc w:val="center"/>
              <w:ind w:right="2120"/>
              <w:spacing w:after="0"/>
              <w:rPr>
                <w:sz w:val="20"/>
                <w:szCs w:val="20"/>
                <w:color w:val="auto"/>
              </w:rPr>
            </w:pPr>
            <w:r>
              <w:rPr>
                <w:rFonts w:ascii="Arial" w:cs="Arial" w:eastAsia="Arial" w:hAnsi="Arial"/>
                <w:sz w:val="18"/>
                <w:szCs w:val="18"/>
                <w:color w:val="auto"/>
                <w:w w:val="94"/>
              </w:rPr>
              <w:t>/s/ Arturo Krueger</w:t>
            </w:r>
          </w:p>
        </w:tc>
        <w:tc>
          <w:tcPr>
            <w:tcW w:w="4880" w:type="dxa"/>
            <w:vAlign w:val="bottom"/>
          </w:tcPr>
          <w:p>
            <w:pPr>
              <w:jc w:val="center"/>
              <w:ind w:right="792"/>
              <w:spacing w:after="0"/>
              <w:rPr>
                <w:sz w:val="20"/>
                <w:szCs w:val="20"/>
                <w:color w:val="auto"/>
              </w:rPr>
            </w:pPr>
            <w:r>
              <w:rPr>
                <w:rFonts w:ascii="Arial" w:cs="Arial" w:eastAsia="Arial" w:hAnsi="Arial"/>
                <w:sz w:val="18"/>
                <w:szCs w:val="18"/>
                <w:color w:val="auto"/>
                <w:w w:val="95"/>
              </w:rPr>
              <w:t>Director</w:t>
            </w:r>
          </w:p>
        </w:tc>
        <w:tc>
          <w:tcPr>
            <w:tcW w:w="2080" w:type="dxa"/>
            <w:vAlign w:val="bottom"/>
            <w:gridSpan w:val="2"/>
          </w:tcPr>
          <w:p>
            <w:pPr>
              <w:ind w:left="420"/>
              <w:spacing w:after="0"/>
              <w:rPr>
                <w:sz w:val="20"/>
                <w:szCs w:val="20"/>
                <w:color w:val="auto"/>
              </w:rPr>
            </w:pPr>
            <w:r>
              <w:rPr>
                <w:rFonts w:ascii="Arial" w:cs="Arial" w:eastAsia="Arial" w:hAnsi="Arial"/>
                <w:sz w:val="18"/>
                <w:szCs w:val="18"/>
                <w:color w:val="auto"/>
              </w:rPr>
              <w:t>April 13, 2006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720" w:type="dxa"/>
            <w:vAlign w:val="bottom"/>
            <w:tcBorders>
              <w:top w:val="single" w:sz="8" w:color="auto"/>
            </w:tcBorders>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320" w:type="dxa"/>
            <w:vAlign w:val="bottom"/>
            <w:tcBorders>
              <w:top w:val="single" w:sz="8" w:color="auto"/>
            </w:tcBorders>
            <w:gridSpan w:val="2"/>
          </w:tcPr>
          <w:p>
            <w:pPr>
              <w:jc w:val="center"/>
              <w:ind w:right="850"/>
              <w:spacing w:after="0"/>
              <w:rPr>
                <w:sz w:val="20"/>
                <w:szCs w:val="20"/>
                <w:color w:val="auto"/>
              </w:rPr>
            </w:pPr>
            <w:r>
              <w:rPr>
                <w:rFonts w:ascii="Arial" w:cs="Arial" w:eastAsia="Arial" w:hAnsi="Arial"/>
                <w:sz w:val="18"/>
                <w:szCs w:val="18"/>
                <w:color w:val="auto"/>
                <w:w w:val="93"/>
              </w:rPr>
              <w:t>Arturo Krueger</w:t>
            </w:r>
          </w:p>
        </w:tc>
        <w:tc>
          <w:tcPr>
            <w:tcW w:w="3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8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880" w:type="dxa"/>
            <w:vAlign w:val="bottom"/>
          </w:tcPr>
          <w:p>
            <w:pPr>
              <w:jc w:val="right"/>
              <w:ind w:right="3492"/>
              <w:spacing w:after="0"/>
              <w:rPr>
                <w:sz w:val="20"/>
                <w:szCs w:val="20"/>
                <w:color w:val="auto"/>
              </w:rPr>
            </w:pPr>
            <w:r>
              <w:rPr>
                <w:rFonts w:ascii="Arial" w:cs="Arial" w:eastAsia="Arial" w:hAnsi="Arial"/>
                <w:sz w:val="18"/>
                <w:szCs w:val="18"/>
                <w:color w:val="auto"/>
              </w:rPr>
              <w:t>2</w:t>
            </w:r>
          </w:p>
        </w:tc>
        <w:tc>
          <w:tcPr>
            <w:tcW w:w="4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8"/>
        </w:trPr>
        <w:tc>
          <w:tcPr>
            <w:tcW w:w="720" w:type="dxa"/>
            <w:vAlign w:val="bottom"/>
            <w:tcBorders>
              <w:bottom w:val="single" w:sz="8" w:color="808080"/>
            </w:tcBorders>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206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488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166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780"/>
        </w:trPr>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880" w:type="dxa"/>
            <w:vAlign w:val="bottom"/>
          </w:tcPr>
          <w:p>
            <w:pPr>
              <w:jc w:val="center"/>
              <w:ind w:right="2272"/>
              <w:spacing w:after="0"/>
              <w:rPr>
                <w:sz w:val="20"/>
                <w:szCs w:val="20"/>
                <w:color w:val="auto"/>
              </w:rPr>
            </w:pPr>
            <w:r>
              <w:rPr>
                <w:rFonts w:ascii="Arial" w:cs="Arial" w:eastAsia="Arial" w:hAnsi="Arial"/>
                <w:sz w:val="18"/>
                <w:szCs w:val="18"/>
                <w:b w:val="1"/>
                <w:bCs w:val="1"/>
                <w:color w:val="auto"/>
              </w:rPr>
              <w:t>EXHIBIT INDEX</w:t>
            </w:r>
          </w:p>
        </w:tc>
        <w:tc>
          <w:tcPr>
            <w:tcW w:w="4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72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880" w:type="dxa"/>
            <w:vAlign w:val="bottom"/>
            <w:vMerge w:val="restart"/>
          </w:tcPr>
          <w:p>
            <w:pPr>
              <w:ind w:left="1500"/>
              <w:spacing w:after="0"/>
              <w:rPr>
                <w:sz w:val="20"/>
                <w:szCs w:val="20"/>
                <w:color w:val="auto"/>
              </w:rPr>
            </w:pPr>
            <w:r>
              <w:rPr>
                <w:rFonts w:ascii="Arial" w:cs="Arial" w:eastAsia="Arial" w:hAnsi="Arial"/>
                <w:sz w:val="14"/>
                <w:szCs w:val="14"/>
                <w:b w:val="1"/>
                <w:bCs w:val="1"/>
                <w:color w:val="auto"/>
              </w:rPr>
              <w:t>Description</w:t>
            </w:r>
          </w:p>
        </w:tc>
        <w:tc>
          <w:tcPr>
            <w:tcW w:w="4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Number</w:t>
            </w:r>
          </w:p>
        </w:tc>
        <w:tc>
          <w:tcPr>
            <w:tcW w:w="24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206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4880" w:type="dxa"/>
            <w:vAlign w:val="bottom"/>
            <w:tcBorders>
              <w:bottom w:val="single" w:sz="8" w:color="auto"/>
            </w:tcBorders>
            <w:vMerge w:val="continue"/>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66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58"/>
        </w:trPr>
        <w:tc>
          <w:tcPr>
            <w:tcW w:w="720" w:type="dxa"/>
            <w:vAlign w:val="bottom"/>
          </w:tcPr>
          <w:p>
            <w:pPr>
              <w:jc w:val="right"/>
              <w:ind w:right="58"/>
              <w:spacing w:after="0"/>
              <w:rPr>
                <w:sz w:val="20"/>
                <w:szCs w:val="20"/>
                <w:color w:val="auto"/>
              </w:rPr>
            </w:pPr>
            <w:r>
              <w:rPr>
                <w:rFonts w:ascii="Arial" w:cs="Arial" w:eastAsia="Arial" w:hAnsi="Arial"/>
                <w:sz w:val="18"/>
                <w:szCs w:val="18"/>
                <w:color w:val="auto"/>
              </w:rPr>
              <w:t>5.1</w:t>
            </w:r>
          </w:p>
        </w:tc>
        <w:tc>
          <w:tcPr>
            <w:tcW w:w="240" w:type="dxa"/>
            <w:vAlign w:val="bottom"/>
          </w:tcPr>
          <w:p>
            <w:pPr>
              <w:spacing w:after="0"/>
              <w:rPr>
                <w:sz w:val="24"/>
                <w:szCs w:val="24"/>
                <w:color w:val="auto"/>
              </w:rPr>
            </w:pPr>
          </w:p>
        </w:tc>
        <w:tc>
          <w:tcPr>
            <w:tcW w:w="3500" w:type="dxa"/>
            <w:vAlign w:val="bottom"/>
            <w:gridSpan w:val="4"/>
          </w:tcPr>
          <w:p>
            <w:pPr>
              <w:ind w:left="260"/>
              <w:spacing w:after="0"/>
              <w:rPr>
                <w:sz w:val="20"/>
                <w:szCs w:val="20"/>
                <w:color w:val="auto"/>
              </w:rPr>
            </w:pPr>
            <w:r>
              <w:rPr>
                <w:rFonts w:ascii="Arial" w:cs="Arial" w:eastAsia="Arial" w:hAnsi="Arial"/>
                <w:sz w:val="18"/>
                <w:szCs w:val="18"/>
                <w:color w:val="auto"/>
              </w:rPr>
              <w:t>Opinion of Appleby Spurling Hunter.</w:t>
            </w:r>
          </w:p>
        </w:tc>
        <w:tc>
          <w:tcPr>
            <w:tcW w:w="4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720" w:type="dxa"/>
            <w:vAlign w:val="bottom"/>
          </w:tcPr>
          <w:p>
            <w:pPr>
              <w:jc w:val="right"/>
              <w:ind w:right="58"/>
              <w:spacing w:after="0"/>
              <w:rPr>
                <w:sz w:val="20"/>
                <w:szCs w:val="20"/>
                <w:color w:val="auto"/>
              </w:rPr>
            </w:pPr>
            <w:r>
              <w:rPr>
                <w:rFonts w:ascii="Arial" w:cs="Arial" w:eastAsia="Arial" w:hAnsi="Arial"/>
                <w:sz w:val="18"/>
                <w:szCs w:val="18"/>
                <w:color w:val="auto"/>
              </w:rPr>
              <w:t>23.1</w:t>
            </w:r>
          </w:p>
        </w:tc>
        <w:tc>
          <w:tcPr>
            <w:tcW w:w="240" w:type="dxa"/>
            <w:vAlign w:val="bottom"/>
          </w:tcPr>
          <w:p>
            <w:pPr>
              <w:spacing w:after="0"/>
              <w:rPr>
                <w:sz w:val="24"/>
                <w:szCs w:val="24"/>
                <w:color w:val="auto"/>
              </w:rPr>
            </w:pPr>
          </w:p>
        </w:tc>
        <w:tc>
          <w:tcPr>
            <w:tcW w:w="8380" w:type="dxa"/>
            <w:vAlign w:val="bottom"/>
            <w:gridSpan w:val="5"/>
          </w:tcPr>
          <w:p>
            <w:pPr>
              <w:ind w:left="26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4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720" w:type="dxa"/>
            <w:vAlign w:val="bottom"/>
          </w:tcPr>
          <w:p>
            <w:pPr>
              <w:jc w:val="right"/>
              <w:ind w:right="58"/>
              <w:spacing w:after="0"/>
              <w:rPr>
                <w:sz w:val="20"/>
                <w:szCs w:val="20"/>
                <w:color w:val="auto"/>
              </w:rPr>
            </w:pPr>
            <w:r>
              <w:rPr>
                <w:rFonts w:ascii="Arial" w:cs="Arial" w:eastAsia="Arial" w:hAnsi="Arial"/>
                <w:sz w:val="18"/>
                <w:szCs w:val="18"/>
                <w:color w:val="auto"/>
              </w:rPr>
              <w:t>23.2</w:t>
            </w:r>
          </w:p>
        </w:tc>
        <w:tc>
          <w:tcPr>
            <w:tcW w:w="240" w:type="dxa"/>
            <w:vAlign w:val="bottom"/>
          </w:tcPr>
          <w:p>
            <w:pPr>
              <w:spacing w:after="0"/>
              <w:rPr>
                <w:sz w:val="24"/>
                <w:szCs w:val="24"/>
                <w:color w:val="auto"/>
              </w:rPr>
            </w:pPr>
          </w:p>
        </w:tc>
        <w:tc>
          <w:tcPr>
            <w:tcW w:w="8380" w:type="dxa"/>
            <w:vAlign w:val="bottom"/>
            <w:gridSpan w:val="5"/>
          </w:tcPr>
          <w:p>
            <w:pPr>
              <w:ind w:left="260"/>
              <w:spacing w:after="0"/>
              <w:rPr>
                <w:sz w:val="20"/>
                <w:szCs w:val="20"/>
                <w:color w:val="auto"/>
              </w:rPr>
            </w:pPr>
            <w:r>
              <w:rPr>
                <w:rFonts w:ascii="Arial" w:cs="Arial" w:eastAsia="Arial" w:hAnsi="Arial"/>
                <w:sz w:val="18"/>
                <w:szCs w:val="18"/>
                <w:color w:val="auto"/>
              </w:rPr>
              <w:t>Consent of Appleby Spurling Hunter (included in Exhibit 5.1 hereto).</w:t>
            </w:r>
          </w:p>
        </w:tc>
        <w:tc>
          <w:tcPr>
            <w:tcW w:w="4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720" w:type="dxa"/>
            <w:vAlign w:val="bottom"/>
          </w:tcPr>
          <w:p>
            <w:pPr>
              <w:jc w:val="right"/>
              <w:ind w:right="58"/>
              <w:spacing w:after="0"/>
              <w:rPr>
                <w:sz w:val="20"/>
                <w:szCs w:val="20"/>
                <w:color w:val="auto"/>
              </w:rPr>
            </w:pPr>
            <w:r>
              <w:rPr>
                <w:rFonts w:ascii="Arial" w:cs="Arial" w:eastAsia="Arial" w:hAnsi="Arial"/>
                <w:sz w:val="18"/>
                <w:szCs w:val="18"/>
                <w:color w:val="auto"/>
              </w:rPr>
              <w:t>24.1</w:t>
            </w:r>
          </w:p>
        </w:tc>
        <w:tc>
          <w:tcPr>
            <w:tcW w:w="240" w:type="dxa"/>
            <w:vAlign w:val="bottom"/>
          </w:tcPr>
          <w:p>
            <w:pPr>
              <w:spacing w:after="0"/>
              <w:rPr>
                <w:sz w:val="24"/>
                <w:szCs w:val="24"/>
                <w:color w:val="auto"/>
              </w:rPr>
            </w:pPr>
          </w:p>
        </w:tc>
        <w:tc>
          <w:tcPr>
            <w:tcW w:w="8380" w:type="dxa"/>
            <w:vAlign w:val="bottom"/>
            <w:gridSpan w:val="5"/>
          </w:tcPr>
          <w:p>
            <w:pPr>
              <w:ind w:left="260"/>
              <w:spacing w:after="0"/>
              <w:rPr>
                <w:sz w:val="20"/>
                <w:szCs w:val="20"/>
                <w:color w:val="auto"/>
              </w:rPr>
            </w:pPr>
            <w:r>
              <w:rPr>
                <w:rFonts w:ascii="Arial" w:cs="Arial" w:eastAsia="Arial" w:hAnsi="Arial"/>
                <w:sz w:val="18"/>
                <w:szCs w:val="18"/>
                <w:color w:val="auto"/>
              </w:rPr>
              <w:t>Power of Attorney (included on signature page hereto).</w:t>
            </w:r>
          </w:p>
        </w:tc>
        <w:tc>
          <w:tcPr>
            <w:tcW w:w="4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-1898650</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-1898650</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5" w:right="219" w:bottom="422" w:gutter="0" w:footer="0" w:header="0"/>
        </w:sectPr>
      </w:pPr>
    </w:p>
    <w:p>
      <w:pPr>
        <w:spacing w:after="0" w:line="202"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40"/>
          </w:cols>
          <w:pgMar w:left="240" w:top="125" w:right="219" w:bottom="422" w:gutter="0" w:footer="0" w:header="0"/>
          <w:type w:val="continuous"/>
        </w:sectPr>
      </w:pPr>
    </w:p>
    <w:bookmarkStart w:id="3" w:name="page4"/>
    <w:bookmarkEnd w:id="3"/>
    <w:p>
      <w:pPr>
        <w:spacing w:after="0" w:line="123"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100" w:type="dxa"/>
            <w:vAlign w:val="bottom"/>
          </w:tcPr>
          <w:p>
            <w:pPr>
              <w:spacing w:after="0"/>
              <w:rPr>
                <w:sz w:val="20"/>
                <w:szCs w:val="20"/>
                <w:color w:val="auto"/>
              </w:rPr>
            </w:pPr>
          </w:p>
        </w:tc>
        <w:tc>
          <w:tcPr>
            <w:tcW w:w="83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32"/>
        </w:trPr>
        <w:tc>
          <w:tcPr>
            <w:tcW w:w="3100" w:type="dxa"/>
            <w:vAlign w:val="bottom"/>
          </w:tcPr>
          <w:p>
            <w:pPr>
              <w:spacing w:after="0"/>
              <w:rPr>
                <w:sz w:val="24"/>
                <w:szCs w:val="24"/>
                <w:color w:val="auto"/>
              </w:rPr>
            </w:pPr>
          </w:p>
        </w:tc>
        <w:tc>
          <w:tcPr>
            <w:tcW w:w="8320" w:type="dxa"/>
            <w:vAlign w:val="bottom"/>
          </w:tcPr>
          <w:p>
            <w:pPr>
              <w:jc w:val="right"/>
              <w:ind w:right="3690"/>
              <w:spacing w:after="0"/>
              <w:rPr>
                <w:sz w:val="20"/>
                <w:szCs w:val="20"/>
                <w:color w:val="auto"/>
              </w:rPr>
            </w:pPr>
            <w:r>
              <w:rPr>
                <w:rFonts w:ascii="Arial" w:cs="Arial" w:eastAsia="Arial" w:hAnsi="Arial"/>
                <w:sz w:val="18"/>
                <w:szCs w:val="18"/>
                <w:color w:val="auto"/>
              </w:rPr>
              <w:t>[APPLEBY SPURLING HUNTER LETTERHEAD]</w:t>
            </w:r>
          </w:p>
        </w:tc>
        <w:tc>
          <w:tcPr>
            <w:tcW w:w="0" w:type="dxa"/>
            <w:vAlign w:val="bottom"/>
          </w:tcPr>
          <w:p>
            <w:pPr>
              <w:spacing w:after="0"/>
              <w:rPr>
                <w:sz w:val="1"/>
                <w:szCs w:val="1"/>
                <w:color w:val="auto"/>
              </w:rPr>
            </w:pPr>
          </w:p>
        </w:tc>
      </w:tr>
      <w:tr>
        <w:trPr>
          <w:trHeight w:val="418"/>
        </w:trPr>
        <w:tc>
          <w:tcPr>
            <w:tcW w:w="3100" w:type="dxa"/>
            <w:vAlign w:val="bottom"/>
          </w:tcPr>
          <w:p>
            <w:pPr>
              <w:spacing w:after="0"/>
              <w:rPr>
                <w:sz w:val="24"/>
                <w:szCs w:val="24"/>
                <w:color w:val="auto"/>
              </w:rPr>
            </w:pPr>
          </w:p>
        </w:tc>
        <w:tc>
          <w:tcPr>
            <w:tcW w:w="8320" w:type="dxa"/>
            <w:vAlign w:val="bottom"/>
          </w:tcPr>
          <w:p>
            <w:pPr>
              <w:jc w:val="right"/>
              <w:spacing w:after="0"/>
              <w:rPr>
                <w:sz w:val="20"/>
                <w:szCs w:val="20"/>
                <w:color w:val="auto"/>
              </w:rPr>
            </w:pPr>
            <w:r>
              <w:rPr>
                <w:rFonts w:ascii="Arial" w:cs="Arial" w:eastAsia="Arial" w:hAnsi="Arial"/>
                <w:sz w:val="18"/>
                <w:szCs w:val="18"/>
                <w:b w:val="1"/>
                <w:bCs w:val="1"/>
                <w:color w:val="auto"/>
              </w:rPr>
              <w:t>e-mail:</w:t>
            </w:r>
          </w:p>
        </w:tc>
        <w:tc>
          <w:tcPr>
            <w:tcW w:w="0" w:type="dxa"/>
            <w:vAlign w:val="bottom"/>
          </w:tcPr>
          <w:p>
            <w:pPr>
              <w:spacing w:after="0"/>
              <w:rPr>
                <w:sz w:val="1"/>
                <w:szCs w:val="1"/>
                <w:color w:val="auto"/>
              </w:rPr>
            </w:pPr>
          </w:p>
        </w:tc>
      </w:tr>
      <w:tr>
        <w:trPr>
          <w:trHeight w:val="230"/>
        </w:trPr>
        <w:tc>
          <w:tcPr>
            <w:tcW w:w="3100" w:type="dxa"/>
            <w:vAlign w:val="bottom"/>
          </w:tcPr>
          <w:p>
            <w:pPr>
              <w:spacing w:after="0"/>
              <w:rPr>
                <w:sz w:val="20"/>
                <w:szCs w:val="20"/>
                <w:color w:val="auto"/>
              </w:rPr>
            </w:pPr>
          </w:p>
        </w:tc>
        <w:tc>
          <w:tcPr>
            <w:tcW w:w="8320" w:type="dxa"/>
            <w:vAlign w:val="bottom"/>
          </w:tcPr>
          <w:p>
            <w:pPr>
              <w:jc w:val="right"/>
              <w:spacing w:after="0"/>
              <w:rPr>
                <w:sz w:val="20"/>
                <w:szCs w:val="20"/>
                <w:color w:val="auto"/>
              </w:rPr>
            </w:pPr>
            <w:r>
              <w:rPr>
                <w:rFonts w:ascii="Arial" w:cs="Arial" w:eastAsia="Arial" w:hAnsi="Arial"/>
                <w:sz w:val="18"/>
                <w:szCs w:val="18"/>
                <w:color w:val="auto"/>
              </w:rPr>
              <w:t>TAmissah@applebyglobal.com</w:t>
            </w:r>
          </w:p>
        </w:tc>
        <w:tc>
          <w:tcPr>
            <w:tcW w:w="0" w:type="dxa"/>
            <w:vAlign w:val="bottom"/>
          </w:tcPr>
          <w:p>
            <w:pPr>
              <w:spacing w:after="0"/>
              <w:rPr>
                <w:sz w:val="1"/>
                <w:szCs w:val="1"/>
                <w:color w:val="auto"/>
              </w:rPr>
            </w:pPr>
          </w:p>
        </w:tc>
      </w:tr>
      <w:tr>
        <w:trPr>
          <w:trHeight w:val="630"/>
        </w:trPr>
        <w:tc>
          <w:tcPr>
            <w:tcW w:w="310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8320" w:type="dxa"/>
            <w:vAlign w:val="bottom"/>
          </w:tcPr>
          <w:p>
            <w:pPr>
              <w:jc w:val="right"/>
              <w:spacing w:after="0"/>
              <w:rPr>
                <w:sz w:val="20"/>
                <w:szCs w:val="20"/>
                <w:color w:val="auto"/>
              </w:rPr>
            </w:pPr>
            <w:r>
              <w:rPr>
                <w:rFonts w:ascii="Arial" w:cs="Arial" w:eastAsia="Arial" w:hAnsi="Arial"/>
                <w:sz w:val="18"/>
                <w:szCs w:val="18"/>
                <w:b w:val="1"/>
                <w:bCs w:val="1"/>
                <w:color w:val="auto"/>
              </w:rPr>
              <w:t>direct dial:</w:t>
            </w:r>
          </w:p>
        </w:tc>
        <w:tc>
          <w:tcPr>
            <w:tcW w:w="0" w:type="dxa"/>
            <w:vAlign w:val="bottom"/>
          </w:tcPr>
          <w:p>
            <w:pPr>
              <w:spacing w:after="0"/>
              <w:rPr>
                <w:sz w:val="1"/>
                <w:szCs w:val="1"/>
                <w:color w:val="auto"/>
              </w:rPr>
            </w:pPr>
          </w:p>
        </w:tc>
      </w:tr>
      <w:tr>
        <w:trPr>
          <w:trHeight w:val="216"/>
        </w:trPr>
        <w:tc>
          <w:tcPr>
            <w:tcW w:w="3100" w:type="dxa"/>
            <w:vAlign w:val="bottom"/>
          </w:tcPr>
          <w:p>
            <w:pPr>
              <w:spacing w:after="0"/>
              <w:rPr>
                <w:sz w:val="20"/>
                <w:szCs w:val="20"/>
                <w:color w:val="auto"/>
              </w:rPr>
            </w:pPr>
            <w:r>
              <w:rPr>
                <w:rFonts w:ascii="Arial" w:cs="Arial" w:eastAsia="Arial" w:hAnsi="Arial"/>
                <w:sz w:val="18"/>
                <w:szCs w:val="18"/>
                <w:color w:val="auto"/>
              </w:rPr>
              <w:t>Argyle House</w:t>
            </w:r>
          </w:p>
        </w:tc>
        <w:tc>
          <w:tcPr>
            <w:tcW w:w="832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(441) 298 3201</w:t>
            </w:r>
          </w:p>
        </w:tc>
        <w:tc>
          <w:tcPr>
            <w:tcW w:w="0" w:type="dxa"/>
            <w:vAlign w:val="bottom"/>
          </w:tcPr>
          <w:p>
            <w:pPr>
              <w:spacing w:after="0"/>
              <w:rPr>
                <w:sz w:val="1"/>
                <w:szCs w:val="1"/>
                <w:color w:val="auto"/>
              </w:rPr>
            </w:pPr>
          </w:p>
        </w:tc>
      </w:tr>
      <w:tr>
        <w:trPr>
          <w:trHeight w:val="220"/>
        </w:trPr>
        <w:tc>
          <w:tcPr>
            <w:tcW w:w="3100" w:type="dxa"/>
            <w:vAlign w:val="bottom"/>
          </w:tcPr>
          <w:p>
            <w:pPr>
              <w:spacing w:after="0"/>
              <w:rPr>
                <w:sz w:val="20"/>
                <w:szCs w:val="20"/>
                <w:color w:val="auto"/>
              </w:rPr>
            </w:pPr>
            <w:r>
              <w:rPr>
                <w:rFonts w:ascii="Arial" w:cs="Arial" w:eastAsia="Arial" w:hAnsi="Arial"/>
                <w:sz w:val="18"/>
                <w:szCs w:val="18"/>
                <w:color w:val="auto"/>
              </w:rPr>
              <w:t>41A Cedar Avenue</w:t>
            </w:r>
          </w:p>
        </w:tc>
        <w:tc>
          <w:tcPr>
            <w:tcW w:w="832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(441) 298 3336</w:t>
            </w:r>
          </w:p>
        </w:tc>
        <w:tc>
          <w:tcPr>
            <w:tcW w:w="0" w:type="dxa"/>
            <w:vAlign w:val="bottom"/>
          </w:tcPr>
          <w:p>
            <w:pPr>
              <w:spacing w:after="0"/>
              <w:rPr>
                <w:sz w:val="1"/>
                <w:szCs w:val="1"/>
                <w:color w:val="auto"/>
              </w:rPr>
            </w:pPr>
          </w:p>
        </w:tc>
      </w:tr>
      <w:tr>
        <w:trPr>
          <w:trHeight w:val="216"/>
        </w:trPr>
        <w:tc>
          <w:tcPr>
            <w:tcW w:w="3100" w:type="dxa"/>
            <w:vAlign w:val="bottom"/>
          </w:tcPr>
          <w:p>
            <w:pPr>
              <w:spacing w:after="0"/>
              <w:rPr>
                <w:sz w:val="20"/>
                <w:szCs w:val="20"/>
                <w:color w:val="auto"/>
              </w:rPr>
            </w:pPr>
            <w:r>
              <w:rPr>
                <w:rFonts w:ascii="Arial" w:cs="Arial" w:eastAsia="Arial" w:hAnsi="Arial"/>
                <w:sz w:val="18"/>
                <w:szCs w:val="18"/>
                <w:color w:val="auto"/>
              </w:rPr>
              <w:t>Hamilton HM 12</w:t>
            </w:r>
          </w:p>
        </w:tc>
        <w:tc>
          <w:tcPr>
            <w:tcW w:w="832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230"/>
        </w:trPr>
        <w:tc>
          <w:tcPr>
            <w:tcW w:w="3100" w:type="dxa"/>
            <w:vAlign w:val="bottom"/>
          </w:tcPr>
          <w:p>
            <w:pPr>
              <w:spacing w:after="0"/>
              <w:rPr>
                <w:sz w:val="20"/>
                <w:szCs w:val="20"/>
                <w:color w:val="auto"/>
              </w:rPr>
            </w:pPr>
            <w:r>
              <w:rPr>
                <w:rFonts w:ascii="Arial" w:cs="Arial" w:eastAsia="Arial" w:hAnsi="Arial"/>
                <w:sz w:val="18"/>
                <w:szCs w:val="18"/>
                <w:color w:val="auto"/>
              </w:rPr>
              <w:t>Bermuda</w:t>
            </w:r>
          </w:p>
        </w:tc>
        <w:tc>
          <w:tcPr>
            <w:tcW w:w="832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640"/>
        </w:trPr>
        <w:tc>
          <w:tcPr>
            <w:tcW w:w="3100" w:type="dxa"/>
            <w:vAlign w:val="bottom"/>
          </w:tcPr>
          <w:p>
            <w:pPr>
              <w:spacing w:after="0"/>
              <w:rPr>
                <w:sz w:val="24"/>
                <w:szCs w:val="24"/>
                <w:color w:val="auto"/>
              </w:rPr>
            </w:pPr>
          </w:p>
        </w:tc>
        <w:tc>
          <w:tcPr>
            <w:tcW w:w="8320" w:type="dxa"/>
            <w:vAlign w:val="bottom"/>
          </w:tcPr>
          <w:p>
            <w:pPr>
              <w:jc w:val="right"/>
              <w:spacing w:after="0"/>
              <w:rPr>
                <w:sz w:val="20"/>
                <w:szCs w:val="20"/>
                <w:color w:val="auto"/>
              </w:rPr>
            </w:pPr>
            <w:r>
              <w:rPr>
                <w:rFonts w:ascii="Arial" w:cs="Arial" w:eastAsia="Arial" w:hAnsi="Arial"/>
                <w:sz w:val="18"/>
                <w:szCs w:val="18"/>
                <w:b w:val="1"/>
                <w:bCs w:val="1"/>
                <w:color w:val="auto"/>
              </w:rPr>
              <w:t>appleby ref:</w:t>
            </w:r>
          </w:p>
        </w:tc>
        <w:tc>
          <w:tcPr>
            <w:tcW w:w="0" w:type="dxa"/>
            <w:vAlign w:val="bottom"/>
          </w:tcPr>
          <w:p>
            <w:pPr>
              <w:spacing w:after="0"/>
              <w:rPr>
                <w:sz w:val="1"/>
                <w:szCs w:val="1"/>
                <w:color w:val="auto"/>
              </w:rPr>
            </w:pPr>
          </w:p>
        </w:tc>
      </w:tr>
      <w:tr>
        <w:trPr>
          <w:trHeight w:val="222"/>
        </w:trPr>
        <w:tc>
          <w:tcPr>
            <w:tcW w:w="3100" w:type="dxa"/>
            <w:vAlign w:val="bottom"/>
          </w:tcPr>
          <w:p>
            <w:pPr>
              <w:spacing w:after="0"/>
              <w:rPr>
                <w:sz w:val="19"/>
                <w:szCs w:val="19"/>
                <w:color w:val="auto"/>
              </w:rPr>
            </w:pPr>
          </w:p>
        </w:tc>
        <w:tc>
          <w:tcPr>
            <w:tcW w:w="8320" w:type="dxa"/>
            <w:vAlign w:val="bottom"/>
          </w:tcPr>
          <w:p>
            <w:pPr>
              <w:jc w:val="right"/>
              <w:spacing w:after="0"/>
              <w:rPr>
                <w:sz w:val="20"/>
                <w:szCs w:val="20"/>
                <w:color w:val="auto"/>
              </w:rPr>
            </w:pPr>
            <w:r>
              <w:rPr>
                <w:rFonts w:ascii="Arial" w:cs="Arial" w:eastAsia="Arial" w:hAnsi="Arial"/>
                <w:sz w:val="18"/>
                <w:szCs w:val="18"/>
                <w:color w:val="auto"/>
              </w:rPr>
              <w:t>TA/ajc/124194.23</w:t>
            </w:r>
          </w:p>
        </w:tc>
        <w:tc>
          <w:tcPr>
            <w:tcW w:w="0" w:type="dxa"/>
            <w:vAlign w:val="bottom"/>
          </w:tcPr>
          <w:p>
            <w:pPr>
              <w:spacing w:after="0"/>
              <w:rPr>
                <w:sz w:val="1"/>
                <w:szCs w:val="1"/>
                <w:color w:val="auto"/>
              </w:rPr>
            </w:pPr>
          </w:p>
        </w:tc>
      </w:tr>
      <w:tr>
        <w:trPr>
          <w:trHeight w:val="452"/>
        </w:trPr>
        <w:tc>
          <w:tcPr>
            <w:tcW w:w="3100" w:type="dxa"/>
            <w:vAlign w:val="bottom"/>
          </w:tcPr>
          <w:p>
            <w:pPr>
              <w:spacing w:after="0"/>
              <w:rPr>
                <w:sz w:val="20"/>
                <w:szCs w:val="20"/>
                <w:color w:val="auto"/>
              </w:rPr>
            </w:pPr>
            <w:r>
              <w:rPr>
                <w:rFonts w:ascii="Arial" w:cs="Arial" w:eastAsia="Arial" w:hAnsi="Arial"/>
                <w:sz w:val="20"/>
                <w:szCs w:val="20"/>
                <w:color w:val="auto"/>
              </w:rPr>
              <w:t>Dear Sirs</w:t>
            </w:r>
          </w:p>
        </w:tc>
        <w:tc>
          <w:tcPr>
            <w:tcW w:w="8320" w:type="dxa"/>
            <w:vAlign w:val="bottom"/>
          </w:tcPr>
          <w:p>
            <w:pPr>
              <w:jc w:val="right"/>
              <w:spacing w:after="0"/>
              <w:rPr>
                <w:sz w:val="20"/>
                <w:szCs w:val="20"/>
                <w:color w:val="auto"/>
              </w:rPr>
            </w:pPr>
            <w:r>
              <w:rPr>
                <w:rFonts w:ascii="Arial" w:cs="Arial" w:eastAsia="Arial" w:hAnsi="Arial"/>
                <w:sz w:val="18"/>
                <w:szCs w:val="18"/>
                <w:color w:val="auto"/>
              </w:rPr>
              <w:t>12 April 2006</w:t>
            </w:r>
          </w:p>
        </w:tc>
        <w:tc>
          <w:tcPr>
            <w:tcW w:w="0" w:type="dxa"/>
            <w:vAlign w:val="bottom"/>
          </w:tcPr>
          <w:p>
            <w:pPr>
              <w:spacing w:after="0"/>
              <w:rPr>
                <w:sz w:val="1"/>
                <w:szCs w:val="1"/>
                <w:color w:val="auto"/>
              </w:rPr>
            </w:pPr>
          </w:p>
        </w:tc>
      </w:tr>
    </w:tbl>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(the “Company”)</w:t>
      </w:r>
    </w:p>
    <w:p>
      <w:pPr>
        <w:spacing w:after="0" w:line="229"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14,569,406 of the Company’s common shares of par value US$0.002 per share to be issued pursuant to the terms of the Marvell Technology Group Ltd. Amended and Restated 1995 Stock Option Plan and 4,000,000 of the Company’s common shares of par value US$0.002 per share to be issued pursuant to the terms of the Marvell Technology Group Ltd. Amended 2000 Employee Stock Purchase Plan (the “Common Shares”).</w:t>
      </w:r>
    </w:p>
    <w:p>
      <w:pPr>
        <w:spacing w:after="0" w:line="173"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Assumptions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225" w:lineRule="exact"/>
        <w:rPr>
          <w:sz w:val="20"/>
          <w:szCs w:val="20"/>
          <w:color w:val="auto"/>
        </w:rPr>
      </w:pPr>
    </w:p>
    <w:p>
      <w:pPr>
        <w:jc w:val="both"/>
        <w:ind w:left="660" w:right="720" w:hanging="652"/>
        <w:spacing w:after="0" w:line="264" w:lineRule="auto"/>
        <w:tabs>
          <w:tab w:leader="none" w:pos="671"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27" w:lineRule="exact"/>
        <w:rPr>
          <w:rFonts w:ascii="Arial" w:cs="Arial" w:eastAsia="Arial" w:hAnsi="Arial"/>
          <w:sz w:val="18"/>
          <w:szCs w:val="18"/>
          <w:color w:val="auto"/>
        </w:rPr>
      </w:pPr>
    </w:p>
    <w:p>
      <w:pPr>
        <w:ind w:left="660" w:right="300" w:hanging="652"/>
        <w:spacing w:after="0" w:line="277" w:lineRule="auto"/>
        <w:tabs>
          <w:tab w:leader="none" w:pos="671" w:val="left"/>
        </w:tabs>
        <w:numPr>
          <w:ilvl w:val="0"/>
          <w:numId w:val="3"/>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170" w:lineRule="exact"/>
        <w:rPr>
          <w:rFonts w:ascii="Arial" w:cs="Arial" w:eastAsia="Arial" w:hAnsi="Arial"/>
          <w:sz w:val="18"/>
          <w:szCs w:val="18"/>
          <w:color w:val="auto"/>
        </w:rPr>
      </w:pPr>
    </w:p>
    <w:p>
      <w:pPr>
        <w:ind w:left="660" w:right="520" w:hanging="652"/>
        <w:spacing w:after="0" w:line="277" w:lineRule="auto"/>
        <w:tabs>
          <w:tab w:leader="none" w:pos="667" w:val="left"/>
        </w:tabs>
        <w:numPr>
          <w:ilvl w:val="0"/>
          <w:numId w:val="3"/>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170" w:lineRule="exact"/>
        <w:rPr>
          <w:rFonts w:ascii="Arial" w:cs="Arial" w:eastAsia="Arial" w:hAnsi="Arial"/>
          <w:sz w:val="18"/>
          <w:szCs w:val="18"/>
          <w:color w:val="auto"/>
        </w:rPr>
      </w:pPr>
    </w:p>
    <w:p>
      <w:pPr>
        <w:ind w:left="660" w:right="340" w:hanging="652"/>
        <w:spacing w:after="0" w:line="277" w:lineRule="auto"/>
        <w:tabs>
          <w:tab w:leader="none" w:pos="671" w:val="left"/>
        </w:tabs>
        <w:numPr>
          <w:ilvl w:val="0"/>
          <w:numId w:val="3"/>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Plans and the Resolutions, other than as to the laws of Bermuda, are true, accurate and complete in all material respects;</w:t>
      </w:r>
    </w:p>
    <w:p>
      <w:pPr>
        <w:spacing w:after="0" w:line="170" w:lineRule="exact"/>
        <w:rPr>
          <w:rFonts w:ascii="Arial" w:cs="Arial" w:eastAsia="Arial" w:hAnsi="Arial"/>
          <w:sz w:val="18"/>
          <w:szCs w:val="18"/>
          <w:color w:val="auto"/>
        </w:rPr>
      </w:pPr>
    </w:p>
    <w:p>
      <w:pPr>
        <w:ind w:left="660" w:right="20" w:hanging="652"/>
        <w:spacing w:after="0" w:line="255" w:lineRule="auto"/>
        <w:tabs>
          <w:tab w:leader="none" w:pos="678" w:val="left"/>
        </w:tabs>
        <w:numPr>
          <w:ilvl w:val="0"/>
          <w:numId w:val="3"/>
        </w:numPr>
        <w:rPr>
          <w:rFonts w:ascii="Arial" w:cs="Arial" w:eastAsia="Arial" w:hAnsi="Arial"/>
          <w:sz w:val="18"/>
          <w:szCs w:val="18"/>
          <w:color w:val="auto"/>
        </w:rPr>
      </w:pPr>
      <w:r>
        <w:rPr>
          <w:rFonts w:ascii="Arial" w:cs="Arial" w:eastAsia="Arial" w:hAnsi="Arial"/>
          <w:sz w:val="18"/>
          <w:szCs w:val="18"/>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bring about the issue of the Common Shares by the Company under the terms of the Plans, not disclosed by the Constitutional Documents or the Resolutions, which would have any adverse implication in relation to the opinions expressed herein;</w:t>
      </w:r>
    </w:p>
    <w:p>
      <w:pPr>
        <w:spacing w:after="0" w:line="189" w:lineRule="exact"/>
        <w:rPr>
          <w:rFonts w:ascii="Arial" w:cs="Arial" w:eastAsia="Arial" w:hAnsi="Arial"/>
          <w:sz w:val="18"/>
          <w:szCs w:val="18"/>
          <w:color w:val="auto"/>
        </w:rPr>
      </w:pPr>
    </w:p>
    <w:p>
      <w:pPr>
        <w:ind w:left="660" w:hanging="652"/>
        <w:spacing w:after="0" w:line="277" w:lineRule="auto"/>
        <w:tabs>
          <w:tab w:leader="none" w:pos="667" w:val="left"/>
        </w:tabs>
        <w:numPr>
          <w:ilvl w:val="0"/>
          <w:numId w:val="3"/>
        </w:numPr>
        <w:rPr>
          <w:rFonts w:ascii="Arial" w:cs="Arial" w:eastAsia="Arial" w:hAnsi="Arial"/>
          <w:sz w:val="18"/>
          <w:szCs w:val="18"/>
          <w:color w:val="auto"/>
        </w:rPr>
      </w:pPr>
      <w:r>
        <w:rPr>
          <w:rFonts w:ascii="Arial" w:cs="Arial" w:eastAsia="Arial" w:hAnsi="Arial"/>
          <w:sz w:val="18"/>
          <w:szCs w:val="18"/>
          <w:color w:val="auto"/>
        </w:rPr>
        <w:t>that any awards granted under the Plans relevant to this opinion (collectively, “Awards”) will constitute the legal, valid and binding obligations of the parties thereto, other than the Company;</w:t>
      </w:r>
    </w:p>
    <w:p>
      <w:pPr>
        <w:spacing w:after="0" w:line="170" w:lineRule="exact"/>
        <w:rPr>
          <w:rFonts w:ascii="Arial" w:cs="Arial" w:eastAsia="Arial" w:hAnsi="Arial"/>
          <w:sz w:val="18"/>
          <w:szCs w:val="18"/>
          <w:color w:val="auto"/>
        </w:rPr>
      </w:pPr>
    </w:p>
    <w:p>
      <w:pPr>
        <w:ind w:left="660" w:right="140" w:hanging="652"/>
        <w:spacing w:after="0" w:line="277" w:lineRule="auto"/>
        <w:tabs>
          <w:tab w:leader="none" w:pos="667" w:val="left"/>
        </w:tabs>
        <w:numPr>
          <w:ilvl w:val="0"/>
          <w:numId w:val="3"/>
        </w:numPr>
        <w:rPr>
          <w:rFonts w:ascii="Arial" w:cs="Arial" w:eastAsia="Arial" w:hAnsi="Arial"/>
          <w:sz w:val="18"/>
          <w:szCs w:val="18"/>
          <w:color w:val="auto"/>
        </w:rPr>
      </w:pP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170" w:lineRule="exact"/>
        <w:rPr>
          <w:rFonts w:ascii="Arial" w:cs="Arial" w:eastAsia="Arial" w:hAnsi="Arial"/>
          <w:sz w:val="18"/>
          <w:szCs w:val="18"/>
          <w:color w:val="auto"/>
        </w:rPr>
      </w:pPr>
    </w:p>
    <w:p>
      <w:pPr>
        <w:ind w:left="660" w:right="140" w:hanging="652"/>
        <w:spacing w:after="0" w:line="342" w:lineRule="auto"/>
        <w:tabs>
          <w:tab w:leader="none" w:pos="681" w:val="left"/>
        </w:tabs>
        <w:numPr>
          <w:ilvl w:val="0"/>
          <w:numId w:val="3"/>
        </w:numPr>
        <w:rPr>
          <w:rFonts w:ascii="Arial" w:cs="Arial" w:eastAsia="Arial" w:hAnsi="Arial"/>
          <w:sz w:val="16"/>
          <w:szCs w:val="16"/>
          <w:color w:val="auto"/>
        </w:rPr>
      </w:pPr>
      <w:r>
        <w:rPr>
          <w:rFonts w:ascii="Arial" w:cs="Arial" w:eastAsia="Arial" w:hAnsi="Arial"/>
          <w:sz w:val="16"/>
          <w:szCs w:val="16"/>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-3858260</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right="20" w:hanging="652"/>
        <w:spacing w:after="0" w:line="342" w:lineRule="auto"/>
        <w:tabs>
          <w:tab w:leader="none" w:pos="681" w:val="left"/>
        </w:tabs>
        <w:numPr>
          <w:ilvl w:val="0"/>
          <w:numId w:val="4"/>
        </w:numPr>
        <w:rPr>
          <w:rFonts w:ascii="Arial" w:cs="Arial" w:eastAsia="Arial" w:hAnsi="Arial"/>
          <w:sz w:val="16"/>
          <w:szCs w:val="16"/>
          <w:color w:val="auto"/>
        </w:rPr>
      </w:pPr>
      <w:r>
        <w:rPr>
          <w:rFonts w:ascii="Arial" w:cs="Arial" w:eastAsia="Arial" w:hAnsi="Arial"/>
          <w:sz w:val="16"/>
          <w:szCs w:val="16"/>
          <w:color w:val="auto"/>
        </w:rPr>
        <w:t>that at the time of issue by the Stock Option Committee of the Board of Directors (the “Committee”) of any Award, or any Common Shares pursuant to any such Award, such Committee was duly constituted and at the date hereof remains a duly constituted committee of the Board of Directors of</w:t>
      </w:r>
    </w:p>
    <w:p>
      <w:pPr>
        <w:sectPr>
          <w:pgSz w:w="11900" w:h="16962" w:orient="portrait"/>
          <w:cols w:equalWidth="0" w:num="1">
            <w:col w:w="11420"/>
          </w:cols>
          <w:pgMar w:left="240" w:top="121" w:right="239" w:bottom="0" w:gutter="0" w:footer="0" w:header="0"/>
        </w:sectPr>
      </w:pPr>
    </w:p>
    <w:bookmarkStart w:id="4" w:name="page5"/>
    <w:bookmarkEnd w:id="4"/>
    <w:p>
      <w:pPr>
        <w:ind w:left="660"/>
        <w:spacing w:after="0"/>
        <w:rPr>
          <w:sz w:val="20"/>
          <w:szCs w:val="20"/>
          <w:color w:val="auto"/>
        </w:rPr>
      </w:pPr>
      <w:r>
        <w:rPr>
          <w:rFonts w:ascii="Arial" w:cs="Arial" w:eastAsia="Arial" w:hAnsi="Arial"/>
          <w:sz w:val="18"/>
          <w:szCs w:val="18"/>
          <w:color w:val="auto"/>
        </w:rPr>
        <w:t>the Company having the necessary powers and authorities to issue Awards and Common Shares pursuant to the Plans;</w:t>
      </w:r>
    </w:p>
    <w:p>
      <w:pPr>
        <w:spacing w:after="0" w:line="225" w:lineRule="exact"/>
        <w:rPr>
          <w:sz w:val="20"/>
          <w:szCs w:val="20"/>
          <w:color w:val="auto"/>
        </w:rPr>
      </w:pPr>
    </w:p>
    <w:p>
      <w:pPr>
        <w:ind w:left="660" w:hanging="652"/>
        <w:spacing w:after="0" w:line="312" w:lineRule="auto"/>
        <w:tabs>
          <w:tab w:leader="none" w:pos="681" w:val="left"/>
        </w:tabs>
        <w:numPr>
          <w:ilvl w:val="0"/>
          <w:numId w:val="5"/>
        </w:numPr>
        <w:rPr>
          <w:rFonts w:ascii="Arial" w:cs="Arial" w:eastAsia="Arial" w:hAnsi="Arial"/>
          <w:sz w:val="16"/>
          <w:szCs w:val="16"/>
          <w:color w:val="auto"/>
        </w:rPr>
      </w:pPr>
      <w:r>
        <w:rPr>
          <w:rFonts w:ascii="Arial" w:cs="Arial" w:eastAsia="Arial" w:hAnsi="Arial"/>
          <w:sz w:val="16"/>
          <w:szCs w:val="16"/>
          <w:color w:val="auto"/>
        </w:rPr>
        <w:t>that the approval of the issue of any Awards and of any Common Shares under Awards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146" w:lineRule="exact"/>
        <w:rPr>
          <w:rFonts w:ascii="Arial" w:cs="Arial" w:eastAsia="Arial" w:hAnsi="Arial"/>
          <w:sz w:val="16"/>
          <w:szCs w:val="16"/>
          <w:color w:val="auto"/>
        </w:rPr>
      </w:pPr>
    </w:p>
    <w:p>
      <w:pPr>
        <w:ind w:left="660" w:right="40" w:hanging="652"/>
        <w:spacing w:after="0" w:line="264" w:lineRule="auto"/>
        <w:tabs>
          <w:tab w:leader="none" w:pos="681" w:val="left"/>
        </w:tabs>
        <w:numPr>
          <w:ilvl w:val="0"/>
          <w:numId w:val="5"/>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Plans is authorised, the issue price will not be less than the par value of the Shares and that the Company will have sufficient authorised share capital to effect such issue and will continue to hold the necessary Consent from the Bermuda Monetary Authority for such share issue;</w:t>
      </w:r>
    </w:p>
    <w:p>
      <w:pPr>
        <w:spacing w:after="0" w:line="181" w:lineRule="exact"/>
        <w:rPr>
          <w:rFonts w:ascii="Arial" w:cs="Arial" w:eastAsia="Arial" w:hAnsi="Arial"/>
          <w:sz w:val="18"/>
          <w:szCs w:val="18"/>
          <w:color w:val="auto"/>
        </w:rPr>
      </w:pPr>
    </w:p>
    <w:p>
      <w:pPr>
        <w:jc w:val="both"/>
        <w:ind w:left="660" w:right="100" w:hanging="652"/>
        <w:spacing w:after="0" w:line="312" w:lineRule="auto"/>
        <w:tabs>
          <w:tab w:leader="none" w:pos="690" w:val="left"/>
        </w:tabs>
        <w:numPr>
          <w:ilvl w:val="0"/>
          <w:numId w:val="5"/>
        </w:numPr>
        <w:rPr>
          <w:rFonts w:ascii="Arial" w:cs="Arial" w:eastAsia="Arial" w:hAnsi="Arial"/>
          <w:sz w:val="16"/>
          <w:szCs w:val="16"/>
          <w:color w:val="auto"/>
        </w:rPr>
      </w:pPr>
      <w:r>
        <w:rPr>
          <w:rFonts w:ascii="Arial" w:cs="Arial" w:eastAsia="Arial" w:hAnsi="Arial"/>
          <w:sz w:val="16"/>
          <w:szCs w:val="16"/>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that Award;</w:t>
      </w:r>
    </w:p>
    <w:p>
      <w:pPr>
        <w:spacing w:after="0" w:line="146" w:lineRule="exact"/>
        <w:rPr>
          <w:rFonts w:ascii="Arial" w:cs="Arial" w:eastAsia="Arial" w:hAnsi="Arial"/>
          <w:sz w:val="16"/>
          <w:szCs w:val="16"/>
          <w:color w:val="auto"/>
        </w:rPr>
      </w:pPr>
    </w:p>
    <w:p>
      <w:pPr>
        <w:ind w:left="660" w:right="500" w:hanging="652"/>
        <w:spacing w:after="0" w:line="277" w:lineRule="auto"/>
        <w:tabs>
          <w:tab w:leader="none" w:pos="667" w:val="left"/>
        </w:tabs>
        <w:numPr>
          <w:ilvl w:val="0"/>
          <w:numId w:val="5"/>
        </w:numPr>
        <w:rPr>
          <w:rFonts w:ascii="Arial" w:cs="Arial" w:eastAsia="Arial" w:hAnsi="Arial"/>
          <w:sz w:val="18"/>
          <w:szCs w:val="18"/>
          <w:color w:val="auto"/>
        </w:rPr>
      </w:pPr>
      <w:r>
        <w:rPr>
          <w:rFonts w:ascii="Arial" w:cs="Arial" w:eastAsia="Arial" w:hAnsi="Arial"/>
          <w:sz w:val="18"/>
          <w:szCs w:val="18"/>
          <w:color w:val="auto"/>
        </w:rPr>
        <w:t>that when filed with the Securities and Exchange Commission, the Registration Statement will not differ in any material respect from the draft referred to in paragraph 1 of the Schedule;</w:t>
      </w:r>
    </w:p>
    <w:p>
      <w:pPr>
        <w:spacing w:after="0" w:line="170" w:lineRule="exact"/>
        <w:rPr>
          <w:rFonts w:ascii="Arial" w:cs="Arial" w:eastAsia="Arial" w:hAnsi="Arial"/>
          <w:sz w:val="18"/>
          <w:szCs w:val="18"/>
          <w:color w:val="auto"/>
        </w:rPr>
      </w:pPr>
    </w:p>
    <w:p>
      <w:pPr>
        <w:ind w:left="660" w:right="120" w:hanging="652"/>
        <w:spacing w:after="0" w:line="342" w:lineRule="auto"/>
        <w:tabs>
          <w:tab w:leader="none" w:pos="667" w:val="left"/>
        </w:tabs>
        <w:numPr>
          <w:ilvl w:val="0"/>
          <w:numId w:val="5"/>
        </w:numPr>
        <w:rPr>
          <w:rFonts w:ascii="Arial" w:cs="Arial" w:eastAsia="Arial" w:hAnsi="Arial"/>
          <w:sz w:val="16"/>
          <w:szCs w:val="16"/>
          <w:color w:val="auto"/>
        </w:rPr>
      </w:pPr>
      <w:r>
        <w:rPr>
          <w:rFonts w:ascii="Arial" w:cs="Arial" w:eastAsia="Arial" w:hAnsi="Arial"/>
          <w:sz w:val="16"/>
          <w:szCs w:val="16"/>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right="120" w:hanging="652"/>
        <w:spacing w:after="0" w:line="342" w:lineRule="auto"/>
        <w:tabs>
          <w:tab w:leader="none" w:pos="667" w:val="left"/>
        </w:tabs>
        <w:numPr>
          <w:ilvl w:val="0"/>
          <w:numId w:val="6"/>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Opinion</w:t>
      </w:r>
    </w:p>
    <w:p>
      <w:pPr>
        <w:spacing w:after="0" w:line="229"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Awards and when fully paid for pursuant to and in accordance with the terms and conditions of the Plans, as contemplated by the Plans, the Common Shares will be validly issued, fully-paid and non-assessable shares in the capital of the Company.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Reservations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225" w:lineRule="exact"/>
        <w:rPr>
          <w:sz w:val="20"/>
          <w:szCs w:val="20"/>
          <w:color w:val="auto"/>
        </w:rPr>
      </w:pPr>
    </w:p>
    <w:p>
      <w:pPr>
        <w:ind w:left="660" w:right="240" w:hanging="652"/>
        <w:spacing w:after="0" w:line="264" w:lineRule="auto"/>
        <w:tabs>
          <w:tab w:leader="none" w:pos="671"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1" w:lineRule="exact"/>
        <w:rPr>
          <w:rFonts w:ascii="Arial" w:cs="Arial" w:eastAsia="Arial" w:hAnsi="Arial"/>
          <w:sz w:val="18"/>
          <w:szCs w:val="18"/>
          <w:color w:val="auto"/>
        </w:rPr>
      </w:pPr>
    </w:p>
    <w:p>
      <w:pPr>
        <w:ind w:left="660" w:right="160" w:hanging="652"/>
        <w:spacing w:after="0" w:line="257" w:lineRule="auto"/>
        <w:tabs>
          <w:tab w:leader="none" w:pos="667"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8" w:lineRule="exact"/>
        <w:rPr>
          <w:rFonts w:ascii="Arial" w:cs="Arial" w:eastAsia="Arial" w:hAnsi="Arial"/>
          <w:sz w:val="18"/>
          <w:szCs w:val="18"/>
          <w:color w:val="auto"/>
        </w:rPr>
      </w:pPr>
    </w:p>
    <w:p>
      <w:pPr>
        <w:ind w:left="660" w:right="420" w:hanging="652"/>
        <w:spacing w:after="0" w:line="277" w:lineRule="auto"/>
        <w:tabs>
          <w:tab w:leader="none" w:pos="671" w:val="left"/>
        </w:tabs>
        <w:numPr>
          <w:ilvl w:val="0"/>
          <w:numId w:val="7"/>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1300" w:right="380" w:hanging="644"/>
        <w:spacing w:after="0" w:line="312" w:lineRule="auto"/>
        <w:tabs>
          <w:tab w:leader="none" w:pos="1321" w:val="left"/>
        </w:tabs>
        <w:numPr>
          <w:ilvl w:val="0"/>
          <w:numId w:val="8"/>
        </w:numPr>
        <w:rPr>
          <w:rFonts w:ascii="Arial" w:cs="Arial" w:eastAsia="Arial" w:hAnsi="Arial"/>
          <w:sz w:val="16"/>
          <w:szCs w:val="16"/>
          <w:color w:val="auto"/>
        </w:rPr>
      </w:pP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146" w:lineRule="exact"/>
        <w:rPr>
          <w:rFonts w:ascii="Arial" w:cs="Arial" w:eastAsia="Arial" w:hAnsi="Arial"/>
          <w:sz w:val="16"/>
          <w:szCs w:val="16"/>
          <w:color w:val="auto"/>
        </w:rPr>
      </w:pPr>
    </w:p>
    <w:p>
      <w:pPr>
        <w:ind w:left="1300" w:right="700" w:hanging="644"/>
        <w:spacing w:after="0" w:line="277" w:lineRule="auto"/>
        <w:tabs>
          <w:tab w:leader="none" w:pos="1331" w:val="left"/>
        </w:tabs>
        <w:numPr>
          <w:ilvl w:val="0"/>
          <w:numId w:val="8"/>
        </w:numPr>
        <w:rPr>
          <w:rFonts w:ascii="Arial" w:cs="Arial" w:eastAsia="Arial" w:hAnsi="Arial"/>
          <w:sz w:val="18"/>
          <w:szCs w:val="18"/>
          <w:color w:val="auto"/>
        </w:rPr>
      </w:pPr>
      <w:r>
        <w:rPr>
          <w:rFonts w:ascii="Arial" w:cs="Arial" w:eastAsia="Arial" w:hAnsi="Arial"/>
          <w:sz w:val="18"/>
          <w:szCs w:val="18"/>
          <w:color w:val="auto"/>
        </w:rPr>
        <w:t>details of matters which should have been lodged for registration but have not been lodged for registration at the date the search is concluded.</w:t>
      </w:r>
    </w:p>
    <w:p>
      <w:pPr>
        <w:spacing w:after="0" w:line="170" w:lineRule="exact"/>
        <w:rPr>
          <w:sz w:val="20"/>
          <w:szCs w:val="20"/>
          <w:color w:val="auto"/>
        </w:rPr>
      </w:pPr>
    </w:p>
    <w:p>
      <w:pPr>
        <w:ind w:left="660" w:right="480" w:hanging="652"/>
        <w:spacing w:after="0" w:line="277" w:lineRule="auto"/>
        <w:tabs>
          <w:tab w:leader="none" w:pos="667"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5 and 6 of the Schedule and have not enquired as to whether there has been any change since the date of the Searches.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w:t>
      </w:r>
    </w:p>
    <w:p>
      <w:pPr>
        <w:spacing w:after="0" w:line="229" w:lineRule="exact"/>
        <w:rPr>
          <w:sz w:val="20"/>
          <w:szCs w:val="20"/>
          <w:color w:val="auto"/>
        </w:rPr>
      </w:pPr>
    </w:p>
    <w:p>
      <w:pPr>
        <w:ind w:right="100"/>
        <w:spacing w:after="0" w:line="312" w:lineRule="auto"/>
        <w:rPr>
          <w:sz w:val="20"/>
          <w:szCs w:val="20"/>
          <w:color w:val="auto"/>
        </w:rPr>
      </w:pPr>
      <w:r>
        <w:rPr>
          <w:rFonts w:ascii="Arial" w:cs="Arial" w:eastAsia="Arial" w:hAnsi="Arial"/>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47"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ectPr>
          <w:pgSz w:w="11900" w:h="16838" w:orient="portrait"/>
          <w:cols w:equalWidth="0" w:num="1">
            <w:col w:w="11400"/>
          </w:cols>
          <w:pgMar w:left="240" w:top="125" w:right="259" w:bottom="0" w:gutter="0" w:footer="0" w:header="0"/>
        </w:sectPr>
      </w:pPr>
    </w:p>
    <w:bookmarkStart w:id="5" w:name="page6"/>
    <w:bookmarkEnd w:id="5"/>
    <w:p>
      <w:pPr>
        <w:spacing w:after="0"/>
        <w:rPr>
          <w:sz w:val="20"/>
          <w:szCs w:val="20"/>
          <w:color w:val="auto"/>
        </w:rPr>
      </w:pPr>
      <w:r>
        <w:rPr>
          <w:rFonts w:ascii="Arial" w:cs="Arial" w:eastAsia="Arial" w:hAnsi="Arial"/>
          <w:sz w:val="18"/>
          <w:szCs w:val="18"/>
          <w:color w:val="auto"/>
        </w:rPr>
        <w:t>/s/ Appleby Spurling Hunter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 SPURLING HUNTER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161226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612265" cy="8890"/>
                    </a:xfrm>
                    <a:prstGeom prst="rect">
                      <a:avLst/>
                    </a:prstGeom>
                    <a:noFill/>
                  </pic:spPr>
                </pic:pic>
              </a:graphicData>
            </a:graphic>
          </wp:anchor>
        </w:drawing>
      </w:r>
    </w:p>
    <w:p>
      <w:pPr>
        <w:spacing w:after="0" w:line="2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SCHEDULE</w:t>
      </w:r>
    </w:p>
    <w:p>
      <w:pPr>
        <w:spacing w:after="0" w:line="229" w:lineRule="exact"/>
        <w:rPr>
          <w:sz w:val="20"/>
          <w:szCs w:val="20"/>
          <w:color w:val="auto"/>
        </w:rPr>
      </w:pPr>
    </w:p>
    <w:p>
      <w:pPr>
        <w:ind w:left="500" w:right="720" w:hanging="492"/>
        <w:spacing w:after="0" w:line="277" w:lineRule="auto"/>
        <w:tabs>
          <w:tab w:leader="none" w:pos="513" w:val="left"/>
        </w:tabs>
        <w:numPr>
          <w:ilvl w:val="0"/>
          <w:numId w:val="10"/>
        </w:numPr>
        <w:rPr>
          <w:rFonts w:ascii="Arial" w:cs="Arial" w:eastAsia="Arial" w:hAnsi="Arial"/>
          <w:sz w:val="18"/>
          <w:szCs w:val="18"/>
          <w:color w:val="auto"/>
        </w:rPr>
      </w:pPr>
      <w:r>
        <w:rPr>
          <w:rFonts w:ascii="Arial" w:cs="Arial" w:eastAsia="Arial" w:hAnsi="Arial"/>
          <w:sz w:val="18"/>
          <w:szCs w:val="18"/>
          <w:color w:val="auto"/>
        </w:rPr>
        <w:t>An electronic copy of the draft of the Registration Statement received at 10:21pm on 11 April 2006 (excluding the exhibits and excluding the documents incorporated by reference) in an email from Diana (Phung) Tu of Marvell Semiconductor, Inc.</w:t>
      </w:r>
    </w:p>
    <w:p>
      <w:pPr>
        <w:spacing w:after="0" w:line="170" w:lineRule="exact"/>
        <w:rPr>
          <w:rFonts w:ascii="Arial" w:cs="Arial" w:eastAsia="Arial" w:hAnsi="Arial"/>
          <w:sz w:val="18"/>
          <w:szCs w:val="18"/>
          <w:color w:val="auto"/>
        </w:rPr>
      </w:pPr>
    </w:p>
    <w:p>
      <w:pPr>
        <w:ind w:left="500" w:hanging="492"/>
        <w:spacing w:after="0"/>
        <w:tabs>
          <w:tab w:leader="none" w:pos="500" w:val="left"/>
        </w:tabs>
        <w:numPr>
          <w:ilvl w:val="0"/>
          <w:numId w:val="10"/>
        </w:numPr>
        <w:rPr>
          <w:rFonts w:ascii="Arial" w:cs="Arial" w:eastAsia="Arial" w:hAnsi="Arial"/>
          <w:sz w:val="17"/>
          <w:szCs w:val="17"/>
          <w:color w:val="auto"/>
        </w:rPr>
      </w:pPr>
      <w:r>
        <w:rPr>
          <w:rFonts w:ascii="Arial" w:cs="Arial" w:eastAsia="Arial" w:hAnsi="Arial"/>
          <w:sz w:val="17"/>
          <w:szCs w:val="17"/>
          <w:color w:val="auto"/>
        </w:rPr>
        <w:t>An electronic copy of the Marvell Technology Group Ltd. Amended and Restated 1995 Stock Option Plan (as amended through 27 June 2003).</w:t>
      </w:r>
    </w:p>
    <w:p>
      <w:pPr>
        <w:spacing w:after="0" w:line="236" w:lineRule="exact"/>
        <w:rPr>
          <w:rFonts w:ascii="Arial" w:cs="Arial" w:eastAsia="Arial" w:hAnsi="Arial"/>
          <w:sz w:val="17"/>
          <w:szCs w:val="17"/>
          <w:color w:val="auto"/>
        </w:rPr>
      </w:pPr>
    </w:p>
    <w:p>
      <w:pPr>
        <w:ind w:left="500" w:right="600" w:hanging="492"/>
        <w:spacing w:after="0" w:line="501" w:lineRule="auto"/>
        <w:tabs>
          <w:tab w:leader="none" w:pos="513" w:val="left"/>
        </w:tabs>
        <w:numPr>
          <w:ilvl w:val="0"/>
          <w:numId w:val="10"/>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Amended 2000 Employee Stock Purchase Plan (as amended through 27 June 2003). (The documents listed in 2 and 3 above together shall be referred to herein as the “Plans”).</w:t>
      </w:r>
    </w:p>
    <w:p>
      <w:pPr>
        <w:ind w:left="500" w:hanging="492"/>
        <w:spacing w:after="0" w:line="291" w:lineRule="auto"/>
        <w:tabs>
          <w:tab w:leader="none" w:pos="513" w:val="left"/>
        </w:tabs>
        <w:numPr>
          <w:ilvl w:val="0"/>
          <w:numId w:val="10"/>
        </w:numPr>
        <w:rPr>
          <w:rFonts w:ascii="Arial" w:cs="Arial" w:eastAsia="Arial" w:hAnsi="Arial"/>
          <w:sz w:val="16"/>
          <w:szCs w:val="16"/>
          <w:color w:val="auto"/>
        </w:rPr>
      </w:pPr>
      <w:r>
        <w:rPr>
          <w:rFonts w:ascii="Arial" w:cs="Arial" w:eastAsia="Arial" w:hAnsi="Arial"/>
          <w:sz w:val="16"/>
          <w:szCs w:val="16"/>
          <w:color w:val="auto"/>
        </w:rPr>
        <w:t>Copies of the Written Resolution of the Board of Directors of the Company effective on 18 April 1995, the Minutes of the meeting of the Board of Directors of the Company held on 8 May 2000, the Written Resolution of the Board of Directors of the Company effective on 8 February 2001, the Minutes of the meeting of the Board of Directors of the Company held on 6 May 2001, the Written Resolution of the Board of Directors of the Company effective on 1 May 2003, Minutes of the Meeting of the Board of Directors of the Company held on 7 May 2003 (the “Board Resolutions”), the Written Resolution of the Members of the Company effective 11 April 1995, the Minutes of the meeting of the Members of the Company held on 17 June 2000, the Minutes of the meeting of the Members of the Company held on 21 June 2001 and the Minutes of the meeting of the Members of the Company held on 27 June 2003 (the “Members Resolutions” and together with the Board Resolutions are herein referred to as the “Resolutions”).</w:t>
      </w:r>
    </w:p>
    <w:p>
      <w:pPr>
        <w:spacing w:after="0" w:line="167" w:lineRule="exact"/>
        <w:rPr>
          <w:rFonts w:ascii="Arial" w:cs="Arial" w:eastAsia="Arial" w:hAnsi="Arial"/>
          <w:sz w:val="16"/>
          <w:szCs w:val="16"/>
          <w:color w:val="auto"/>
        </w:rPr>
      </w:pPr>
    </w:p>
    <w:p>
      <w:pPr>
        <w:ind w:left="500" w:right="480" w:hanging="492"/>
        <w:spacing w:after="0" w:line="308" w:lineRule="auto"/>
        <w:tabs>
          <w:tab w:leader="none" w:pos="513"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done on 12 April 2006 (the “Company Search”).</w:t>
      </w:r>
    </w:p>
    <w:p>
      <w:pPr>
        <w:spacing w:after="0" w:line="14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500" w:right="520" w:hanging="492"/>
        <w:spacing w:after="0" w:line="277" w:lineRule="auto"/>
        <w:tabs>
          <w:tab w:leader="none" w:pos="513"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12 April 2006 (the “Litigation Search”).</w:t>
      </w:r>
    </w:p>
    <w:p>
      <w:pPr>
        <w:spacing w:after="0" w:line="170" w:lineRule="exact"/>
        <w:rPr>
          <w:rFonts w:ascii="Arial" w:cs="Arial" w:eastAsia="Arial" w:hAnsi="Arial"/>
          <w:sz w:val="18"/>
          <w:szCs w:val="18"/>
          <w:color w:val="auto"/>
        </w:rPr>
      </w:pPr>
    </w:p>
    <w:p>
      <w:pPr>
        <w:ind w:left="500"/>
        <w:spacing w:after="0"/>
        <w:rPr>
          <w:rFonts w:ascii="Arial" w:cs="Arial" w:eastAsia="Arial" w:hAnsi="Arial"/>
          <w:sz w:val="18"/>
          <w:szCs w:val="18"/>
          <w:color w:val="auto"/>
        </w:rPr>
      </w:pPr>
      <w:r>
        <w:rPr>
          <w:rFonts w:ascii="Arial" w:cs="Arial" w:eastAsia="Arial" w:hAnsi="Arial"/>
          <w:sz w:val="18"/>
          <w:szCs w:val="18"/>
          <w:color w:val="auto"/>
        </w:rPr>
        <w:t>(The Company Search and the Litigation Search are collectively referred to as the “Searches”).</w:t>
      </w:r>
    </w:p>
    <w:p>
      <w:pPr>
        <w:spacing w:after="0" w:line="225" w:lineRule="exact"/>
        <w:rPr>
          <w:rFonts w:ascii="Arial" w:cs="Arial" w:eastAsia="Arial" w:hAnsi="Arial"/>
          <w:sz w:val="18"/>
          <w:szCs w:val="18"/>
          <w:color w:val="auto"/>
        </w:rPr>
      </w:pPr>
    </w:p>
    <w:p>
      <w:pPr>
        <w:ind w:left="500" w:hanging="492"/>
        <w:spacing w:after="0"/>
        <w:tabs>
          <w:tab w:leader="none" w:pos="5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An electronic copy of a Secretary’s Certificate signed by Weili Dai, Secretary of Marvell Technology Group Ltd. attaching true and correct copies of</w:t>
      </w:r>
    </w:p>
    <w:p>
      <w:pPr>
        <w:spacing w:after="0" w:line="248" w:lineRule="exact"/>
        <w:rPr>
          <w:rFonts w:ascii="Arial" w:cs="Arial" w:eastAsia="Arial" w:hAnsi="Arial"/>
          <w:sz w:val="16"/>
          <w:szCs w:val="16"/>
          <w:color w:val="auto"/>
        </w:rPr>
      </w:pPr>
    </w:p>
    <w:p>
      <w:pPr>
        <w:ind w:left="980" w:right="160" w:hanging="486"/>
        <w:spacing w:after="0" w:line="277" w:lineRule="auto"/>
        <w:tabs>
          <w:tab w:leader="none" w:pos="1001" w:val="left"/>
        </w:tabs>
        <w:numPr>
          <w:ilvl w:val="1"/>
          <w:numId w:val="11"/>
        </w:numPr>
        <w:rPr>
          <w:rFonts w:ascii="Arial" w:cs="Arial" w:eastAsia="Arial" w:hAnsi="Arial"/>
          <w:sz w:val="18"/>
          <w:szCs w:val="18"/>
          <w:color w:val="auto"/>
        </w:rPr>
      </w:pPr>
      <w:r>
        <w:rPr>
          <w:rFonts w:ascii="Arial" w:cs="Arial" w:eastAsia="Arial" w:hAnsi="Arial"/>
          <w:sz w:val="18"/>
          <w:szCs w:val="18"/>
          <w:color w:val="auto"/>
        </w:rPr>
        <w:t>the Certificate of Incorporation, Memorandum of Association and the Second Amended and Restated Bye-laws of the Company incorporating all amendments to 21 June 2001 (collectively referred to as the “Constitutional Documents”); and</w:t>
      </w:r>
    </w:p>
    <w:p>
      <w:pPr>
        <w:spacing w:after="0" w:line="170" w:lineRule="exact"/>
        <w:rPr>
          <w:rFonts w:ascii="Arial" w:cs="Arial" w:eastAsia="Arial" w:hAnsi="Arial"/>
          <w:sz w:val="18"/>
          <w:szCs w:val="18"/>
          <w:color w:val="auto"/>
        </w:rPr>
      </w:pPr>
    </w:p>
    <w:p>
      <w:pPr>
        <w:ind w:left="980" w:right="200" w:hanging="486"/>
        <w:spacing w:after="0" w:line="277" w:lineRule="auto"/>
        <w:tabs>
          <w:tab w:leader="none" w:pos="1011" w:val="left"/>
        </w:tabs>
        <w:numPr>
          <w:ilvl w:val="1"/>
          <w:numId w:val="11"/>
        </w:numPr>
        <w:rPr>
          <w:rFonts w:ascii="Arial" w:cs="Arial" w:eastAsia="Arial" w:hAnsi="Arial"/>
          <w:sz w:val="18"/>
          <w:szCs w:val="18"/>
          <w:color w:val="auto"/>
        </w:rPr>
      </w:pPr>
      <w:r>
        <w:rPr>
          <w:rFonts w:ascii="Arial" w:cs="Arial" w:eastAsia="Arial" w:hAnsi="Arial"/>
          <w:sz w:val="18"/>
          <w:szCs w:val="18"/>
          <w:color w:val="auto"/>
        </w:rPr>
        <w:t>the permission dated 31 May 2000 given by the Bermuda Monetary Authority under the Exchange Control Act (1972) and related regulations for the issue of shares in the capital of the Company.</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23.1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CONSENT OF INDEPENDENT REGISTERED PUBLIC ACCOUNTING FIRM</w:t>
      </w:r>
    </w:p>
    <w:p>
      <w:pPr>
        <w:spacing w:after="0" w:line="225"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S-8 of our report dated April 13, 2006 relating to the consolidated financial statements, management’s assessment of the effectiveness of internal control over financial reporting and the effectiveness of internal control over financial reporting, of Marvell Technology Group Ltd., which appears in the Marvell Technology Group Ltd.’s Annual Report on Form 10-K for the year ended January 31, 2006.</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April 13,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1)"/>
      <w:numFmt w:val="decimal"/>
      <w:start w:val="1"/>
    </w:lvl>
  </w:abstractNum>
  <w:abstractNum w:abstractNumId="1">
    <w:nsid w:val="2EB141F2"/>
    <w:multiLevelType w:val="hybridMultilevel"/>
    <w:lvl w:ilvl="0">
      <w:lvlJc w:val="left"/>
      <w:lvlText w:val="(%1)"/>
      <w:numFmt w:val="lowerLetter"/>
      <w:start w:val="1"/>
    </w:lvl>
  </w:abstractNum>
  <w:abstractNum w:abstractNumId="2">
    <w:nsid w:val="41B71EFB"/>
    <w:multiLevelType w:val="hybridMultilevel"/>
    <w:lvl w:ilvl="0">
      <w:lvlJc w:val="left"/>
      <w:lvlText w:val="(%1)"/>
      <w:numFmt w:val="lowerLetter"/>
      <w:start w:val="1"/>
    </w:lvl>
  </w:abstractNum>
  <w:abstractNum w:abstractNumId="3">
    <w:nsid w:val="79E2A9E3"/>
    <w:multiLevelType w:val="hybridMultilevel"/>
    <w:lvl w:ilvl="0">
      <w:lvlJc w:val="left"/>
      <w:lvlText w:val="(%1)"/>
      <w:numFmt w:val="lowerLetter"/>
      <w:start w:val="10"/>
    </w:lvl>
  </w:abstractNum>
  <w:abstractNum w:abstractNumId="4">
    <w:nsid w:val="7545E146"/>
    <w:multiLevelType w:val="hybridMultilevel"/>
    <w:lvl w:ilvl="0">
      <w:lvlJc w:val="left"/>
      <w:lvlText w:val="(%1)"/>
      <w:numFmt w:val="lowerLetter"/>
      <w:start w:val="11"/>
    </w:lvl>
  </w:abstractNum>
  <w:abstractNum w:abstractNumId="5">
    <w:nsid w:val="515F007C"/>
    <w:multiLevelType w:val="hybridMultilevel"/>
    <w:lvl w:ilvl="0">
      <w:lvlJc w:val="left"/>
      <w:lvlText w:val="(%1)"/>
      <w:numFmt w:val="lowerLetter"/>
      <w:start w:val="16"/>
    </w:lvl>
  </w:abstractNum>
  <w:abstractNum w:abstractNumId="6">
    <w:nsid w:val="5BD062C2"/>
    <w:multiLevelType w:val="hybridMultilevel"/>
    <w:lvl w:ilvl="0">
      <w:lvlJc w:val="left"/>
      <w:lvlText w:val="(%1)"/>
      <w:numFmt w:val="lowerLetter"/>
      <w:start w:val="1"/>
    </w:lvl>
  </w:abstractNum>
  <w:abstractNum w:abstractNumId="7">
    <w:nsid w:val="12200854"/>
    <w:multiLevelType w:val="hybridMultilevel"/>
    <w:lvl w:ilvl="0">
      <w:lvlJc w:val="left"/>
      <w:lvlText w:val="(%1)"/>
      <w:numFmt w:val="lowerRoman"/>
      <w:start w:val="1"/>
    </w:lvl>
  </w:abstractNum>
  <w:abstractNum w:abstractNumId="8">
    <w:nsid w:val="4DB127F8"/>
    <w:multiLevelType w:val="hybridMultilevel"/>
    <w:lvl w:ilvl="0">
      <w:lvlJc w:val="left"/>
      <w:lvlText w:val="(%1)"/>
      <w:numFmt w:val="lowerLetter"/>
      <w:start w:val="4"/>
    </w:lvl>
  </w:abstractNum>
  <w:abstractNum w:abstractNumId="9">
    <w:nsid w:val="216231B"/>
    <w:multiLevelType w:val="hybridMultilevel"/>
    <w:lvl w:ilvl="0">
      <w:lvlJc w:val="left"/>
      <w:lvlText w:val="%1."/>
      <w:numFmt w:val="decimal"/>
      <w:start w:val="1"/>
    </w:lvl>
  </w:abstractNum>
  <w:abstractNum w:abstractNumId="10">
    <w:nsid w:val="1F16E9E8"/>
    <w:multiLevelType w:val="hybridMultilevel"/>
    <w:lvl w:ilvl="0">
      <w:lvlJc w:val="left"/>
      <w:lvlText w:val="%1."/>
      <w:numFmt w:val="decimal"/>
      <w:start w:val="6"/>
    </w:lvl>
    <w:lvl w:ilvl="1">
      <w:lvlJc w:val="left"/>
      <w:lvlText w:val="(%2)"/>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2019-12-14T20:22:30Z</dcterms:created>
  <dcterms:modified xsi:type="dcterms:W3CDTF">2019-12-14T20:22:30Z</dcterms:modified>
</cp:coreProperties>
</file>