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9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-232410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pacing w:after="0" w:line="13" w:lineRule="exact"/>
        <w:rPr>
          <w:sz w:val="24"/>
          <w:szCs w:val="24"/>
          <w:color w:val="auto"/>
        </w:rPr>
      </w:pPr>
    </w:p>
    <w:p>
      <w:pPr>
        <w:jc w:val="center"/>
        <w:ind w:right="-9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Washington, D.C. 20549</w:t>
      </w:r>
    </w:p>
    <w:p>
      <w:pPr>
        <w:spacing w:after="0" w:line="2" w:lineRule="exact"/>
        <w:rPr>
          <w:sz w:val="24"/>
          <w:szCs w:val="24"/>
          <w:color w:val="auto"/>
        </w:rPr>
      </w:pPr>
    </w:p>
    <w:p>
      <w:pPr>
        <w:jc w:val="center"/>
        <w:ind w:right="-99"/>
        <w:spacing w:after="0"/>
        <w:rPr>
          <w:sz w:val="20"/>
          <w:szCs w:val="20"/>
          <w:color w:val="auto"/>
        </w:rPr>
      </w:pPr>
      <w:r>
        <w:rPr>
          <w:rFonts w:ascii="Arial" w:cs="Arial" w:eastAsia="Arial" w:hAnsi="Arial"/>
          <w:sz w:val="32"/>
          <w:szCs w:val="32"/>
          <w:b w:val="1"/>
          <w:bCs w:val="1"/>
          <w:color w:val="auto"/>
        </w:rPr>
        <w:t>FORM 10-Q</w:t>
      </w:r>
    </w:p>
    <w:p>
      <w:pPr>
        <w:spacing w:after="0" w:line="4"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196" w:lineRule="exact"/>
        <w:rPr>
          <w:sz w:val="24"/>
          <w:szCs w:val="24"/>
          <w:color w:val="auto"/>
        </w:rPr>
      </w:pPr>
    </w:p>
    <w:p>
      <w:pPr>
        <w:ind w:left="380" w:hanging="372"/>
        <w:spacing w:after="0"/>
        <w:tabs>
          <w:tab w:leader="none" w:pos="380" w:val="left"/>
        </w:tabs>
        <w:numPr>
          <w:ilvl w:val="0"/>
          <w:numId w:val="1"/>
        </w:numPr>
        <w:rPr>
          <w:rFonts w:ascii="Arial" w:cs="Arial" w:eastAsia="Arial" w:hAnsi="Arial"/>
          <w:sz w:val="22"/>
          <w:szCs w:val="22"/>
          <w:b w:val="1"/>
          <w:bCs w:val="1"/>
          <w:color w:val="auto"/>
        </w:rPr>
      </w:pPr>
      <w:r>
        <w:rPr>
          <w:rFonts w:ascii="Arial" w:cs="Arial" w:eastAsia="Arial" w:hAnsi="Arial"/>
          <w:sz w:val="22"/>
          <w:szCs w:val="22"/>
          <w:b w:val="1"/>
          <w:bCs w:val="1"/>
          <w:color w:val="auto"/>
        </w:rPr>
        <w:t>Quarterly Report Pursuant to Section 13 or 15(d) of the Securities Exchange Act of 1934</w:t>
      </w:r>
    </w:p>
    <w:p>
      <w:pPr>
        <w:spacing w:after="0" w:line="215"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For the quarterly period ended April 29, 2006</w:t>
      </w:r>
    </w:p>
    <w:p>
      <w:pPr>
        <w:spacing w:after="0" w:line="225"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or</w:t>
      </w:r>
    </w:p>
    <w:p>
      <w:pPr>
        <w:spacing w:after="0" w:line="216" w:lineRule="exact"/>
        <w:rPr>
          <w:sz w:val="24"/>
          <w:szCs w:val="24"/>
          <w:color w:val="auto"/>
        </w:rPr>
      </w:pPr>
    </w:p>
    <w:p>
      <w:pPr>
        <w:ind w:left="420" w:hanging="412"/>
        <w:spacing w:after="0"/>
        <w:tabs>
          <w:tab w:leader="none" w:pos="420" w:val="left"/>
        </w:tabs>
        <w:numPr>
          <w:ilvl w:val="0"/>
          <w:numId w:val="2"/>
        </w:numPr>
        <w:rPr>
          <w:rFonts w:ascii="Arial" w:cs="Arial" w:eastAsia="Arial" w:hAnsi="Arial"/>
          <w:sz w:val="22"/>
          <w:szCs w:val="22"/>
          <w:b w:val="1"/>
          <w:bCs w:val="1"/>
          <w:color w:val="auto"/>
        </w:rPr>
      </w:pPr>
      <w:r>
        <w:rPr>
          <w:rFonts w:ascii="Arial" w:cs="Arial" w:eastAsia="Arial" w:hAnsi="Arial"/>
          <w:sz w:val="22"/>
          <w:szCs w:val="22"/>
          <w:b w:val="1"/>
          <w:bCs w:val="1"/>
          <w:color w:val="auto"/>
        </w:rPr>
        <w:t>Transition Report Pursuant to Section 13 or 15(d) of the Securities Exchange Act of 1934</w:t>
      </w:r>
    </w:p>
    <w:p>
      <w:pPr>
        <w:spacing w:after="0" w:line="215" w:lineRule="exact"/>
        <w:rPr>
          <w:sz w:val="24"/>
          <w:szCs w:val="24"/>
          <w:color w:val="auto"/>
        </w:rPr>
      </w:pPr>
    </w:p>
    <w:p>
      <w:pPr>
        <w:ind w:left="3600"/>
        <w:spacing w:after="0"/>
        <w:tabs>
          <w:tab w:leader="none" w:pos="680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6"/>
          <w:szCs w:val="16"/>
          <w:b w:val="1"/>
          <w:bCs w:val="1"/>
          <w:color w:val="auto"/>
        </w:rPr>
        <w:t>to</w:t>
      </w:r>
    </w:p>
    <w:p>
      <w:pPr>
        <w:spacing w:after="0" w:line="225"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Commission file number: 0-30877</w:t>
      </w:r>
    </w:p>
    <w:p>
      <w:pPr>
        <w:spacing w:after="0" w:line="202" w:lineRule="exact"/>
        <w:rPr>
          <w:sz w:val="24"/>
          <w:szCs w:val="24"/>
          <w:color w:val="auto"/>
        </w:rPr>
      </w:pPr>
    </w:p>
    <w:p>
      <w:pPr>
        <w:jc w:val="center"/>
        <w:ind w:right="-9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99"/>
        <w:spacing w:after="0"/>
        <w:rPr>
          <w:sz w:val="20"/>
          <w:szCs w:val="20"/>
          <w:color w:val="auto"/>
        </w:rPr>
      </w:pPr>
      <w:r>
        <w:rPr>
          <w:rFonts w:ascii="Arial" w:cs="Arial" w:eastAsia="Arial" w:hAnsi="Arial"/>
          <w:sz w:val="18"/>
          <w:szCs w:val="18"/>
          <w:color w:val="auto"/>
        </w:rPr>
        <w:t>(Exact name of registrant as specified in its charter)</w:t>
      </w: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tbl>
      <w:tblPr>
        <w:tblLayout w:type="fixed"/>
        <w:tblInd w:w="1800" w:type="dxa"/>
        <w:tblCellMar>
          <w:top w:w="0" w:type="dxa"/>
          <w:left w:w="0" w:type="dxa"/>
          <w:bottom w:w="0" w:type="dxa"/>
          <w:right w:w="0" w:type="dxa"/>
        </w:tblCellMar>
      </w:tblPr>
      <w:tr>
        <w:trPr>
          <w:trHeight w:val="234"/>
        </w:trPr>
        <w:tc>
          <w:tcPr>
            <w:tcW w:w="4160" w:type="dxa"/>
            <w:vAlign w:val="bottom"/>
          </w:tcPr>
          <w:p>
            <w:pPr>
              <w:jc w:val="center"/>
              <w:ind w:right="1870"/>
              <w:spacing w:after="0"/>
              <w:rPr>
                <w:sz w:val="20"/>
                <w:szCs w:val="20"/>
                <w:color w:val="auto"/>
              </w:rPr>
            </w:pPr>
            <w:r>
              <w:rPr>
                <w:rFonts w:ascii="Arial" w:cs="Arial" w:eastAsia="Arial" w:hAnsi="Arial"/>
                <w:sz w:val="18"/>
                <w:szCs w:val="18"/>
                <w:b w:val="1"/>
                <w:bCs w:val="1"/>
                <w:color w:val="auto"/>
                <w:w w:val="92"/>
              </w:rPr>
              <w:t>Bermuda</w:t>
            </w:r>
          </w:p>
        </w:tc>
        <w:tc>
          <w:tcPr>
            <w:tcW w:w="3300" w:type="dxa"/>
            <w:vAlign w:val="bottom"/>
          </w:tcPr>
          <w:p>
            <w:pPr>
              <w:jc w:val="center"/>
              <w:ind w:left="1890"/>
              <w:spacing w:after="0"/>
              <w:rPr>
                <w:sz w:val="20"/>
                <w:szCs w:val="20"/>
                <w:color w:val="auto"/>
              </w:rPr>
            </w:pPr>
            <w:r>
              <w:rPr>
                <w:rFonts w:ascii="Arial" w:cs="Arial" w:eastAsia="Arial" w:hAnsi="Arial"/>
                <w:sz w:val="18"/>
                <w:szCs w:val="18"/>
                <w:b w:val="1"/>
                <w:bCs w:val="1"/>
                <w:color w:val="auto"/>
                <w:w w:val="91"/>
              </w:rPr>
              <w:t>77-0481679</w:t>
            </w:r>
          </w:p>
        </w:tc>
      </w:tr>
      <w:tr>
        <w:trPr>
          <w:trHeight w:val="418"/>
        </w:trPr>
        <w:tc>
          <w:tcPr>
            <w:tcW w:w="4160" w:type="dxa"/>
            <w:vAlign w:val="bottom"/>
          </w:tcPr>
          <w:p>
            <w:pPr>
              <w:jc w:val="center"/>
              <w:ind w:right="1890"/>
              <w:spacing w:after="0"/>
              <w:rPr>
                <w:sz w:val="20"/>
                <w:szCs w:val="20"/>
                <w:color w:val="auto"/>
              </w:rPr>
            </w:pPr>
            <w:r>
              <w:rPr>
                <w:rFonts w:ascii="Arial" w:cs="Arial" w:eastAsia="Arial" w:hAnsi="Arial"/>
                <w:sz w:val="18"/>
                <w:szCs w:val="18"/>
                <w:color w:val="auto"/>
                <w:w w:val="93"/>
              </w:rPr>
              <w:t>(State or other jurisdiction of</w:t>
            </w:r>
          </w:p>
        </w:tc>
        <w:tc>
          <w:tcPr>
            <w:tcW w:w="3300" w:type="dxa"/>
            <w:vAlign w:val="bottom"/>
          </w:tcPr>
          <w:p>
            <w:pPr>
              <w:jc w:val="center"/>
              <w:ind w:left="1890"/>
              <w:spacing w:after="0"/>
              <w:rPr>
                <w:sz w:val="20"/>
                <w:szCs w:val="20"/>
                <w:color w:val="auto"/>
              </w:rPr>
            </w:pPr>
            <w:r>
              <w:rPr>
                <w:rFonts w:ascii="Arial" w:cs="Arial" w:eastAsia="Arial" w:hAnsi="Arial"/>
                <w:sz w:val="18"/>
                <w:szCs w:val="18"/>
                <w:color w:val="auto"/>
                <w:w w:val="93"/>
              </w:rPr>
              <w:t>(I.R.S. Employer</w:t>
            </w:r>
          </w:p>
        </w:tc>
      </w:tr>
      <w:tr>
        <w:trPr>
          <w:trHeight w:val="230"/>
        </w:trPr>
        <w:tc>
          <w:tcPr>
            <w:tcW w:w="4160" w:type="dxa"/>
            <w:vAlign w:val="bottom"/>
          </w:tcPr>
          <w:p>
            <w:pPr>
              <w:jc w:val="center"/>
              <w:ind w:right="1890"/>
              <w:spacing w:after="0"/>
              <w:rPr>
                <w:sz w:val="20"/>
                <w:szCs w:val="20"/>
                <w:color w:val="auto"/>
              </w:rPr>
            </w:pPr>
            <w:r>
              <w:rPr>
                <w:rFonts w:ascii="Arial" w:cs="Arial" w:eastAsia="Arial" w:hAnsi="Arial"/>
                <w:sz w:val="18"/>
                <w:szCs w:val="18"/>
                <w:color w:val="auto"/>
                <w:w w:val="93"/>
              </w:rPr>
              <w:t>incorporation or organization)</w:t>
            </w:r>
          </w:p>
        </w:tc>
        <w:tc>
          <w:tcPr>
            <w:tcW w:w="3300" w:type="dxa"/>
            <w:vAlign w:val="bottom"/>
          </w:tcPr>
          <w:p>
            <w:pPr>
              <w:jc w:val="center"/>
              <w:ind w:left="1870"/>
              <w:spacing w:after="0"/>
              <w:rPr>
                <w:sz w:val="20"/>
                <w:szCs w:val="20"/>
                <w:color w:val="auto"/>
              </w:rPr>
            </w:pPr>
            <w:r>
              <w:rPr>
                <w:rFonts w:ascii="Arial" w:cs="Arial" w:eastAsia="Arial" w:hAnsi="Arial"/>
                <w:sz w:val="18"/>
                <w:szCs w:val="18"/>
                <w:color w:val="auto"/>
                <w:w w:val="95"/>
              </w:rPr>
              <w:t>Identification No.)</w:t>
            </w:r>
          </w:p>
        </w:tc>
      </w:tr>
    </w:tbl>
    <w:p>
      <w:pPr>
        <w:spacing w:after="0" w:line="200" w:lineRule="exact"/>
        <w:rPr>
          <w:sz w:val="24"/>
          <w:szCs w:val="24"/>
          <w:color w:val="auto"/>
        </w:rPr>
      </w:pPr>
    </w:p>
    <w:p>
      <w:pPr>
        <w:spacing w:after="0" w:line="200" w:lineRule="exact"/>
        <w:rPr>
          <w:sz w:val="24"/>
          <w:szCs w:val="24"/>
          <w:color w:val="auto"/>
        </w:rPr>
      </w:pPr>
    </w:p>
    <w:p>
      <w:pPr>
        <w:spacing w:after="0" w:line="230"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7"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4"/>
          <w:szCs w:val="24"/>
          <w:color w:val="auto"/>
        </w:rPr>
      </w:pPr>
    </w:p>
    <w:p>
      <w:pPr>
        <w:jc w:val="center"/>
        <w:ind w:right="-99"/>
        <w:spacing w:after="0"/>
        <w:rPr>
          <w:sz w:val="20"/>
          <w:szCs w:val="20"/>
          <w:color w:val="auto"/>
        </w:rPr>
      </w:pPr>
      <w:r>
        <w:rPr>
          <w:rFonts w:ascii="Arial" w:cs="Arial" w:eastAsia="Arial" w:hAnsi="Arial"/>
          <w:sz w:val="18"/>
          <w:szCs w:val="18"/>
          <w:color w:val="auto"/>
        </w:rPr>
        <w:t>(Address, including Zip Code, of Principal Executive Offices and</w:t>
      </w:r>
    </w:p>
    <w:p>
      <w:pPr>
        <w:spacing w:after="0" w:line="9" w:lineRule="exact"/>
        <w:rPr>
          <w:sz w:val="24"/>
          <w:szCs w:val="24"/>
          <w:color w:val="auto"/>
        </w:rPr>
      </w:pPr>
    </w:p>
    <w:p>
      <w:pPr>
        <w:jc w:val="center"/>
        <w:ind w:right="-99"/>
        <w:spacing w:after="0"/>
        <w:rPr>
          <w:sz w:val="20"/>
          <w:szCs w:val="20"/>
          <w:color w:val="auto"/>
        </w:rPr>
      </w:pPr>
      <w:r>
        <w:rPr>
          <w:rFonts w:ascii="Arial" w:cs="Arial" w:eastAsia="Arial" w:hAnsi="Arial"/>
          <w:sz w:val="18"/>
          <w:szCs w:val="18"/>
          <w:color w:val="auto"/>
        </w:rPr>
        <w:t>Registrant’s telephone number, including area code)</w:t>
      </w:r>
    </w:p>
    <w:p>
      <w:pPr>
        <w:spacing w:after="0" w:line="211" w:lineRule="exact"/>
        <w:rPr>
          <w:sz w:val="24"/>
          <w:szCs w:val="24"/>
          <w:color w:val="auto"/>
        </w:rPr>
      </w:pPr>
    </w:p>
    <w:p>
      <w:pPr>
        <w:ind w:right="60" w:firstLine="259"/>
        <w:spacing w:after="0" w:line="264" w:lineRule="auto"/>
        <w:rPr>
          <w:sz w:val="20"/>
          <w:szCs w:val="20"/>
          <w:color w:val="auto"/>
        </w:rPr>
      </w:pPr>
      <w:r>
        <w:rPr>
          <w:rFonts w:ascii="Arial" w:cs="Arial" w:eastAsia="Arial" w:hAnsi="Arial"/>
          <w:sz w:val="18"/>
          <w:szCs w:val="18"/>
          <w:color w:val="auto"/>
        </w:rPr>
        <w:t>Indicate by check mark whether the registrant (1) has filed all reports required to be filed by Sections 13 or 15(d) of the Securities Exchange Act of 1934 during the preceding 12 months (or for such shorter period that the registrant was required to file such reports), and (2) has been subject to such filing requirements for the past 90 days. x Yes o No</w:t>
      </w:r>
    </w:p>
    <w:p>
      <w:pPr>
        <w:spacing w:after="0" w:line="168" w:lineRule="exact"/>
        <w:rPr>
          <w:sz w:val="24"/>
          <w:szCs w:val="24"/>
          <w:color w:val="auto"/>
        </w:rPr>
      </w:pPr>
    </w:p>
    <w:p>
      <w:pPr>
        <w:ind w:firstLine="243"/>
        <w:spacing w:after="0" w:line="246" w:lineRule="auto"/>
        <w:rPr>
          <w:sz w:val="20"/>
          <w:szCs w:val="20"/>
          <w:color w:val="auto"/>
        </w:rPr>
      </w:pPr>
      <w:r>
        <w:rPr>
          <w:rFonts w:ascii="Arial" w:cs="Arial" w:eastAsia="Arial" w:hAnsi="Arial"/>
          <w:sz w:val="18"/>
          <w:szCs w:val="18"/>
          <w:color w:val="auto"/>
        </w:rPr>
        <w:t>Indicate by check mark whether the registrant is a large accelerated filer, an accelerated filer, or a non-accelerated filer. See definition of “accelerated filer and large accelerated filer” in Rule 12b-2 of the Exchange Act. (Check one):</w:t>
      </w:r>
    </w:p>
    <w:p>
      <w:pPr>
        <w:spacing w:after="0" w:line="183" w:lineRule="exact"/>
        <w:rPr>
          <w:sz w:val="24"/>
          <w:szCs w:val="24"/>
          <w:color w:val="auto"/>
        </w:rPr>
      </w:pPr>
    </w:p>
    <w:p>
      <w:pPr>
        <w:ind w:left="880"/>
        <w:spacing w:after="0"/>
        <w:tabs>
          <w:tab w:leader="none" w:pos="5020" w:val="left"/>
          <w:tab w:leader="none" w:pos="8780" w:val="left"/>
        </w:tabs>
        <w:rPr>
          <w:sz w:val="20"/>
          <w:szCs w:val="20"/>
          <w:color w:val="auto"/>
        </w:rPr>
      </w:pPr>
      <w:r>
        <w:rPr>
          <w:rFonts w:ascii="Arial" w:cs="Arial" w:eastAsia="Arial" w:hAnsi="Arial"/>
          <w:sz w:val="18"/>
          <w:szCs w:val="18"/>
          <w:color w:val="auto"/>
        </w:rPr>
        <w:t>Large accelerated filer x</w:t>
      </w:r>
      <w:r>
        <w:rPr>
          <w:sz w:val="20"/>
          <w:szCs w:val="20"/>
          <w:color w:val="auto"/>
        </w:rPr>
        <w:tab/>
      </w:r>
      <w:r>
        <w:rPr>
          <w:rFonts w:ascii="Arial" w:cs="Arial" w:eastAsia="Arial" w:hAnsi="Arial"/>
          <w:sz w:val="18"/>
          <w:szCs w:val="18"/>
          <w:color w:val="auto"/>
        </w:rPr>
        <w:t>Accelerated filer o</w:t>
      </w:r>
      <w:r>
        <w:rPr>
          <w:sz w:val="20"/>
          <w:szCs w:val="20"/>
          <w:color w:val="auto"/>
        </w:rPr>
        <w:tab/>
      </w:r>
      <w:r>
        <w:rPr>
          <w:rFonts w:ascii="Arial" w:cs="Arial" w:eastAsia="Arial" w:hAnsi="Arial"/>
          <w:sz w:val="16"/>
          <w:szCs w:val="16"/>
          <w:color w:val="auto"/>
        </w:rPr>
        <w:t>Non-accelerated filer o</w:t>
      </w:r>
    </w:p>
    <w:p>
      <w:pPr>
        <w:spacing w:after="0" w:line="200" w:lineRule="exact"/>
        <w:rPr>
          <w:sz w:val="24"/>
          <w:szCs w:val="24"/>
          <w:color w:val="auto"/>
        </w:rPr>
      </w:pPr>
    </w:p>
    <w:p>
      <w:pPr>
        <w:spacing w:after="0" w:line="241" w:lineRule="exact"/>
        <w:rPr>
          <w:sz w:val="24"/>
          <w:szCs w:val="24"/>
          <w:color w:val="auto"/>
        </w:rPr>
      </w:pPr>
    </w:p>
    <w:p>
      <w:pPr>
        <w:ind w:left="260"/>
        <w:spacing w:after="0"/>
        <w:rPr>
          <w:sz w:val="20"/>
          <w:szCs w:val="20"/>
          <w:color w:val="auto"/>
        </w:rPr>
      </w:pPr>
      <w:r>
        <w:rPr>
          <w:rFonts w:ascii="Arial" w:cs="Arial" w:eastAsia="Arial" w:hAnsi="Arial"/>
          <w:sz w:val="18"/>
          <w:szCs w:val="18"/>
          <w:color w:val="auto"/>
        </w:rPr>
        <w:t>Indicate by check mark whether the registrant is a shell company (as defined in Rule 12b-2 of the Exchange Act). o Yes x No</w:t>
      </w:r>
    </w:p>
    <w:p>
      <w:pPr>
        <w:spacing w:after="0" w:line="225" w:lineRule="exact"/>
        <w:rPr>
          <w:sz w:val="24"/>
          <w:szCs w:val="24"/>
          <w:color w:val="auto"/>
        </w:rPr>
      </w:pPr>
    </w:p>
    <w:p>
      <w:pPr>
        <w:ind w:left="260"/>
        <w:spacing w:after="0"/>
        <w:rPr>
          <w:sz w:val="20"/>
          <w:szCs w:val="20"/>
          <w:color w:val="auto"/>
        </w:rPr>
      </w:pPr>
      <w:r>
        <w:rPr>
          <w:rFonts w:ascii="Arial" w:cs="Arial" w:eastAsia="Arial" w:hAnsi="Arial"/>
          <w:sz w:val="18"/>
          <w:szCs w:val="18"/>
          <w:color w:val="auto"/>
        </w:rPr>
        <w:t>The number of shares outstanding of the registrant’s common stock outstanding as of May 31, 2006 was 292,600,141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426720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469265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716280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16"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TABLE OF CONTENTS</w:t>
      </w:r>
    </w:p>
    <w:p>
      <w:pPr>
        <w:spacing w:after="0" w:line="200" w:lineRule="exact"/>
        <w:rPr>
          <w:sz w:val="24"/>
          <w:szCs w:val="24"/>
          <w:color w:val="auto"/>
        </w:rPr>
      </w:pPr>
    </w:p>
    <w:p>
      <w:pPr>
        <w:spacing w:after="0" w:line="200" w:lineRule="exact"/>
        <w:rPr>
          <w:sz w:val="24"/>
          <w:szCs w:val="24"/>
          <w:color w:val="auto"/>
        </w:rPr>
      </w:pPr>
    </w:p>
    <w:p>
      <w:pPr>
        <w:spacing w:after="0" w:line="392" w:lineRule="exact"/>
        <w:rPr>
          <w:sz w:val="24"/>
          <w:szCs w:val="24"/>
          <w:color w:val="auto"/>
        </w:rPr>
      </w:pPr>
    </w:p>
    <w:p>
      <w:pPr>
        <w:jc w:val="center"/>
        <w:ind w:right="-59"/>
        <w:spacing w:after="0"/>
        <w:rPr>
          <w:rFonts w:ascii="Arial" w:cs="Arial" w:eastAsia="Arial" w:hAnsi="Arial"/>
          <w:sz w:val="18"/>
          <w:szCs w:val="18"/>
          <w:b w:val="1"/>
          <w:bCs w:val="1"/>
          <w:u w:val="single" w:color="auto"/>
          <w:color w:val="0000EE"/>
        </w:rPr>
      </w:pPr>
      <w:hyperlink r:id="rId13">
        <w:r>
          <w:rPr>
            <w:rFonts w:ascii="Arial" w:cs="Arial" w:eastAsia="Arial" w:hAnsi="Arial"/>
            <w:sz w:val="18"/>
            <w:szCs w:val="18"/>
            <w:b w:val="1"/>
            <w:bCs w:val="1"/>
            <w:u w:val="single" w:color="auto"/>
            <w:color w:val="0000EE"/>
          </w:rPr>
          <w:t>PART I. FINANCIAL INFORMATION</w:t>
        </w:r>
      </w:hyperlink>
    </w:p>
    <w:p>
      <w:pPr>
        <w:spacing w:after="0" w:line="27" w:lineRule="exact"/>
        <w:rPr>
          <w:sz w:val="24"/>
          <w:szCs w:val="24"/>
          <w:color w:val="auto"/>
        </w:rPr>
      </w:pPr>
    </w:p>
    <w:p>
      <w:pPr>
        <w:spacing w:after="0"/>
        <w:tabs>
          <w:tab w:leader="none" w:pos="1540" w:val="left"/>
        </w:tabs>
        <w:rPr>
          <w:rFonts w:ascii="Arial" w:cs="Arial" w:eastAsia="Arial" w:hAnsi="Arial"/>
          <w:sz w:val="16"/>
          <w:szCs w:val="16"/>
          <w:u w:val="single" w:color="auto"/>
          <w:color w:val="0000EE"/>
        </w:rPr>
      </w:pPr>
      <w:hyperlink r:id="rId14">
        <w:r>
          <w:rPr>
            <w:rFonts w:ascii="Arial" w:cs="Arial" w:eastAsia="Arial" w:hAnsi="Arial"/>
            <w:sz w:val="18"/>
            <w:szCs w:val="18"/>
            <w:u w:val="single" w:color="auto"/>
            <w:color w:val="0000EE"/>
          </w:rPr>
          <w:t>Item 1.</w:t>
        </w:r>
      </w:hyperlink>
      <w:r>
        <w:rPr>
          <w:rFonts w:ascii="Arial" w:cs="Arial" w:eastAsia="Arial" w:hAnsi="Arial"/>
          <w:sz w:val="18"/>
          <w:szCs w:val="18"/>
          <w:u w:val="single" w:color="auto"/>
          <w:color w:val="0000EE"/>
        </w:rPr>
        <w:tab/>
      </w:r>
      <w:hyperlink r:id="rId14">
        <w:r>
          <w:rPr>
            <w:rFonts w:ascii="Arial" w:cs="Arial" w:eastAsia="Arial" w:hAnsi="Arial"/>
            <w:sz w:val="16"/>
            <w:szCs w:val="16"/>
            <w:u w:val="single" w:color="auto"/>
            <w:color w:val="0000EE"/>
          </w:rPr>
          <w:t>Financial Statements:</w:t>
        </w:r>
      </w:hyperlink>
    </w:p>
    <w:p>
      <w:pPr>
        <w:spacing w:after="0" w:line="9" w:lineRule="exact"/>
        <w:rPr>
          <w:sz w:val="20"/>
          <w:szCs w:val="20"/>
          <w:color w:val="auto"/>
        </w:rPr>
      </w:pPr>
    </w:p>
    <w:p>
      <w:pPr>
        <w:ind w:left="1560"/>
        <w:spacing w:after="0"/>
        <w:rPr>
          <w:rFonts w:ascii="Arial" w:cs="Arial" w:eastAsia="Arial" w:hAnsi="Arial"/>
          <w:sz w:val="18"/>
          <w:szCs w:val="18"/>
          <w:u w:val="single" w:color="auto"/>
          <w:color w:val="0000EE"/>
        </w:rPr>
      </w:pPr>
      <w:hyperlink r:id="rId15">
        <w:r>
          <w:rPr>
            <w:rFonts w:ascii="Arial" w:cs="Arial" w:eastAsia="Arial" w:hAnsi="Arial"/>
            <w:sz w:val="18"/>
            <w:szCs w:val="18"/>
            <w:u w:val="single" w:color="auto"/>
            <w:color w:val="0000EE"/>
          </w:rPr>
          <w:t>Unaudited Condensed Consolidated Balance Sheets at April 30, 2006 and January 31, 2006</w:t>
        </w:r>
      </w:hyperlink>
    </w:p>
    <w:p>
      <w:pPr>
        <w:spacing w:after="0" w:line="9" w:lineRule="exact"/>
        <w:rPr>
          <w:sz w:val="20"/>
          <w:szCs w:val="20"/>
          <w:color w:val="auto"/>
        </w:rPr>
      </w:pPr>
    </w:p>
    <w:p>
      <w:pPr>
        <w:ind w:left="1560" w:right="1800"/>
        <w:spacing w:after="0" w:line="281" w:lineRule="auto"/>
        <w:rPr>
          <w:rFonts w:ascii="Arial" w:cs="Arial" w:eastAsia="Arial" w:hAnsi="Arial"/>
          <w:sz w:val="16"/>
          <w:szCs w:val="16"/>
          <w:u w:val="single" w:color="auto"/>
          <w:color w:val="0000EE"/>
        </w:rPr>
      </w:pPr>
      <w:hyperlink r:id="rId16">
        <w:r>
          <w:rPr>
            <w:rFonts w:ascii="Arial" w:cs="Arial" w:eastAsia="Arial" w:hAnsi="Arial"/>
            <w:sz w:val="16"/>
            <w:szCs w:val="16"/>
            <w:u w:val="single" w:color="auto"/>
            <w:color w:val="0000EE"/>
          </w:rPr>
          <w:t>Unaudited Condensed Consolidated Statements of Income for the three months ended April 30, 2006 and 2005</w:t>
        </w:r>
      </w:hyperlink>
      <w:r>
        <w:rPr>
          <w:rFonts w:ascii="Arial" w:cs="Arial" w:eastAsia="Arial" w:hAnsi="Arial"/>
          <w:sz w:val="16"/>
          <w:szCs w:val="16"/>
          <w:u w:val="single" w:color="auto"/>
          <w:color w:val="0000EE"/>
        </w:rPr>
        <w:t xml:space="preserve"> </w:t>
      </w:r>
      <w:hyperlink r:id="rId17">
        <w:r>
          <w:rPr>
            <w:rFonts w:ascii="Arial" w:cs="Arial" w:eastAsia="Arial" w:hAnsi="Arial"/>
            <w:sz w:val="16"/>
            <w:szCs w:val="16"/>
            <w:u w:val="single" w:color="auto"/>
            <w:color w:val="0000EE"/>
          </w:rPr>
          <w:t>Unaudited Condensed Consolidated Statements of Cash Flows for the three months ended April 30, 2006 and</w:t>
        </w:r>
      </w:hyperlink>
    </w:p>
    <w:p>
      <w:pPr>
        <w:spacing w:after="0" w:line="1" w:lineRule="exact"/>
        <w:rPr>
          <w:sz w:val="20"/>
          <w:szCs w:val="20"/>
          <w:color w:val="auto"/>
        </w:rPr>
      </w:pPr>
    </w:p>
    <w:p>
      <w:pPr>
        <w:ind w:left="1740"/>
        <w:spacing w:after="0"/>
        <w:rPr>
          <w:rFonts w:ascii="Arial" w:cs="Arial" w:eastAsia="Arial" w:hAnsi="Arial"/>
          <w:sz w:val="18"/>
          <w:szCs w:val="18"/>
          <w:u w:val="single" w:color="auto"/>
          <w:color w:val="0000EE"/>
        </w:rPr>
      </w:pPr>
      <w:hyperlink r:id="rId17">
        <w:r>
          <w:rPr>
            <w:rFonts w:ascii="Arial" w:cs="Arial" w:eastAsia="Arial" w:hAnsi="Arial"/>
            <w:sz w:val="18"/>
            <w:szCs w:val="18"/>
            <w:u w:val="single" w:color="auto"/>
            <w:color w:val="0000EE"/>
          </w:rPr>
          <w:t>2005</w:t>
        </w:r>
      </w:hyperlink>
    </w:p>
    <w:p>
      <w:pPr>
        <w:spacing w:after="0" w:line="9" w:lineRule="exact"/>
        <w:rPr>
          <w:sz w:val="20"/>
          <w:szCs w:val="20"/>
          <w:color w:val="auto"/>
        </w:rPr>
      </w:pPr>
    </w:p>
    <w:p>
      <w:pPr>
        <w:ind w:left="1560"/>
        <w:spacing w:after="0"/>
        <w:rPr>
          <w:rFonts w:ascii="Arial" w:cs="Arial" w:eastAsia="Arial" w:hAnsi="Arial"/>
          <w:sz w:val="18"/>
          <w:szCs w:val="18"/>
          <w:u w:val="single" w:color="auto"/>
          <w:color w:val="0000EE"/>
        </w:rPr>
      </w:pPr>
      <w:hyperlink r:id="rId18">
        <w:r>
          <w:rPr>
            <w:rFonts w:ascii="Arial" w:cs="Arial" w:eastAsia="Arial" w:hAnsi="Arial"/>
            <w:sz w:val="18"/>
            <w:szCs w:val="18"/>
            <w:u w:val="single" w:color="auto"/>
            <w:color w:val="0000EE"/>
          </w:rPr>
          <w:t>Notes to Unaudited Condensed Consolidated Financial Statements</w:t>
        </w:r>
      </w:hyperlink>
    </w:p>
    <w:p>
      <w:pPr>
        <w:spacing w:after="0" w:line="9" w:lineRule="exact"/>
        <w:rPr>
          <w:sz w:val="20"/>
          <w:szCs w:val="20"/>
          <w:color w:val="auto"/>
        </w:rPr>
      </w:pPr>
    </w:p>
    <w:p>
      <w:pPr>
        <w:spacing w:after="0"/>
        <w:tabs>
          <w:tab w:leader="none" w:pos="1540" w:val="left"/>
        </w:tabs>
        <w:rPr>
          <w:rFonts w:ascii="Arial" w:cs="Arial" w:eastAsia="Arial" w:hAnsi="Arial"/>
          <w:sz w:val="16"/>
          <w:szCs w:val="16"/>
          <w:u w:val="single" w:color="auto"/>
          <w:color w:val="0000EE"/>
        </w:rPr>
      </w:pPr>
      <w:hyperlink r:id="rId19">
        <w:r>
          <w:rPr>
            <w:rFonts w:ascii="Arial" w:cs="Arial" w:eastAsia="Arial" w:hAnsi="Arial"/>
            <w:sz w:val="18"/>
            <w:szCs w:val="18"/>
            <w:u w:val="single" w:color="auto"/>
            <w:color w:val="0000EE"/>
          </w:rPr>
          <w:t>Item 2.</w:t>
        </w:r>
      </w:hyperlink>
      <w:r>
        <w:rPr>
          <w:rFonts w:ascii="Arial" w:cs="Arial" w:eastAsia="Arial" w:hAnsi="Arial"/>
          <w:sz w:val="18"/>
          <w:szCs w:val="18"/>
          <w:u w:val="single" w:color="auto"/>
          <w:color w:val="0000EE"/>
        </w:rPr>
        <w:tab/>
      </w:r>
      <w:hyperlink r:id="rId19">
        <w:r>
          <w:rPr>
            <w:rFonts w:ascii="Arial" w:cs="Arial" w:eastAsia="Arial" w:hAnsi="Arial"/>
            <w:sz w:val="16"/>
            <w:szCs w:val="16"/>
            <w:u w:val="single" w:color="auto"/>
            <w:color w:val="0000EE"/>
          </w:rPr>
          <w:t>Management’s Discussion and Analysis of Financial Condition and Results of Operations</w:t>
        </w:r>
      </w:hyperlink>
    </w:p>
    <w:p>
      <w:pPr>
        <w:spacing w:after="0" w:line="9" w:lineRule="exact"/>
        <w:rPr>
          <w:sz w:val="20"/>
          <w:szCs w:val="20"/>
          <w:color w:val="auto"/>
        </w:rPr>
      </w:pPr>
    </w:p>
    <w:p>
      <w:pPr>
        <w:spacing w:after="0"/>
        <w:tabs>
          <w:tab w:leader="none" w:pos="1540" w:val="left"/>
        </w:tabs>
        <w:rPr>
          <w:rFonts w:ascii="Arial" w:cs="Arial" w:eastAsia="Arial" w:hAnsi="Arial"/>
          <w:sz w:val="16"/>
          <w:szCs w:val="16"/>
          <w:u w:val="single" w:color="auto"/>
          <w:color w:val="0000EE"/>
        </w:rPr>
      </w:pPr>
      <w:hyperlink r:id="rId20">
        <w:r>
          <w:rPr>
            <w:rFonts w:ascii="Arial" w:cs="Arial" w:eastAsia="Arial" w:hAnsi="Arial"/>
            <w:sz w:val="18"/>
            <w:szCs w:val="18"/>
            <w:u w:val="single" w:color="auto"/>
            <w:color w:val="0000EE"/>
          </w:rPr>
          <w:t>Item 3.</w:t>
        </w:r>
      </w:hyperlink>
      <w:r>
        <w:rPr>
          <w:rFonts w:ascii="Arial" w:cs="Arial" w:eastAsia="Arial" w:hAnsi="Arial"/>
          <w:sz w:val="18"/>
          <w:szCs w:val="18"/>
          <w:u w:val="single" w:color="auto"/>
          <w:color w:val="0000EE"/>
        </w:rPr>
        <w:tab/>
      </w:r>
      <w:hyperlink r:id="rId20">
        <w:r>
          <w:rPr>
            <w:rFonts w:ascii="Arial" w:cs="Arial" w:eastAsia="Arial" w:hAnsi="Arial"/>
            <w:sz w:val="16"/>
            <w:szCs w:val="16"/>
            <w:u w:val="single" w:color="auto"/>
            <w:color w:val="0000EE"/>
          </w:rPr>
          <w:t>Quantitative and Qualitative Disclosures About Market Risk</w:t>
        </w:r>
      </w:hyperlink>
    </w:p>
    <w:p>
      <w:pPr>
        <w:spacing w:after="0" w:line="9" w:lineRule="exact"/>
        <w:rPr>
          <w:sz w:val="20"/>
          <w:szCs w:val="20"/>
          <w:color w:val="auto"/>
        </w:rPr>
      </w:pPr>
    </w:p>
    <w:p>
      <w:pPr>
        <w:spacing w:after="0"/>
        <w:tabs>
          <w:tab w:leader="none" w:pos="1540" w:val="left"/>
        </w:tabs>
        <w:rPr>
          <w:rFonts w:ascii="Arial" w:cs="Arial" w:eastAsia="Arial" w:hAnsi="Arial"/>
          <w:sz w:val="16"/>
          <w:szCs w:val="16"/>
          <w:u w:val="single" w:color="auto"/>
          <w:color w:val="0000EE"/>
        </w:rPr>
      </w:pPr>
      <w:hyperlink r:id="rId21">
        <w:r>
          <w:rPr>
            <w:rFonts w:ascii="Arial" w:cs="Arial" w:eastAsia="Arial" w:hAnsi="Arial"/>
            <w:sz w:val="18"/>
            <w:szCs w:val="18"/>
            <w:u w:val="single" w:color="auto"/>
            <w:color w:val="0000EE"/>
          </w:rPr>
          <w:t>Item 4.</w:t>
        </w:r>
      </w:hyperlink>
      <w:r>
        <w:rPr>
          <w:rFonts w:ascii="Arial" w:cs="Arial" w:eastAsia="Arial" w:hAnsi="Arial"/>
          <w:sz w:val="18"/>
          <w:szCs w:val="18"/>
          <w:u w:val="single" w:color="auto"/>
          <w:color w:val="0000EE"/>
        </w:rPr>
        <w:tab/>
      </w:r>
      <w:hyperlink r:id="rId21">
        <w:r>
          <w:rPr>
            <w:rFonts w:ascii="Arial" w:cs="Arial" w:eastAsia="Arial" w:hAnsi="Arial"/>
            <w:sz w:val="16"/>
            <w:szCs w:val="16"/>
            <w:u w:val="single" w:color="auto"/>
            <w:color w:val="0000EE"/>
          </w:rPr>
          <w:t>Controls and Procedures</w:t>
        </w:r>
      </w:hyperlink>
    </w:p>
    <w:p>
      <w:pPr>
        <w:spacing w:after="0" w:line="9" w:lineRule="exact"/>
        <w:rPr>
          <w:sz w:val="20"/>
          <w:szCs w:val="20"/>
          <w:color w:val="auto"/>
        </w:rPr>
      </w:pPr>
    </w:p>
    <w:p>
      <w:pPr>
        <w:jc w:val="center"/>
        <w:ind w:right="-59"/>
        <w:spacing w:after="0"/>
        <w:rPr>
          <w:rFonts w:ascii="Arial" w:cs="Arial" w:eastAsia="Arial" w:hAnsi="Arial"/>
          <w:sz w:val="18"/>
          <w:szCs w:val="18"/>
          <w:b w:val="1"/>
          <w:bCs w:val="1"/>
          <w:u w:val="single" w:color="auto"/>
          <w:color w:val="0000EE"/>
        </w:rPr>
      </w:pPr>
      <w:hyperlink r:id="rId22">
        <w:r>
          <w:rPr>
            <w:rFonts w:ascii="Arial" w:cs="Arial" w:eastAsia="Arial" w:hAnsi="Arial"/>
            <w:sz w:val="18"/>
            <w:szCs w:val="18"/>
            <w:b w:val="1"/>
            <w:bCs w:val="1"/>
            <w:u w:val="single" w:color="auto"/>
            <w:color w:val="0000EE"/>
          </w:rPr>
          <w:t>PART II. OTHER INFORMATION</w:t>
        </w:r>
      </w:hyperlink>
    </w:p>
    <w:p>
      <w:pPr>
        <w:sectPr>
          <w:pgSz w:w="11900" w:h="16838" w:orient="portrait"/>
          <w:cols w:equalWidth="0" w:num="1">
            <w:col w:w="11340"/>
          </w:cols>
          <w:pgMar w:left="240" w:top="314" w:right="319" w:bottom="0" w:gutter="0" w:footer="0" w:header="0"/>
        </w:sectPr>
      </w:pPr>
    </w:p>
    <w:bookmarkStart w:id="1" w:name="page2"/>
    <w:bookmarkEnd w:id="1"/>
    <w:tbl>
      <w:tblPr>
        <w:tblLayout w:type="fixed"/>
        <w:tblInd w:w="0" w:type="dxa"/>
        <w:tblCellMar>
          <w:top w:w="0" w:type="dxa"/>
          <w:left w:w="0" w:type="dxa"/>
          <w:bottom w:w="0" w:type="dxa"/>
          <w:right w:w="0" w:type="dxa"/>
        </w:tblCellMar>
      </w:tblPr>
      <w:tr>
        <w:trPr>
          <w:trHeight w:val="207"/>
        </w:trPr>
        <w:tc>
          <w:tcPr>
            <w:tcW w:w="520" w:type="dxa"/>
            <w:vAlign w:val="bottom"/>
            <w:tcBorders>
              <w:bottom w:val="single" w:sz="8" w:color="0000EE"/>
            </w:tcBorders>
          </w:tcPr>
          <w:p>
            <w:pPr>
              <w:spacing w:after="0"/>
              <w:rPr>
                <w:rFonts w:ascii="Arial" w:cs="Arial" w:eastAsia="Arial" w:hAnsi="Arial"/>
                <w:sz w:val="18"/>
                <w:szCs w:val="18"/>
                <w:color w:val="0000EE"/>
                <w:w w:val="90"/>
              </w:rPr>
            </w:pPr>
            <w:hyperlink r:id="rId23">
              <w:r>
                <w:rPr>
                  <w:rFonts w:ascii="Arial" w:cs="Arial" w:eastAsia="Arial" w:hAnsi="Arial"/>
                  <w:sz w:val="18"/>
                  <w:szCs w:val="18"/>
                  <w:color w:val="0000EE"/>
                  <w:w w:val="90"/>
                </w:rPr>
                <w:t>Item 1.</w:t>
              </w:r>
            </w:hyperlink>
          </w:p>
        </w:tc>
        <w:tc>
          <w:tcPr>
            <w:tcW w:w="1040" w:type="dxa"/>
            <w:vAlign w:val="bottom"/>
            <w:gridSpan w:val="5"/>
          </w:tcPr>
          <w:p>
            <w:pPr>
              <w:spacing w:after="0"/>
              <w:rPr>
                <w:sz w:val="17"/>
                <w:szCs w:val="17"/>
                <w:color w:val="auto"/>
              </w:rPr>
            </w:pPr>
          </w:p>
        </w:tc>
        <w:tc>
          <w:tcPr>
            <w:tcW w:w="1340" w:type="dxa"/>
            <w:vAlign w:val="bottom"/>
            <w:tcBorders>
              <w:bottom w:val="single" w:sz="8" w:color="0000EE"/>
            </w:tcBorders>
            <w:gridSpan w:val="4"/>
          </w:tcPr>
          <w:p>
            <w:pPr>
              <w:spacing w:after="0"/>
              <w:rPr>
                <w:rFonts w:ascii="Arial" w:cs="Arial" w:eastAsia="Arial" w:hAnsi="Arial"/>
                <w:sz w:val="18"/>
                <w:szCs w:val="18"/>
                <w:color w:val="0000EE"/>
                <w:w w:val="88"/>
              </w:rPr>
            </w:pPr>
            <w:hyperlink r:id="rId23">
              <w:r>
                <w:rPr>
                  <w:rFonts w:ascii="Arial" w:cs="Arial" w:eastAsia="Arial" w:hAnsi="Arial"/>
                  <w:sz w:val="18"/>
                  <w:szCs w:val="18"/>
                  <w:color w:val="0000EE"/>
                  <w:w w:val="88"/>
                </w:rPr>
                <w:t>Legal Proceedings</w:t>
              </w:r>
            </w:hyperlink>
          </w:p>
        </w:tc>
        <w:tc>
          <w:tcPr>
            <w:tcW w:w="3000" w:type="dxa"/>
            <w:vAlign w:val="bottom"/>
            <w:gridSpan w:val="3"/>
          </w:tcPr>
          <w:p>
            <w:pPr>
              <w:spacing w:after="0"/>
              <w:rPr>
                <w:sz w:val="17"/>
                <w:szCs w:val="17"/>
                <w:color w:val="auto"/>
              </w:rPr>
            </w:pPr>
          </w:p>
        </w:tc>
      </w:tr>
      <w:tr>
        <w:trPr>
          <w:trHeight w:val="196"/>
        </w:trPr>
        <w:tc>
          <w:tcPr>
            <w:tcW w:w="1560" w:type="dxa"/>
            <w:vAlign w:val="bottom"/>
            <w:gridSpan w:val="6"/>
          </w:tcPr>
          <w:p>
            <w:pPr>
              <w:spacing w:after="0" w:line="196" w:lineRule="exact"/>
              <w:rPr>
                <w:rFonts w:ascii="Arial" w:cs="Arial" w:eastAsia="Arial" w:hAnsi="Arial"/>
                <w:sz w:val="18"/>
                <w:szCs w:val="18"/>
                <w:color w:val="0000EE"/>
              </w:rPr>
            </w:pPr>
            <w:hyperlink r:id="rId24">
              <w:r>
                <w:rPr>
                  <w:rFonts w:ascii="Arial" w:cs="Arial" w:eastAsia="Arial" w:hAnsi="Arial"/>
                  <w:sz w:val="18"/>
                  <w:szCs w:val="18"/>
                  <w:color w:val="0000EE"/>
                </w:rPr>
                <w:t>Item 1A.</w:t>
              </w:r>
            </w:hyperlink>
          </w:p>
        </w:tc>
        <w:tc>
          <w:tcPr>
            <w:tcW w:w="4340" w:type="dxa"/>
            <w:vAlign w:val="bottom"/>
            <w:gridSpan w:val="7"/>
          </w:tcPr>
          <w:p>
            <w:pPr>
              <w:spacing w:after="0" w:line="196" w:lineRule="exact"/>
              <w:rPr>
                <w:rFonts w:ascii="Arial" w:cs="Arial" w:eastAsia="Arial" w:hAnsi="Arial"/>
                <w:sz w:val="18"/>
                <w:szCs w:val="18"/>
                <w:color w:val="0000EE"/>
              </w:rPr>
            </w:pPr>
            <w:hyperlink r:id="rId24">
              <w:r>
                <w:rPr>
                  <w:rFonts w:ascii="Arial" w:cs="Arial" w:eastAsia="Arial" w:hAnsi="Arial"/>
                  <w:sz w:val="18"/>
                  <w:szCs w:val="18"/>
                  <w:color w:val="0000EE"/>
                </w:rPr>
                <w:t>Risk Factors</w:t>
              </w:r>
            </w:hyperlink>
          </w:p>
        </w:tc>
      </w:tr>
      <w:tr>
        <w:trPr>
          <w:trHeight w:val="20"/>
        </w:trPr>
        <w:tc>
          <w:tcPr>
            <w:tcW w:w="560" w:type="dxa"/>
            <w:vAlign w:val="bottom"/>
            <w:tcBorders>
              <w:right w:val="single" w:sz="8" w:color="0000EE"/>
            </w:tcBorders>
            <w:gridSpan w:val="2"/>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0" w:type="dxa"/>
            <w:vAlign w:val="bottom"/>
            <w:gridSpan w:val="2"/>
          </w:tcPr>
          <w:p>
            <w:pPr>
              <w:spacing w:after="0" w:line="20" w:lineRule="exact"/>
              <w:rPr>
                <w:sz w:val="1"/>
                <w:szCs w:val="1"/>
                <w:color w:val="auto"/>
              </w:rPr>
            </w:pPr>
          </w:p>
        </w:tc>
        <w:tc>
          <w:tcPr>
            <w:tcW w:w="156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560" w:type="dxa"/>
            <w:vAlign w:val="bottom"/>
            <w:tcBorders>
              <w:bottom w:val="single" w:sz="8" w:color="0000EE"/>
            </w:tcBorders>
            <w:gridSpan w:val="2"/>
          </w:tcPr>
          <w:p>
            <w:pPr>
              <w:spacing w:after="0" w:line="196" w:lineRule="exact"/>
              <w:rPr>
                <w:rFonts w:ascii="Arial" w:cs="Arial" w:eastAsia="Arial" w:hAnsi="Arial"/>
                <w:sz w:val="18"/>
                <w:szCs w:val="18"/>
                <w:color w:val="0000EE"/>
                <w:w w:val="94"/>
              </w:rPr>
            </w:pPr>
            <w:hyperlink r:id="rId25">
              <w:r>
                <w:rPr>
                  <w:rFonts w:ascii="Arial" w:cs="Arial" w:eastAsia="Arial" w:hAnsi="Arial"/>
                  <w:sz w:val="18"/>
                  <w:szCs w:val="18"/>
                  <w:color w:val="0000EE"/>
                  <w:w w:val="94"/>
                </w:rPr>
                <w:t>Item 2.</w:t>
              </w:r>
            </w:hyperlink>
          </w:p>
        </w:tc>
        <w:tc>
          <w:tcPr>
            <w:tcW w:w="80" w:type="dxa"/>
            <w:vAlign w:val="bottom"/>
          </w:tcPr>
          <w:p>
            <w:pPr>
              <w:spacing w:after="0"/>
              <w:rPr>
                <w:sz w:val="17"/>
                <w:szCs w:val="17"/>
                <w:color w:val="auto"/>
              </w:rPr>
            </w:pPr>
          </w:p>
        </w:tc>
        <w:tc>
          <w:tcPr>
            <w:tcW w:w="920" w:type="dxa"/>
            <w:vAlign w:val="bottom"/>
            <w:gridSpan w:val="3"/>
          </w:tcPr>
          <w:p>
            <w:pPr>
              <w:spacing w:after="0"/>
              <w:rPr>
                <w:sz w:val="17"/>
                <w:szCs w:val="17"/>
                <w:color w:val="auto"/>
              </w:rPr>
            </w:pPr>
          </w:p>
        </w:tc>
        <w:tc>
          <w:tcPr>
            <w:tcW w:w="4340" w:type="dxa"/>
            <w:vAlign w:val="bottom"/>
            <w:tcBorders>
              <w:bottom w:val="single" w:sz="8" w:color="0000EE"/>
            </w:tcBorders>
            <w:gridSpan w:val="7"/>
          </w:tcPr>
          <w:p>
            <w:pPr>
              <w:spacing w:after="0" w:line="196" w:lineRule="exact"/>
              <w:rPr>
                <w:rFonts w:ascii="Arial" w:cs="Arial" w:eastAsia="Arial" w:hAnsi="Arial"/>
                <w:sz w:val="18"/>
                <w:szCs w:val="18"/>
                <w:color w:val="0000EE"/>
                <w:w w:val="89"/>
              </w:rPr>
            </w:pPr>
            <w:hyperlink r:id="rId25">
              <w:r>
                <w:rPr>
                  <w:rFonts w:ascii="Arial" w:cs="Arial" w:eastAsia="Arial" w:hAnsi="Arial"/>
                  <w:sz w:val="18"/>
                  <w:szCs w:val="18"/>
                  <w:color w:val="0000EE"/>
                  <w:w w:val="89"/>
                </w:rPr>
                <w:t>Unregistered Sales of Equity Securities and Use of Proceeds</w:t>
              </w:r>
            </w:hyperlink>
          </w:p>
        </w:tc>
      </w:tr>
      <w:tr>
        <w:trPr>
          <w:trHeight w:val="196"/>
        </w:trPr>
        <w:tc>
          <w:tcPr>
            <w:tcW w:w="560" w:type="dxa"/>
            <w:vAlign w:val="bottom"/>
            <w:gridSpan w:val="2"/>
          </w:tcPr>
          <w:p>
            <w:pPr>
              <w:spacing w:after="0" w:line="196" w:lineRule="exact"/>
              <w:rPr>
                <w:rFonts w:ascii="Arial" w:cs="Arial" w:eastAsia="Arial" w:hAnsi="Arial"/>
                <w:sz w:val="18"/>
                <w:szCs w:val="18"/>
                <w:color w:val="0000EE"/>
                <w:w w:val="94"/>
              </w:rPr>
            </w:pPr>
            <w:hyperlink r:id="rId26">
              <w:r>
                <w:rPr>
                  <w:rFonts w:ascii="Arial" w:cs="Arial" w:eastAsia="Arial" w:hAnsi="Arial"/>
                  <w:sz w:val="18"/>
                  <w:szCs w:val="18"/>
                  <w:color w:val="0000EE"/>
                  <w:w w:val="94"/>
                </w:rPr>
                <w:t>Item 3.</w:t>
              </w:r>
            </w:hyperlink>
          </w:p>
        </w:tc>
        <w:tc>
          <w:tcPr>
            <w:tcW w:w="1000" w:type="dxa"/>
            <w:vAlign w:val="bottom"/>
            <w:gridSpan w:val="4"/>
          </w:tcPr>
          <w:p>
            <w:pPr>
              <w:spacing w:after="0"/>
              <w:rPr>
                <w:sz w:val="17"/>
                <w:szCs w:val="17"/>
                <w:color w:val="auto"/>
              </w:rPr>
            </w:pPr>
          </w:p>
        </w:tc>
        <w:tc>
          <w:tcPr>
            <w:tcW w:w="4340" w:type="dxa"/>
            <w:vAlign w:val="bottom"/>
            <w:gridSpan w:val="7"/>
          </w:tcPr>
          <w:p>
            <w:pPr>
              <w:spacing w:after="0" w:line="196" w:lineRule="exact"/>
              <w:rPr>
                <w:rFonts w:ascii="Arial" w:cs="Arial" w:eastAsia="Arial" w:hAnsi="Arial"/>
                <w:sz w:val="18"/>
                <w:szCs w:val="18"/>
                <w:color w:val="0000EE"/>
              </w:rPr>
            </w:pPr>
            <w:hyperlink r:id="rId26">
              <w:r>
                <w:rPr>
                  <w:rFonts w:ascii="Arial" w:cs="Arial" w:eastAsia="Arial" w:hAnsi="Arial"/>
                  <w:sz w:val="18"/>
                  <w:szCs w:val="18"/>
                  <w:color w:val="0000EE"/>
                </w:rPr>
                <w:t>Defaults Upon Senior Securities</w:t>
              </w:r>
            </w:hyperlink>
          </w:p>
        </w:tc>
      </w:tr>
      <w:tr>
        <w:trPr>
          <w:trHeight w:val="20"/>
        </w:trPr>
        <w:tc>
          <w:tcPr>
            <w:tcW w:w="560" w:type="dxa"/>
            <w:vAlign w:val="bottom"/>
            <w:tcBorders>
              <w:right w:val="single" w:sz="8" w:color="0000EE"/>
            </w:tcBorders>
            <w:gridSpan w:val="2"/>
            <w:shd w:val="clear" w:color="auto" w:fill="0000EE"/>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720" w:type="dxa"/>
            <w:vAlign w:val="bottom"/>
            <w:gridSpan w:val="2"/>
            <w:shd w:val="clear" w:color="auto" w:fill="0000EE"/>
          </w:tcPr>
          <w:p>
            <w:pPr>
              <w:spacing w:after="0" w:line="20" w:lineRule="exact"/>
              <w:rPr>
                <w:sz w:val="1"/>
                <w:szCs w:val="1"/>
                <w:color w:val="auto"/>
              </w:rPr>
            </w:pPr>
          </w:p>
        </w:tc>
        <w:tc>
          <w:tcPr>
            <w:tcW w:w="1000" w:type="dxa"/>
            <w:vAlign w:val="bottom"/>
            <w:gridSpan w:val="2"/>
            <w:shd w:val="clear" w:color="auto" w:fill="0000EE"/>
          </w:tcPr>
          <w:p>
            <w:pPr>
              <w:spacing w:after="0" w:line="20" w:lineRule="exact"/>
              <w:rPr>
                <w:sz w:val="1"/>
                <w:szCs w:val="1"/>
                <w:color w:val="auto"/>
              </w:rPr>
            </w:pPr>
          </w:p>
        </w:tc>
        <w:tc>
          <w:tcPr>
            <w:tcW w:w="156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560" w:type="dxa"/>
            <w:vAlign w:val="bottom"/>
            <w:tcBorders>
              <w:bottom w:val="single" w:sz="8" w:color="0000EE"/>
            </w:tcBorders>
            <w:gridSpan w:val="2"/>
          </w:tcPr>
          <w:p>
            <w:pPr>
              <w:spacing w:after="0" w:line="196" w:lineRule="exact"/>
              <w:rPr>
                <w:rFonts w:ascii="Arial" w:cs="Arial" w:eastAsia="Arial" w:hAnsi="Arial"/>
                <w:sz w:val="18"/>
                <w:szCs w:val="18"/>
                <w:color w:val="0000EE"/>
                <w:w w:val="94"/>
              </w:rPr>
            </w:pPr>
            <w:hyperlink r:id="rId27">
              <w:r>
                <w:rPr>
                  <w:rFonts w:ascii="Arial" w:cs="Arial" w:eastAsia="Arial" w:hAnsi="Arial"/>
                  <w:sz w:val="18"/>
                  <w:szCs w:val="18"/>
                  <w:color w:val="0000EE"/>
                  <w:w w:val="94"/>
                </w:rPr>
                <w:t>Item 4.</w:t>
              </w:r>
            </w:hyperlink>
          </w:p>
        </w:tc>
        <w:tc>
          <w:tcPr>
            <w:tcW w:w="1000" w:type="dxa"/>
            <w:vAlign w:val="bottom"/>
            <w:gridSpan w:val="4"/>
          </w:tcPr>
          <w:p>
            <w:pPr>
              <w:spacing w:after="0"/>
              <w:rPr>
                <w:sz w:val="17"/>
                <w:szCs w:val="17"/>
                <w:color w:val="auto"/>
              </w:rPr>
            </w:pPr>
          </w:p>
        </w:tc>
        <w:tc>
          <w:tcPr>
            <w:tcW w:w="3880" w:type="dxa"/>
            <w:vAlign w:val="bottom"/>
            <w:tcBorders>
              <w:bottom w:val="single" w:sz="8" w:color="0000EE"/>
            </w:tcBorders>
            <w:gridSpan w:val="6"/>
          </w:tcPr>
          <w:p>
            <w:pPr>
              <w:spacing w:after="0" w:line="196" w:lineRule="exact"/>
              <w:rPr>
                <w:rFonts w:ascii="Arial" w:cs="Arial" w:eastAsia="Arial" w:hAnsi="Arial"/>
                <w:sz w:val="18"/>
                <w:szCs w:val="18"/>
                <w:color w:val="0000EE"/>
                <w:w w:val="90"/>
              </w:rPr>
            </w:pPr>
            <w:hyperlink r:id="rId27">
              <w:r>
                <w:rPr>
                  <w:rFonts w:ascii="Arial" w:cs="Arial" w:eastAsia="Arial" w:hAnsi="Arial"/>
                  <w:sz w:val="18"/>
                  <w:szCs w:val="18"/>
                  <w:color w:val="0000EE"/>
                  <w:w w:val="90"/>
                </w:rPr>
                <w:t>Submission of Matters to a Vote of Securities Holders</w:t>
              </w:r>
            </w:hyperlink>
          </w:p>
        </w:tc>
        <w:tc>
          <w:tcPr>
            <w:tcW w:w="460" w:type="dxa"/>
            <w:vAlign w:val="bottom"/>
          </w:tcPr>
          <w:p>
            <w:pPr>
              <w:spacing w:after="0"/>
              <w:rPr>
                <w:sz w:val="17"/>
                <w:szCs w:val="17"/>
                <w:color w:val="auto"/>
              </w:rPr>
            </w:pPr>
          </w:p>
        </w:tc>
      </w:tr>
      <w:tr>
        <w:trPr>
          <w:trHeight w:val="196"/>
        </w:trPr>
        <w:tc>
          <w:tcPr>
            <w:tcW w:w="520" w:type="dxa"/>
            <w:vAlign w:val="bottom"/>
            <w:tcBorders>
              <w:bottom w:val="single" w:sz="8" w:color="0000EE"/>
            </w:tcBorders>
          </w:tcPr>
          <w:p>
            <w:pPr>
              <w:spacing w:after="0" w:line="196" w:lineRule="exact"/>
              <w:rPr>
                <w:rFonts w:ascii="Arial" w:cs="Arial" w:eastAsia="Arial" w:hAnsi="Arial"/>
                <w:sz w:val="18"/>
                <w:szCs w:val="18"/>
                <w:color w:val="0000EE"/>
                <w:w w:val="90"/>
              </w:rPr>
            </w:pPr>
            <w:hyperlink r:id="rId28">
              <w:r>
                <w:rPr>
                  <w:rFonts w:ascii="Arial" w:cs="Arial" w:eastAsia="Arial" w:hAnsi="Arial"/>
                  <w:sz w:val="18"/>
                  <w:szCs w:val="18"/>
                  <w:color w:val="0000EE"/>
                  <w:w w:val="90"/>
                </w:rPr>
                <w:t>Item 5.</w:t>
              </w:r>
            </w:hyperlink>
          </w:p>
        </w:tc>
        <w:tc>
          <w:tcPr>
            <w:tcW w:w="1040" w:type="dxa"/>
            <w:vAlign w:val="bottom"/>
            <w:gridSpan w:val="5"/>
          </w:tcPr>
          <w:p>
            <w:pPr>
              <w:spacing w:after="0"/>
              <w:rPr>
                <w:sz w:val="17"/>
                <w:szCs w:val="17"/>
                <w:color w:val="auto"/>
              </w:rPr>
            </w:pPr>
          </w:p>
        </w:tc>
        <w:tc>
          <w:tcPr>
            <w:tcW w:w="1320" w:type="dxa"/>
            <w:vAlign w:val="bottom"/>
            <w:tcBorders>
              <w:bottom w:val="single" w:sz="8" w:color="0000EE"/>
            </w:tcBorders>
            <w:gridSpan w:val="3"/>
          </w:tcPr>
          <w:p>
            <w:pPr>
              <w:spacing w:after="0" w:line="196" w:lineRule="exact"/>
              <w:rPr>
                <w:rFonts w:ascii="Arial" w:cs="Arial" w:eastAsia="Arial" w:hAnsi="Arial"/>
                <w:sz w:val="18"/>
                <w:szCs w:val="18"/>
                <w:color w:val="0000EE"/>
                <w:w w:val="92"/>
              </w:rPr>
            </w:pPr>
            <w:hyperlink r:id="rId28">
              <w:r>
                <w:rPr>
                  <w:rFonts w:ascii="Arial" w:cs="Arial" w:eastAsia="Arial" w:hAnsi="Arial"/>
                  <w:sz w:val="18"/>
                  <w:szCs w:val="18"/>
                  <w:color w:val="0000EE"/>
                  <w:w w:val="92"/>
                </w:rPr>
                <w:t>Other Information</w:t>
              </w:r>
            </w:hyperlink>
          </w:p>
        </w:tc>
        <w:tc>
          <w:tcPr>
            <w:tcW w:w="3020" w:type="dxa"/>
            <w:vAlign w:val="bottom"/>
            <w:gridSpan w:val="4"/>
          </w:tcPr>
          <w:p>
            <w:pPr>
              <w:spacing w:after="0"/>
              <w:rPr>
                <w:sz w:val="17"/>
                <w:szCs w:val="17"/>
                <w:color w:val="auto"/>
              </w:rPr>
            </w:pPr>
          </w:p>
        </w:tc>
      </w:tr>
      <w:tr>
        <w:trPr>
          <w:trHeight w:val="196"/>
        </w:trPr>
        <w:tc>
          <w:tcPr>
            <w:tcW w:w="560" w:type="dxa"/>
            <w:vAlign w:val="bottom"/>
            <w:gridSpan w:val="2"/>
          </w:tcPr>
          <w:p>
            <w:pPr>
              <w:spacing w:after="0" w:line="196" w:lineRule="exact"/>
              <w:rPr>
                <w:rFonts w:ascii="Arial" w:cs="Arial" w:eastAsia="Arial" w:hAnsi="Arial"/>
                <w:sz w:val="18"/>
                <w:szCs w:val="18"/>
                <w:color w:val="0000EE"/>
                <w:w w:val="94"/>
              </w:rPr>
            </w:pPr>
            <w:hyperlink r:id="rId29">
              <w:r>
                <w:rPr>
                  <w:rFonts w:ascii="Arial" w:cs="Arial" w:eastAsia="Arial" w:hAnsi="Arial"/>
                  <w:sz w:val="18"/>
                  <w:szCs w:val="18"/>
                  <w:color w:val="0000EE"/>
                  <w:w w:val="94"/>
                </w:rPr>
                <w:t>Item 6.</w:t>
              </w:r>
            </w:hyperlink>
          </w:p>
        </w:tc>
        <w:tc>
          <w:tcPr>
            <w:tcW w:w="1000" w:type="dxa"/>
            <w:vAlign w:val="bottom"/>
            <w:gridSpan w:val="4"/>
          </w:tcPr>
          <w:p>
            <w:pPr>
              <w:spacing w:after="0"/>
              <w:rPr>
                <w:sz w:val="17"/>
                <w:szCs w:val="17"/>
                <w:color w:val="auto"/>
              </w:rPr>
            </w:pPr>
          </w:p>
        </w:tc>
        <w:tc>
          <w:tcPr>
            <w:tcW w:w="4340" w:type="dxa"/>
            <w:vAlign w:val="bottom"/>
            <w:gridSpan w:val="7"/>
          </w:tcPr>
          <w:p>
            <w:pPr>
              <w:spacing w:after="0" w:line="196" w:lineRule="exact"/>
              <w:rPr>
                <w:rFonts w:ascii="Arial" w:cs="Arial" w:eastAsia="Arial" w:hAnsi="Arial"/>
                <w:sz w:val="18"/>
                <w:szCs w:val="18"/>
                <w:color w:val="0000EE"/>
              </w:rPr>
            </w:pPr>
            <w:hyperlink r:id="rId29">
              <w:r>
                <w:rPr>
                  <w:rFonts w:ascii="Arial" w:cs="Arial" w:eastAsia="Arial" w:hAnsi="Arial"/>
                  <w:sz w:val="18"/>
                  <w:szCs w:val="18"/>
                  <w:color w:val="0000EE"/>
                </w:rPr>
                <w:t>Exhibits</w:t>
              </w:r>
            </w:hyperlink>
          </w:p>
        </w:tc>
      </w:tr>
      <w:tr>
        <w:trPr>
          <w:trHeight w:val="20"/>
        </w:trPr>
        <w:tc>
          <w:tcPr>
            <w:tcW w:w="560" w:type="dxa"/>
            <w:vAlign w:val="bottom"/>
            <w:tcBorders>
              <w:right w:val="single" w:sz="8" w:color="0000EE"/>
            </w:tcBorders>
            <w:gridSpan w:val="2"/>
            <w:shd w:val="clear" w:color="auto" w:fill="0000EE"/>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156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1560" w:type="dxa"/>
            <w:vAlign w:val="bottom"/>
            <w:gridSpan w:val="6"/>
          </w:tcPr>
          <w:p>
            <w:pPr>
              <w:spacing w:after="0" w:line="196" w:lineRule="exact"/>
              <w:rPr>
                <w:rFonts w:ascii="Arial" w:cs="Arial" w:eastAsia="Arial" w:hAnsi="Arial"/>
                <w:sz w:val="18"/>
                <w:szCs w:val="18"/>
                <w:color w:val="0000EE"/>
              </w:rPr>
            </w:pPr>
            <w:hyperlink r:id="rId30">
              <w:r>
                <w:rPr>
                  <w:rFonts w:ascii="Arial" w:cs="Arial" w:eastAsia="Arial" w:hAnsi="Arial"/>
                  <w:sz w:val="18"/>
                  <w:szCs w:val="18"/>
                  <w:color w:val="0000EE"/>
                </w:rPr>
                <w:t>Signatures</w:t>
              </w:r>
            </w:hyperlink>
          </w:p>
        </w:tc>
        <w:tc>
          <w:tcPr>
            <w:tcW w:w="6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1560" w:type="dxa"/>
            <w:vAlign w:val="bottom"/>
          </w:tcPr>
          <w:p>
            <w:pPr>
              <w:spacing w:after="0"/>
              <w:rPr>
                <w:sz w:val="17"/>
                <w:szCs w:val="17"/>
                <w:color w:val="auto"/>
              </w:rPr>
            </w:pPr>
          </w:p>
        </w:tc>
        <w:tc>
          <w:tcPr>
            <w:tcW w:w="460" w:type="dxa"/>
            <w:vAlign w:val="bottom"/>
          </w:tcPr>
          <w:p>
            <w:pPr>
              <w:spacing w:after="0"/>
              <w:rPr>
                <w:sz w:val="17"/>
                <w:szCs w:val="17"/>
                <w:color w:val="auto"/>
              </w:rPr>
            </w:pPr>
          </w:p>
        </w:tc>
      </w:tr>
      <w:tr>
        <w:trPr>
          <w:trHeight w:val="20"/>
        </w:trPr>
        <w:tc>
          <w:tcPr>
            <w:tcW w:w="760" w:type="dxa"/>
            <w:vAlign w:val="bottom"/>
            <w:gridSpan w:val="4"/>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156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1000" w:type="dxa"/>
            <w:vAlign w:val="bottom"/>
            <w:tcBorders>
              <w:bottom w:val="single" w:sz="8" w:color="0000EE"/>
            </w:tcBorders>
            <w:gridSpan w:val="5"/>
          </w:tcPr>
          <w:p>
            <w:pPr>
              <w:spacing w:after="0" w:line="196" w:lineRule="exact"/>
              <w:rPr>
                <w:rFonts w:ascii="Arial" w:cs="Arial" w:eastAsia="Arial" w:hAnsi="Arial"/>
                <w:sz w:val="18"/>
                <w:szCs w:val="18"/>
                <w:color w:val="0000EE"/>
                <w:w w:val="95"/>
              </w:rPr>
            </w:pPr>
            <w:hyperlink r:id="rId31">
              <w:r>
                <w:rPr>
                  <w:rFonts w:ascii="Arial" w:cs="Arial" w:eastAsia="Arial" w:hAnsi="Arial"/>
                  <w:sz w:val="18"/>
                  <w:szCs w:val="18"/>
                  <w:color w:val="0000EE"/>
                  <w:w w:val="95"/>
                </w:rPr>
                <w:t>Exhibit Index</w:t>
              </w:r>
            </w:hyperlink>
          </w:p>
        </w:tc>
        <w:tc>
          <w:tcPr>
            <w:tcW w:w="56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1560" w:type="dxa"/>
            <w:vAlign w:val="bottom"/>
          </w:tcPr>
          <w:p>
            <w:pPr>
              <w:spacing w:after="0"/>
              <w:rPr>
                <w:sz w:val="17"/>
                <w:szCs w:val="17"/>
                <w:color w:val="auto"/>
              </w:rPr>
            </w:pPr>
          </w:p>
        </w:tc>
        <w:tc>
          <w:tcPr>
            <w:tcW w:w="460" w:type="dxa"/>
            <w:vAlign w:val="bottom"/>
          </w:tcPr>
          <w:p>
            <w:pPr>
              <w:spacing w:after="0"/>
              <w:rPr>
                <w:sz w:val="17"/>
                <w:szCs w:val="17"/>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 FINANCIAL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par value)</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ASSETS</w:t>
      </w:r>
    </w:p>
    <w:p>
      <w:pPr>
        <w:spacing w:after="0" w:line="19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9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6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rPr>
              <w:t>April 30,</w:t>
            </w: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w w:val="95"/>
              </w:rPr>
              <w:t>January 31,</w:t>
            </w:r>
          </w:p>
        </w:tc>
        <w:tc>
          <w:tcPr>
            <w:tcW w:w="0" w:type="dxa"/>
            <w:vAlign w:val="bottom"/>
          </w:tcPr>
          <w:p>
            <w:pPr>
              <w:spacing w:after="0"/>
              <w:rPr>
                <w:sz w:val="1"/>
                <w:szCs w:val="1"/>
                <w:color w:val="auto"/>
              </w:rPr>
            </w:pPr>
          </w:p>
        </w:tc>
      </w:tr>
      <w:tr>
        <w:trPr>
          <w:trHeight w:val="161"/>
        </w:trPr>
        <w:tc>
          <w:tcPr>
            <w:tcW w:w="898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jc w:val="right"/>
              <w:ind w:right="291"/>
              <w:spacing w:after="0"/>
              <w:rPr>
                <w:sz w:val="20"/>
                <w:szCs w:val="20"/>
                <w:color w:val="auto"/>
              </w:rPr>
            </w:pPr>
            <w:r>
              <w:rPr>
                <w:rFonts w:ascii="Arial" w:cs="Arial" w:eastAsia="Arial" w:hAnsi="Arial"/>
                <w:sz w:val="14"/>
                <w:szCs w:val="14"/>
                <w:b w:val="1"/>
                <w:bCs w:val="1"/>
                <w:color w:val="auto"/>
              </w:rPr>
              <w:t>2006</w:t>
            </w:r>
          </w:p>
        </w:tc>
        <w:tc>
          <w:tcPr>
            <w:tcW w:w="18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jc w:val="right"/>
              <w:ind w:right="311"/>
              <w:spacing w:after="0"/>
              <w:rPr>
                <w:sz w:val="20"/>
                <w:szCs w:val="20"/>
                <w:color w:val="auto"/>
              </w:rPr>
            </w:pPr>
            <w:r>
              <w:rPr>
                <w:rFonts w:ascii="Arial" w:cs="Arial" w:eastAsia="Arial" w:hAnsi="Arial"/>
                <w:sz w:val="14"/>
                <w:szCs w:val="14"/>
                <w:b w:val="1"/>
                <w:bCs w:val="1"/>
                <w:color w:val="auto"/>
              </w:rPr>
              <w:t>2006</w:t>
            </w:r>
          </w:p>
        </w:tc>
        <w:tc>
          <w:tcPr>
            <w:tcW w:w="8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898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Current assets:</w:t>
            </w:r>
          </w:p>
        </w:tc>
        <w:tc>
          <w:tcPr>
            <w:tcW w:w="16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8980" w:type="dxa"/>
            <w:vAlign w:val="bottom"/>
          </w:tcPr>
          <w:p>
            <w:pPr>
              <w:ind w:left="180"/>
              <w:spacing w:after="0"/>
              <w:rPr>
                <w:sz w:val="20"/>
                <w:szCs w:val="20"/>
                <w:color w:val="auto"/>
              </w:rPr>
            </w:pPr>
            <w:r>
              <w:rPr>
                <w:rFonts w:ascii="Arial" w:cs="Arial" w:eastAsia="Arial" w:hAnsi="Arial"/>
                <w:sz w:val="18"/>
                <w:szCs w:val="18"/>
                <w:color w:val="auto"/>
              </w:rPr>
              <w:t>Cash and cash equivalents</w:t>
            </w:r>
          </w:p>
        </w:tc>
        <w:tc>
          <w:tcPr>
            <w:tcW w:w="160" w:type="dxa"/>
            <w:vAlign w:val="bottom"/>
          </w:tcPr>
          <w:p>
            <w:pPr>
              <w:jc w:val="right"/>
              <w:ind w:right="5"/>
              <w:spacing w:after="0"/>
              <w:rPr>
                <w:sz w:val="20"/>
                <w:szCs w:val="20"/>
                <w:color w:val="auto"/>
              </w:rPr>
            </w:pPr>
            <w:r>
              <w:rPr>
                <w:rFonts w:ascii="Arial" w:cs="Arial" w:eastAsia="Arial" w:hAnsi="Arial"/>
                <w:sz w:val="15"/>
                <w:szCs w:val="15"/>
                <w:color w:val="auto"/>
                <w:w w:val="71"/>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529,389</w:t>
            </w:r>
          </w:p>
        </w:tc>
        <w:tc>
          <w:tcPr>
            <w:tcW w:w="180" w:type="dxa"/>
            <w:vAlign w:val="bottom"/>
          </w:tcPr>
          <w:p>
            <w:pPr>
              <w:spacing w:after="0"/>
              <w:rPr>
                <w:sz w:val="18"/>
                <w:szCs w:val="18"/>
                <w:color w:val="auto"/>
              </w:rPr>
            </w:pP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348,431</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9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Short-term investments</w:t>
            </w:r>
          </w:p>
        </w:tc>
        <w:tc>
          <w:tcPr>
            <w:tcW w:w="16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392,021</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572,591</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980" w:type="dxa"/>
            <w:vAlign w:val="bottom"/>
          </w:tcPr>
          <w:p>
            <w:pPr>
              <w:ind w:left="180"/>
              <w:spacing w:after="0"/>
              <w:rPr>
                <w:sz w:val="20"/>
                <w:szCs w:val="20"/>
                <w:color w:val="auto"/>
              </w:rPr>
            </w:pPr>
            <w:r>
              <w:rPr>
                <w:rFonts w:ascii="Arial" w:cs="Arial" w:eastAsia="Arial" w:hAnsi="Arial"/>
                <w:sz w:val="18"/>
                <w:szCs w:val="18"/>
                <w:color w:val="auto"/>
              </w:rPr>
              <w:t>Accounts receivable, net of allowances of $3,054 and $3,028</w:t>
            </w:r>
          </w:p>
        </w:tc>
        <w:tc>
          <w:tcPr>
            <w:tcW w:w="1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293,536</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245,164</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9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Inventories</w:t>
            </w:r>
          </w:p>
        </w:tc>
        <w:tc>
          <w:tcPr>
            <w:tcW w:w="16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204,839</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211,374</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980" w:type="dxa"/>
            <w:vAlign w:val="bottom"/>
          </w:tcPr>
          <w:p>
            <w:pPr>
              <w:ind w:left="180"/>
              <w:spacing w:after="0"/>
              <w:rPr>
                <w:sz w:val="20"/>
                <w:szCs w:val="20"/>
                <w:color w:val="auto"/>
              </w:rPr>
            </w:pPr>
            <w:r>
              <w:rPr>
                <w:rFonts w:ascii="Arial" w:cs="Arial" w:eastAsia="Arial" w:hAnsi="Arial"/>
                <w:sz w:val="18"/>
                <w:szCs w:val="18"/>
                <w:color w:val="auto"/>
              </w:rPr>
              <w:t>Prepaid expenses and other current assets</w:t>
            </w:r>
          </w:p>
        </w:tc>
        <w:tc>
          <w:tcPr>
            <w:tcW w:w="1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116,854</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104,307</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9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Deferred income taxes</w:t>
            </w:r>
          </w:p>
        </w:tc>
        <w:tc>
          <w:tcPr>
            <w:tcW w:w="160" w:type="dxa"/>
            <w:vAlign w:val="bottom"/>
            <w:tcBorders>
              <w:bottom w:val="single" w:sz="8" w:color="auto"/>
            </w:tcBorders>
            <w:shd w:val="clear" w:color="auto" w:fill="CCEEFF"/>
          </w:tcPr>
          <w:p>
            <w:pPr>
              <w:spacing w:after="0"/>
              <w:rPr>
                <w:sz w:val="18"/>
                <w:szCs w:val="18"/>
                <w:color w:val="auto"/>
              </w:rPr>
            </w:pP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18,007</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18,007</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8980" w:type="dxa"/>
            <w:vAlign w:val="bottom"/>
          </w:tcPr>
          <w:p>
            <w:pPr>
              <w:ind w:left="360"/>
              <w:spacing w:after="0"/>
              <w:rPr>
                <w:sz w:val="20"/>
                <w:szCs w:val="20"/>
                <w:color w:val="auto"/>
              </w:rPr>
            </w:pPr>
            <w:r>
              <w:rPr>
                <w:rFonts w:ascii="Arial" w:cs="Arial" w:eastAsia="Arial" w:hAnsi="Arial"/>
                <w:sz w:val="18"/>
                <w:szCs w:val="18"/>
                <w:color w:val="auto"/>
              </w:rPr>
              <w:t>Total current assets</w:t>
            </w:r>
          </w:p>
        </w:tc>
        <w:tc>
          <w:tcPr>
            <w:tcW w:w="1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1,554,646</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1,499,874</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980" w:type="dxa"/>
            <w:vAlign w:val="bottom"/>
            <w:shd w:val="clear" w:color="auto" w:fill="CCEEFF"/>
          </w:tcPr>
          <w:p>
            <w:pPr>
              <w:spacing w:after="0"/>
              <w:rPr>
                <w:sz w:val="20"/>
                <w:szCs w:val="20"/>
                <w:color w:val="auto"/>
              </w:rPr>
            </w:pPr>
            <w:r>
              <w:rPr>
                <w:rFonts w:ascii="Arial" w:cs="Arial" w:eastAsia="Arial" w:hAnsi="Arial"/>
                <w:sz w:val="18"/>
                <w:szCs w:val="18"/>
                <w:color w:val="auto"/>
              </w:rPr>
              <w:t>Property and equipment, net</w:t>
            </w:r>
          </w:p>
        </w:tc>
        <w:tc>
          <w:tcPr>
            <w:tcW w:w="16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279,398</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260,921</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980" w:type="dxa"/>
            <w:vAlign w:val="bottom"/>
          </w:tcPr>
          <w:p>
            <w:pPr>
              <w:spacing w:after="0"/>
              <w:rPr>
                <w:sz w:val="20"/>
                <w:szCs w:val="20"/>
                <w:color w:val="auto"/>
              </w:rPr>
            </w:pPr>
            <w:r>
              <w:rPr>
                <w:rFonts w:ascii="Arial" w:cs="Arial" w:eastAsia="Arial" w:hAnsi="Arial"/>
                <w:sz w:val="18"/>
                <w:szCs w:val="18"/>
                <w:color w:val="auto"/>
              </w:rPr>
              <w:t>Goodwill</w:t>
            </w:r>
          </w:p>
        </w:tc>
        <w:tc>
          <w:tcPr>
            <w:tcW w:w="1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1,558,209</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1,558,209</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980" w:type="dxa"/>
            <w:vAlign w:val="bottom"/>
            <w:shd w:val="clear" w:color="auto" w:fill="CCEEFF"/>
          </w:tcPr>
          <w:p>
            <w:pPr>
              <w:spacing w:after="0"/>
              <w:rPr>
                <w:sz w:val="20"/>
                <w:szCs w:val="20"/>
                <w:color w:val="auto"/>
              </w:rPr>
            </w:pPr>
            <w:r>
              <w:rPr>
                <w:rFonts w:ascii="Arial" w:cs="Arial" w:eastAsia="Arial" w:hAnsi="Arial"/>
                <w:sz w:val="18"/>
                <w:szCs w:val="18"/>
                <w:color w:val="auto"/>
              </w:rPr>
              <w:t>Acquired intangible assets</w:t>
            </w:r>
          </w:p>
        </w:tc>
        <w:tc>
          <w:tcPr>
            <w:tcW w:w="16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125,379</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111,973</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98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Other noncurrent assets</w:t>
            </w:r>
          </w:p>
        </w:tc>
        <w:tc>
          <w:tcPr>
            <w:tcW w:w="160" w:type="dxa"/>
            <w:vAlign w:val="bottom"/>
            <w:tcBorders>
              <w:bottom w:val="single" w:sz="8" w:color="auto"/>
            </w:tcBorders>
          </w:tcPr>
          <w:p>
            <w:pPr>
              <w:spacing w:after="0"/>
              <w:rPr>
                <w:sz w:val="18"/>
                <w:szCs w:val="18"/>
                <w:color w:val="auto"/>
              </w:rPr>
            </w:pPr>
          </w:p>
        </w:tc>
        <w:tc>
          <w:tcPr>
            <w:tcW w:w="8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94,544</w:t>
            </w:r>
          </w:p>
        </w:tc>
        <w:tc>
          <w:tcPr>
            <w:tcW w:w="18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82,312</w:t>
            </w:r>
          </w:p>
        </w:tc>
        <w:tc>
          <w:tcPr>
            <w:tcW w:w="8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898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Total assets</w:t>
            </w:r>
          </w:p>
        </w:tc>
        <w:tc>
          <w:tcPr>
            <w:tcW w:w="160" w:type="dxa"/>
            <w:vAlign w:val="bottom"/>
            <w:tcBorders>
              <w:bottom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3,612,176</w:t>
            </w:r>
          </w:p>
        </w:tc>
        <w:tc>
          <w:tcPr>
            <w:tcW w:w="18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3,513,289</w:t>
            </w:r>
          </w:p>
        </w:tc>
        <w:tc>
          <w:tcPr>
            <w:tcW w:w="8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8980" w:type="dxa"/>
            <w:vAlign w:val="bottom"/>
            <w:vMerge w:val="restart"/>
          </w:tcPr>
          <w:p>
            <w:pPr>
              <w:ind w:left="3720"/>
              <w:spacing w:after="0"/>
              <w:rPr>
                <w:sz w:val="20"/>
                <w:szCs w:val="20"/>
                <w:color w:val="auto"/>
              </w:rPr>
            </w:pPr>
            <w:r>
              <w:rPr>
                <w:rFonts w:ascii="Arial" w:cs="Arial" w:eastAsia="Arial" w:hAnsi="Arial"/>
                <w:sz w:val="18"/>
                <w:szCs w:val="18"/>
                <w:b w:val="1"/>
                <w:bCs w:val="1"/>
                <w:color w:val="auto"/>
              </w:rPr>
              <w:t>LIABILITIES AND SHAREHOLDERS’ EQUITY</w:t>
            </w:r>
          </w:p>
        </w:tc>
        <w:tc>
          <w:tcPr>
            <w:tcW w:w="16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0"/>
        </w:trPr>
        <w:tc>
          <w:tcPr>
            <w:tcW w:w="8980" w:type="dxa"/>
            <w:vAlign w:val="bottom"/>
            <w:vMerge w:val="continue"/>
          </w:tcPr>
          <w:p>
            <w:pPr>
              <w:spacing w:after="0"/>
              <w:rPr>
                <w:sz w:val="14"/>
                <w:szCs w:val="14"/>
                <w:color w:val="auto"/>
              </w:rPr>
            </w:pPr>
          </w:p>
        </w:tc>
        <w:tc>
          <w:tcPr>
            <w:tcW w:w="1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898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16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980" w:type="dxa"/>
            <w:vAlign w:val="bottom"/>
          </w:tcPr>
          <w:p>
            <w:pPr>
              <w:ind w:left="180"/>
              <w:spacing w:after="0"/>
              <w:rPr>
                <w:sz w:val="20"/>
                <w:szCs w:val="20"/>
                <w:color w:val="auto"/>
              </w:rPr>
            </w:pPr>
            <w:r>
              <w:rPr>
                <w:rFonts w:ascii="Arial" w:cs="Arial" w:eastAsia="Arial" w:hAnsi="Arial"/>
                <w:sz w:val="18"/>
                <w:szCs w:val="18"/>
                <w:color w:val="auto"/>
              </w:rPr>
              <w:t>Accounts payable</w:t>
            </w:r>
          </w:p>
        </w:tc>
        <w:tc>
          <w:tcPr>
            <w:tcW w:w="160" w:type="dxa"/>
            <w:vAlign w:val="bottom"/>
          </w:tcPr>
          <w:p>
            <w:pPr>
              <w:jc w:val="right"/>
              <w:ind w:right="5"/>
              <w:spacing w:after="0"/>
              <w:rPr>
                <w:sz w:val="20"/>
                <w:szCs w:val="20"/>
                <w:color w:val="auto"/>
              </w:rPr>
            </w:pPr>
            <w:r>
              <w:rPr>
                <w:rFonts w:ascii="Arial" w:cs="Arial" w:eastAsia="Arial" w:hAnsi="Arial"/>
                <w:sz w:val="15"/>
                <w:szCs w:val="15"/>
                <w:color w:val="auto"/>
                <w:w w:val="71"/>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150,738</w:t>
            </w:r>
          </w:p>
        </w:tc>
        <w:tc>
          <w:tcPr>
            <w:tcW w:w="180" w:type="dxa"/>
            <w:vAlign w:val="bottom"/>
          </w:tcPr>
          <w:p>
            <w:pPr>
              <w:spacing w:after="0"/>
              <w:rPr>
                <w:sz w:val="18"/>
                <w:szCs w:val="18"/>
                <w:color w:val="auto"/>
              </w:rPr>
            </w:pP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196,606</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9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Accrued liabilities</w:t>
            </w:r>
          </w:p>
        </w:tc>
        <w:tc>
          <w:tcPr>
            <w:tcW w:w="16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44,482</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34,905</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980" w:type="dxa"/>
            <w:vAlign w:val="bottom"/>
          </w:tcPr>
          <w:p>
            <w:pPr>
              <w:ind w:left="180"/>
              <w:spacing w:after="0"/>
              <w:rPr>
                <w:sz w:val="20"/>
                <w:szCs w:val="20"/>
                <w:color w:val="auto"/>
              </w:rPr>
            </w:pPr>
            <w:r>
              <w:rPr>
                <w:rFonts w:ascii="Arial" w:cs="Arial" w:eastAsia="Arial" w:hAnsi="Arial"/>
                <w:sz w:val="18"/>
                <w:szCs w:val="18"/>
                <w:color w:val="auto"/>
              </w:rPr>
              <w:t>Accrued employee compensation</w:t>
            </w:r>
          </w:p>
        </w:tc>
        <w:tc>
          <w:tcPr>
            <w:tcW w:w="1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41,158</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51,549</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9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Income taxes payable</w:t>
            </w:r>
          </w:p>
        </w:tc>
        <w:tc>
          <w:tcPr>
            <w:tcW w:w="16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3,296</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3,352</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980" w:type="dxa"/>
            <w:vAlign w:val="bottom"/>
          </w:tcPr>
          <w:p>
            <w:pPr>
              <w:ind w:left="180"/>
              <w:spacing w:after="0"/>
              <w:rPr>
                <w:sz w:val="20"/>
                <w:szCs w:val="20"/>
                <w:color w:val="auto"/>
              </w:rPr>
            </w:pPr>
            <w:r>
              <w:rPr>
                <w:rFonts w:ascii="Arial" w:cs="Arial" w:eastAsia="Arial" w:hAnsi="Arial"/>
                <w:sz w:val="18"/>
                <w:szCs w:val="18"/>
                <w:color w:val="auto"/>
              </w:rPr>
              <w:t>Deferred income</w:t>
            </w:r>
          </w:p>
        </w:tc>
        <w:tc>
          <w:tcPr>
            <w:tcW w:w="1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28,640</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29,773</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9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Current portion of capital lease obligations</w:t>
            </w:r>
          </w:p>
        </w:tc>
        <w:tc>
          <w:tcPr>
            <w:tcW w:w="160" w:type="dxa"/>
            <w:vAlign w:val="bottom"/>
            <w:tcBorders>
              <w:bottom w:val="single" w:sz="8" w:color="auto"/>
            </w:tcBorders>
            <w:shd w:val="clear" w:color="auto" w:fill="CCEEFF"/>
          </w:tcPr>
          <w:p>
            <w:pPr>
              <w:spacing w:after="0"/>
              <w:rPr>
                <w:sz w:val="18"/>
                <w:szCs w:val="18"/>
                <w:color w:val="auto"/>
              </w:rPr>
            </w:pP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17,032</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16,563</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8980" w:type="dxa"/>
            <w:vAlign w:val="bottom"/>
          </w:tcPr>
          <w:p>
            <w:pPr>
              <w:ind w:left="360"/>
              <w:spacing w:after="0"/>
              <w:rPr>
                <w:sz w:val="20"/>
                <w:szCs w:val="20"/>
                <w:color w:val="auto"/>
              </w:rPr>
            </w:pPr>
            <w:r>
              <w:rPr>
                <w:rFonts w:ascii="Arial" w:cs="Arial" w:eastAsia="Arial" w:hAnsi="Arial"/>
                <w:sz w:val="18"/>
                <w:szCs w:val="18"/>
                <w:color w:val="auto"/>
              </w:rPr>
              <w:t>Total current liabilities</w:t>
            </w:r>
          </w:p>
        </w:tc>
        <w:tc>
          <w:tcPr>
            <w:tcW w:w="1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285,346</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332,748</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980" w:type="dxa"/>
            <w:vAlign w:val="bottom"/>
            <w:shd w:val="clear" w:color="auto" w:fill="CCEEFF"/>
          </w:tcPr>
          <w:p>
            <w:pPr>
              <w:spacing w:after="0"/>
              <w:rPr>
                <w:sz w:val="20"/>
                <w:szCs w:val="20"/>
                <w:color w:val="auto"/>
              </w:rPr>
            </w:pPr>
            <w:r>
              <w:rPr>
                <w:rFonts w:ascii="Arial" w:cs="Arial" w:eastAsia="Arial" w:hAnsi="Arial"/>
                <w:sz w:val="18"/>
                <w:szCs w:val="18"/>
                <w:color w:val="auto"/>
              </w:rPr>
              <w:t>Capital lease obligations, net of current portion</w:t>
            </w:r>
          </w:p>
        </w:tc>
        <w:tc>
          <w:tcPr>
            <w:tcW w:w="16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22,561</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24,447</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980" w:type="dxa"/>
            <w:vAlign w:val="bottom"/>
          </w:tcPr>
          <w:p>
            <w:pPr>
              <w:spacing w:after="0"/>
              <w:rPr>
                <w:sz w:val="20"/>
                <w:szCs w:val="20"/>
                <w:color w:val="auto"/>
              </w:rPr>
            </w:pPr>
            <w:r>
              <w:rPr>
                <w:rFonts w:ascii="Arial" w:cs="Arial" w:eastAsia="Arial" w:hAnsi="Arial"/>
                <w:sz w:val="18"/>
                <w:szCs w:val="18"/>
                <w:color w:val="auto"/>
              </w:rPr>
              <w:t>Non-current income taxes payable</w:t>
            </w:r>
          </w:p>
        </w:tc>
        <w:tc>
          <w:tcPr>
            <w:tcW w:w="1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100,097</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85,126</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980" w:type="dxa"/>
            <w:vAlign w:val="bottom"/>
            <w:shd w:val="clear" w:color="auto" w:fill="CCEEFF"/>
          </w:tcPr>
          <w:p>
            <w:pPr>
              <w:spacing w:after="0"/>
              <w:rPr>
                <w:sz w:val="20"/>
                <w:szCs w:val="20"/>
                <w:color w:val="auto"/>
              </w:rPr>
            </w:pPr>
            <w:r>
              <w:rPr>
                <w:rFonts w:ascii="Arial" w:cs="Arial" w:eastAsia="Arial" w:hAnsi="Arial"/>
                <w:sz w:val="18"/>
                <w:szCs w:val="18"/>
                <w:color w:val="auto"/>
              </w:rPr>
              <w:t>Other long-term liabilities</w:t>
            </w:r>
          </w:p>
        </w:tc>
        <w:tc>
          <w:tcPr>
            <w:tcW w:w="160" w:type="dxa"/>
            <w:vAlign w:val="bottom"/>
            <w:tcBorders>
              <w:bottom w:val="single" w:sz="8" w:color="auto"/>
            </w:tcBorders>
            <w:shd w:val="clear" w:color="auto" w:fill="CCEEFF"/>
          </w:tcPr>
          <w:p>
            <w:pPr>
              <w:spacing w:after="0"/>
              <w:rPr>
                <w:sz w:val="18"/>
                <w:szCs w:val="18"/>
                <w:color w:val="auto"/>
              </w:rPr>
            </w:pP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26,835</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24,871</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898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Total liabilities</w:t>
            </w:r>
          </w:p>
        </w:tc>
        <w:tc>
          <w:tcPr>
            <w:tcW w:w="160" w:type="dxa"/>
            <w:vAlign w:val="bottom"/>
            <w:tcBorders>
              <w:bottom w:val="single" w:sz="8" w:color="auto"/>
            </w:tcBorders>
          </w:tcPr>
          <w:p>
            <w:pPr>
              <w:spacing w:after="0"/>
              <w:rPr>
                <w:sz w:val="18"/>
                <w:szCs w:val="18"/>
                <w:color w:val="auto"/>
              </w:rPr>
            </w:pPr>
          </w:p>
        </w:tc>
        <w:tc>
          <w:tcPr>
            <w:tcW w:w="8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434,839</w:t>
            </w:r>
          </w:p>
        </w:tc>
        <w:tc>
          <w:tcPr>
            <w:tcW w:w="18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467,192</w:t>
            </w:r>
          </w:p>
        </w:tc>
        <w:tc>
          <w:tcPr>
            <w:tcW w:w="8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196"/>
        </w:trPr>
        <w:tc>
          <w:tcPr>
            <w:tcW w:w="898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Commitments and contingencies (Notes 6 and 9)</w:t>
            </w:r>
          </w:p>
        </w:tc>
        <w:tc>
          <w:tcPr>
            <w:tcW w:w="16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8980" w:type="dxa"/>
            <w:vAlign w:val="bottom"/>
          </w:tcPr>
          <w:p>
            <w:pPr>
              <w:spacing w:after="0"/>
              <w:rPr>
                <w:sz w:val="20"/>
                <w:szCs w:val="20"/>
                <w:color w:val="auto"/>
              </w:rPr>
            </w:pPr>
            <w:r>
              <w:rPr>
                <w:rFonts w:ascii="Arial" w:cs="Arial" w:eastAsia="Arial" w:hAnsi="Arial"/>
                <w:sz w:val="18"/>
                <w:szCs w:val="18"/>
                <w:color w:val="auto"/>
              </w:rPr>
              <w:t>Shareholders’ equity:</w:t>
            </w:r>
          </w:p>
        </w:tc>
        <w:tc>
          <w:tcPr>
            <w:tcW w:w="16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980" w:type="dxa"/>
            <w:vAlign w:val="bottom"/>
            <w:shd w:val="clear" w:color="auto" w:fill="CCEEFF"/>
          </w:tcPr>
          <w:p>
            <w:pPr>
              <w:ind w:left="180"/>
              <w:spacing w:after="0"/>
              <w:rPr>
                <w:sz w:val="20"/>
                <w:szCs w:val="20"/>
                <w:color w:val="auto"/>
              </w:rPr>
            </w:pPr>
            <w:r>
              <w:rPr>
                <w:rFonts w:ascii="Arial" w:cs="Arial" w:eastAsia="Arial" w:hAnsi="Arial"/>
                <w:sz w:val="18"/>
                <w:szCs w:val="18"/>
                <w:color w:val="auto"/>
                <w:w w:val="95"/>
              </w:rPr>
              <w:t>Common stock, $0.002 par value; 492,000 shares authorized; 292,381 and 291,388 shares issued and outstanding</w:t>
            </w:r>
          </w:p>
        </w:tc>
        <w:tc>
          <w:tcPr>
            <w:tcW w:w="16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585</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583</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980" w:type="dxa"/>
            <w:vAlign w:val="bottom"/>
          </w:tcPr>
          <w:p>
            <w:pPr>
              <w:ind w:left="180"/>
              <w:spacing w:after="0"/>
              <w:rPr>
                <w:sz w:val="20"/>
                <w:szCs w:val="20"/>
                <w:color w:val="auto"/>
              </w:rPr>
            </w:pPr>
            <w:r>
              <w:rPr>
                <w:rFonts w:ascii="Arial" w:cs="Arial" w:eastAsia="Arial" w:hAnsi="Arial"/>
                <w:sz w:val="18"/>
                <w:szCs w:val="18"/>
                <w:color w:val="auto"/>
              </w:rPr>
              <w:t>Additional paid-in capital</w:t>
            </w:r>
          </w:p>
        </w:tc>
        <w:tc>
          <w:tcPr>
            <w:tcW w:w="1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3,304,563</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3,250,169</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9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Deferred stock-based compensation</w:t>
            </w:r>
          </w:p>
        </w:tc>
        <w:tc>
          <w:tcPr>
            <w:tcW w:w="16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(1,141)</w:t>
            </w:r>
          </w:p>
        </w:tc>
        <w:tc>
          <w:tcPr>
            <w:tcW w:w="0" w:type="dxa"/>
            <w:vAlign w:val="bottom"/>
          </w:tcPr>
          <w:p>
            <w:pPr>
              <w:spacing w:after="0"/>
              <w:rPr>
                <w:sz w:val="1"/>
                <w:szCs w:val="1"/>
                <w:color w:val="auto"/>
              </w:rPr>
            </w:pPr>
          </w:p>
        </w:tc>
      </w:tr>
      <w:tr>
        <w:trPr>
          <w:trHeight w:val="216"/>
        </w:trPr>
        <w:tc>
          <w:tcPr>
            <w:tcW w:w="8980" w:type="dxa"/>
            <w:vAlign w:val="bottom"/>
          </w:tcPr>
          <w:p>
            <w:pPr>
              <w:ind w:left="180"/>
              <w:spacing w:after="0"/>
              <w:rPr>
                <w:sz w:val="20"/>
                <w:szCs w:val="20"/>
                <w:color w:val="auto"/>
              </w:rPr>
            </w:pPr>
            <w:r>
              <w:rPr>
                <w:rFonts w:ascii="Arial" w:cs="Arial" w:eastAsia="Arial" w:hAnsi="Arial"/>
                <w:sz w:val="18"/>
                <w:szCs w:val="18"/>
                <w:color w:val="auto"/>
              </w:rPr>
              <w:t>Accumulated other comprehensive loss</w:t>
            </w:r>
          </w:p>
        </w:tc>
        <w:tc>
          <w:tcPr>
            <w:tcW w:w="160" w:type="dxa"/>
            <w:vAlign w:val="bottom"/>
          </w:tcPr>
          <w:p>
            <w:pPr>
              <w:spacing w:after="0"/>
              <w:rPr>
                <w:sz w:val="18"/>
                <w:szCs w:val="18"/>
                <w:color w:val="auto"/>
              </w:rPr>
            </w:pPr>
          </w:p>
        </w:tc>
        <w:tc>
          <w:tcPr>
            <w:tcW w:w="1060" w:type="dxa"/>
            <w:vAlign w:val="bottom"/>
            <w:gridSpan w:val="2"/>
          </w:tcPr>
          <w:p>
            <w:pPr>
              <w:jc w:val="right"/>
              <w:ind w:right="120"/>
              <w:spacing w:after="0"/>
              <w:rPr>
                <w:sz w:val="20"/>
                <w:szCs w:val="20"/>
                <w:color w:val="auto"/>
              </w:rPr>
            </w:pPr>
            <w:r>
              <w:rPr>
                <w:rFonts w:ascii="Arial" w:cs="Arial" w:eastAsia="Arial" w:hAnsi="Arial"/>
                <w:sz w:val="18"/>
                <w:szCs w:val="18"/>
                <w:color w:val="auto"/>
              </w:rPr>
              <w:t>(1,353)</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0" w:type="dxa"/>
            <w:vAlign w:val="bottom"/>
            <w:gridSpan w:val="2"/>
          </w:tcPr>
          <w:p>
            <w:pPr>
              <w:jc w:val="right"/>
              <w:ind w:right="20"/>
              <w:spacing w:after="0"/>
              <w:rPr>
                <w:sz w:val="20"/>
                <w:szCs w:val="20"/>
                <w:color w:val="auto"/>
              </w:rPr>
            </w:pPr>
            <w:r>
              <w:rPr>
                <w:rFonts w:ascii="Arial" w:cs="Arial" w:eastAsia="Arial" w:hAnsi="Arial"/>
                <w:sz w:val="18"/>
                <w:szCs w:val="18"/>
                <w:color w:val="auto"/>
              </w:rPr>
              <w:t>(1,759)</w:t>
            </w:r>
          </w:p>
        </w:tc>
        <w:tc>
          <w:tcPr>
            <w:tcW w:w="0" w:type="dxa"/>
            <w:vAlign w:val="bottom"/>
          </w:tcPr>
          <w:p>
            <w:pPr>
              <w:spacing w:after="0"/>
              <w:rPr>
                <w:sz w:val="1"/>
                <w:szCs w:val="1"/>
                <w:color w:val="auto"/>
              </w:rPr>
            </w:pPr>
          </w:p>
        </w:tc>
      </w:tr>
      <w:tr>
        <w:trPr>
          <w:trHeight w:val="216"/>
        </w:trPr>
        <w:tc>
          <w:tcPr>
            <w:tcW w:w="89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Accumulated deficit</w:t>
            </w:r>
          </w:p>
        </w:tc>
        <w:tc>
          <w:tcPr>
            <w:tcW w:w="16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(126,458)</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(201,755)</w:t>
            </w:r>
          </w:p>
        </w:tc>
        <w:tc>
          <w:tcPr>
            <w:tcW w:w="0" w:type="dxa"/>
            <w:vAlign w:val="bottom"/>
          </w:tcPr>
          <w:p>
            <w:pPr>
              <w:spacing w:after="0"/>
              <w:rPr>
                <w:sz w:val="1"/>
                <w:szCs w:val="1"/>
                <w:color w:val="auto"/>
              </w:rPr>
            </w:pPr>
          </w:p>
        </w:tc>
      </w:tr>
      <w:tr>
        <w:trPr>
          <w:trHeight w:val="210"/>
        </w:trPr>
        <w:tc>
          <w:tcPr>
            <w:tcW w:w="898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Total shareholders’ equity</w:t>
            </w:r>
          </w:p>
        </w:tc>
        <w:tc>
          <w:tcPr>
            <w:tcW w:w="160" w:type="dxa"/>
            <w:vAlign w:val="bottom"/>
            <w:tcBorders>
              <w:top w:val="single" w:sz="8" w:color="auto"/>
              <w:bottom w:val="single" w:sz="8" w:color="auto"/>
            </w:tcBorders>
          </w:tcPr>
          <w:p>
            <w:pPr>
              <w:spacing w:after="0"/>
              <w:rPr>
                <w:sz w:val="18"/>
                <w:szCs w:val="18"/>
                <w:color w:val="auto"/>
              </w:rPr>
            </w:pP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3,177,337</w:t>
            </w:r>
          </w:p>
        </w:tc>
        <w:tc>
          <w:tcPr>
            <w:tcW w:w="18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120" w:type="dxa"/>
            <w:vAlign w:val="bottom"/>
            <w:tcBorders>
              <w:top w:val="single" w:sz="8" w:color="auto"/>
              <w:bottom w:val="single" w:sz="8" w:color="auto"/>
            </w:tcBorders>
          </w:tcPr>
          <w:p>
            <w:pPr>
              <w:spacing w:after="0"/>
              <w:rPr>
                <w:sz w:val="18"/>
                <w:szCs w:val="18"/>
                <w:color w:val="auto"/>
              </w:rPr>
            </w:pP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3,046,097</w:t>
            </w:r>
          </w:p>
        </w:tc>
        <w:tc>
          <w:tcPr>
            <w:tcW w:w="8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898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Total liabilities and shareholders’ equity</w:t>
            </w:r>
          </w:p>
        </w:tc>
        <w:tc>
          <w:tcPr>
            <w:tcW w:w="160" w:type="dxa"/>
            <w:vAlign w:val="bottom"/>
            <w:tcBorders>
              <w:bottom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3,612,176</w:t>
            </w:r>
          </w:p>
        </w:tc>
        <w:tc>
          <w:tcPr>
            <w:tcW w:w="18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3,513,289</w:t>
            </w:r>
          </w:p>
        </w:tc>
        <w:tc>
          <w:tcPr>
            <w:tcW w:w="8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89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1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ectPr>
          <w:pgSz w:w="11900" w:h="16838" w:orient="portrait"/>
          <w:cols w:equalWidth="0" w:num="1">
            <w:col w:w="11420"/>
          </w:cols>
          <w:pgMar w:left="240" w:top="108" w:right="239" w:bottom="536" w:gutter="0" w:footer="0" w:header="0"/>
        </w:sectPr>
      </w:pPr>
    </w:p>
    <w:bookmarkStart w:id="2" w:name="page3"/>
    <w:bookmarkEnd w:id="2"/>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INCOME</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jc w:val="center"/>
        <w:ind w:left="9320"/>
        <w:spacing w:after="0"/>
        <w:rPr>
          <w:sz w:val="20"/>
          <w:szCs w:val="20"/>
          <w:color w:val="auto"/>
        </w:rPr>
      </w:pPr>
      <w:r>
        <w:rPr>
          <w:rFonts w:ascii="Arial" w:cs="Arial" w:eastAsia="Arial" w:hAnsi="Arial"/>
          <w:sz w:val="14"/>
          <w:szCs w:val="14"/>
          <w:b w:val="1"/>
          <w:bCs w:val="1"/>
          <w:color w:val="auto"/>
        </w:rPr>
        <w:t>Three Months Ended</w:t>
      </w:r>
    </w:p>
    <w:p>
      <w:pPr>
        <w:ind w:left="10120"/>
        <w:spacing w:after="0" w:line="209" w:lineRule="auto"/>
        <w:rPr>
          <w:sz w:val="20"/>
          <w:szCs w:val="20"/>
          <w:color w:val="auto"/>
        </w:rPr>
      </w:pPr>
      <w:r>
        <w:rPr>
          <w:rFonts w:ascii="Arial" w:cs="Arial" w:eastAsia="Arial" w:hAnsi="Arial"/>
          <w:sz w:val="14"/>
          <w:szCs w:val="14"/>
          <w:b w:val="1"/>
          <w:bCs w:val="1"/>
          <w:color w:val="auto"/>
        </w:rPr>
        <w:t>April 30,</w:t>
      </w:r>
    </w:p>
    <w:tbl>
      <w:tblPr>
        <w:tblLayout w:type="fixed"/>
        <w:tblInd w:w="0" w:type="dxa"/>
        <w:tblCellMar>
          <w:top w:w="0" w:type="dxa"/>
          <w:left w:w="0" w:type="dxa"/>
          <w:bottom w:w="0" w:type="dxa"/>
          <w:right w:w="0" w:type="dxa"/>
        </w:tblCellMar>
      </w:tblPr>
      <w:tr>
        <w:trPr>
          <w:trHeight w:val="136"/>
        </w:trPr>
        <w:tc>
          <w:tcPr>
            <w:tcW w:w="6300" w:type="dxa"/>
            <w:vAlign w:val="bottom"/>
            <w:tcBorders>
              <w:bottom w:val="single" w:sz="8" w:color="CCEEFF"/>
            </w:tcBorders>
          </w:tcPr>
          <w:p>
            <w:pPr>
              <w:spacing w:after="0"/>
              <w:rPr>
                <w:sz w:val="11"/>
                <w:szCs w:val="11"/>
                <w:color w:val="auto"/>
              </w:rPr>
            </w:pPr>
          </w:p>
        </w:tc>
        <w:tc>
          <w:tcPr>
            <w:tcW w:w="3080" w:type="dxa"/>
            <w:vAlign w:val="bottom"/>
            <w:tcBorders>
              <w:bottom w:val="single" w:sz="8" w:color="CCEEFF"/>
            </w:tcBorders>
          </w:tcPr>
          <w:p>
            <w:pPr>
              <w:spacing w:after="0"/>
              <w:rPr>
                <w:sz w:val="11"/>
                <w:szCs w:val="11"/>
                <w:color w:val="auto"/>
              </w:rPr>
            </w:pPr>
          </w:p>
        </w:tc>
        <w:tc>
          <w:tcPr>
            <w:tcW w:w="180" w:type="dxa"/>
            <w:vAlign w:val="bottom"/>
            <w:tcBorders>
              <w:top w:val="single" w:sz="8" w:color="auto"/>
              <w:bottom w:val="single" w:sz="8" w:color="auto"/>
            </w:tcBorders>
          </w:tcPr>
          <w:p>
            <w:pPr>
              <w:spacing w:after="0"/>
              <w:rPr>
                <w:sz w:val="11"/>
                <w:szCs w:val="11"/>
                <w:color w:val="auto"/>
              </w:rPr>
            </w:pPr>
          </w:p>
        </w:tc>
        <w:tc>
          <w:tcPr>
            <w:tcW w:w="680" w:type="dxa"/>
            <w:vAlign w:val="bottom"/>
            <w:tcBorders>
              <w:top w:val="single" w:sz="8" w:color="auto"/>
              <w:bottom w:val="single" w:sz="8" w:color="auto"/>
            </w:tcBorders>
          </w:tcPr>
          <w:p>
            <w:pPr>
              <w:jc w:val="right"/>
              <w:ind w:right="191"/>
              <w:spacing w:after="0" w:line="136" w:lineRule="exact"/>
              <w:rPr>
                <w:sz w:val="20"/>
                <w:szCs w:val="20"/>
                <w:color w:val="auto"/>
              </w:rPr>
            </w:pPr>
            <w:r>
              <w:rPr>
                <w:rFonts w:ascii="Arial" w:cs="Arial" w:eastAsia="Arial" w:hAnsi="Arial"/>
                <w:sz w:val="14"/>
                <w:szCs w:val="14"/>
                <w:b w:val="1"/>
                <w:bCs w:val="1"/>
                <w:color w:val="auto"/>
              </w:rPr>
              <w:t>2006</w:t>
            </w:r>
          </w:p>
        </w:tc>
        <w:tc>
          <w:tcPr>
            <w:tcW w:w="280" w:type="dxa"/>
            <w:vAlign w:val="bottom"/>
            <w:tcBorders>
              <w:top w:val="single" w:sz="8" w:color="auto"/>
              <w:bottom w:val="single" w:sz="8" w:color="CCEEFF"/>
            </w:tcBorders>
          </w:tcPr>
          <w:p>
            <w:pPr>
              <w:spacing w:after="0"/>
              <w:rPr>
                <w:sz w:val="11"/>
                <w:szCs w:val="11"/>
                <w:color w:val="auto"/>
              </w:rPr>
            </w:pPr>
          </w:p>
        </w:tc>
        <w:tc>
          <w:tcPr>
            <w:tcW w:w="180" w:type="dxa"/>
            <w:vAlign w:val="bottom"/>
            <w:tcBorders>
              <w:top w:val="single" w:sz="8" w:color="auto"/>
              <w:bottom w:val="single" w:sz="8" w:color="auto"/>
            </w:tcBorders>
          </w:tcPr>
          <w:p>
            <w:pPr>
              <w:spacing w:after="0"/>
              <w:rPr>
                <w:sz w:val="11"/>
                <w:szCs w:val="11"/>
                <w:color w:val="auto"/>
              </w:rPr>
            </w:pPr>
          </w:p>
        </w:tc>
        <w:tc>
          <w:tcPr>
            <w:tcW w:w="680" w:type="dxa"/>
            <w:vAlign w:val="bottom"/>
            <w:tcBorders>
              <w:top w:val="single" w:sz="8" w:color="auto"/>
              <w:bottom w:val="single" w:sz="8" w:color="auto"/>
            </w:tcBorders>
          </w:tcPr>
          <w:p>
            <w:pPr>
              <w:jc w:val="right"/>
              <w:ind w:right="211"/>
              <w:spacing w:after="0" w:line="136" w:lineRule="exact"/>
              <w:rPr>
                <w:sz w:val="20"/>
                <w:szCs w:val="20"/>
                <w:color w:val="auto"/>
              </w:rPr>
            </w:pPr>
            <w:r>
              <w:rPr>
                <w:rFonts w:ascii="Arial" w:cs="Arial" w:eastAsia="Arial" w:hAnsi="Arial"/>
                <w:sz w:val="14"/>
                <w:szCs w:val="14"/>
                <w:b w:val="1"/>
                <w:bCs w:val="1"/>
                <w:color w:val="auto"/>
              </w:rPr>
              <w:t>2005</w:t>
            </w:r>
          </w:p>
        </w:tc>
        <w:tc>
          <w:tcPr>
            <w:tcW w:w="40" w:type="dxa"/>
            <w:vAlign w:val="bottom"/>
            <w:tcBorders>
              <w:bottom w:val="single" w:sz="8" w:color="CCEEFF"/>
            </w:tcBorders>
          </w:tcPr>
          <w:p>
            <w:pPr>
              <w:spacing w:after="0"/>
              <w:rPr>
                <w:sz w:val="11"/>
                <w:szCs w:val="11"/>
                <w:color w:val="auto"/>
              </w:rPr>
            </w:pPr>
          </w:p>
        </w:tc>
      </w:tr>
      <w:tr>
        <w:trPr>
          <w:trHeight w:val="210"/>
        </w:trPr>
        <w:tc>
          <w:tcPr>
            <w:tcW w:w="630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3080" w:type="dxa"/>
            <w:vAlign w:val="bottom"/>
            <w:shd w:val="clear" w:color="auto" w:fill="CCEEFF"/>
          </w:tcPr>
          <w:p>
            <w:pPr>
              <w:spacing w:after="0"/>
              <w:rPr>
                <w:sz w:val="18"/>
                <w:szCs w:val="18"/>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521,196</w:t>
            </w: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364,770</w:t>
            </w:r>
          </w:p>
        </w:tc>
        <w:tc>
          <w:tcPr>
            <w:tcW w:w="40" w:type="dxa"/>
            <w:vAlign w:val="bottom"/>
            <w:shd w:val="clear" w:color="auto" w:fill="CCEEFF"/>
          </w:tcPr>
          <w:p>
            <w:pPr>
              <w:spacing w:after="0"/>
              <w:rPr>
                <w:sz w:val="18"/>
                <w:szCs w:val="18"/>
                <w:color w:val="auto"/>
              </w:rPr>
            </w:pPr>
          </w:p>
        </w:tc>
      </w:tr>
      <w:tr>
        <w:trPr>
          <w:trHeight w:val="216"/>
        </w:trPr>
        <w:tc>
          <w:tcPr>
            <w:tcW w:w="630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30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63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Cost of goods sold</w:t>
            </w:r>
          </w:p>
        </w:tc>
        <w:tc>
          <w:tcPr>
            <w:tcW w:w="30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240,664</w:t>
            </w: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175,251</w:t>
            </w:r>
          </w:p>
        </w:tc>
        <w:tc>
          <w:tcPr>
            <w:tcW w:w="40" w:type="dxa"/>
            <w:vAlign w:val="bottom"/>
            <w:shd w:val="clear" w:color="auto" w:fill="CCEEFF"/>
          </w:tcPr>
          <w:p>
            <w:pPr>
              <w:spacing w:after="0"/>
              <w:rPr>
                <w:sz w:val="18"/>
                <w:szCs w:val="18"/>
                <w:color w:val="auto"/>
              </w:rPr>
            </w:pPr>
          </w:p>
        </w:tc>
      </w:tr>
      <w:tr>
        <w:trPr>
          <w:trHeight w:val="216"/>
        </w:trPr>
        <w:tc>
          <w:tcPr>
            <w:tcW w:w="6300" w:type="dxa"/>
            <w:vAlign w:val="bottom"/>
          </w:tcPr>
          <w:p>
            <w:pPr>
              <w:ind w:left="180"/>
              <w:spacing w:after="0"/>
              <w:rPr>
                <w:sz w:val="20"/>
                <w:szCs w:val="20"/>
                <w:color w:val="auto"/>
              </w:rPr>
            </w:pPr>
            <w:r>
              <w:rPr>
                <w:rFonts w:ascii="Arial" w:cs="Arial" w:eastAsia="Arial" w:hAnsi="Arial"/>
                <w:sz w:val="18"/>
                <w:szCs w:val="18"/>
                <w:color w:val="auto"/>
              </w:rPr>
              <w:t>Research and development</w:t>
            </w:r>
          </w:p>
        </w:tc>
        <w:tc>
          <w:tcPr>
            <w:tcW w:w="30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124,831</w:t>
            </w: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72,409</w:t>
            </w:r>
          </w:p>
        </w:tc>
        <w:tc>
          <w:tcPr>
            <w:tcW w:w="40" w:type="dxa"/>
            <w:vAlign w:val="bottom"/>
          </w:tcPr>
          <w:p>
            <w:pPr>
              <w:spacing w:after="0"/>
              <w:rPr>
                <w:sz w:val="18"/>
                <w:szCs w:val="18"/>
                <w:color w:val="auto"/>
              </w:rPr>
            </w:pPr>
          </w:p>
        </w:tc>
      </w:tr>
      <w:tr>
        <w:trPr>
          <w:trHeight w:val="216"/>
        </w:trPr>
        <w:tc>
          <w:tcPr>
            <w:tcW w:w="63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Selling and marketing</w:t>
            </w:r>
          </w:p>
        </w:tc>
        <w:tc>
          <w:tcPr>
            <w:tcW w:w="30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38,133</w:t>
            </w: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21,203</w:t>
            </w:r>
          </w:p>
        </w:tc>
        <w:tc>
          <w:tcPr>
            <w:tcW w:w="40" w:type="dxa"/>
            <w:vAlign w:val="bottom"/>
            <w:shd w:val="clear" w:color="auto" w:fill="CCEEFF"/>
          </w:tcPr>
          <w:p>
            <w:pPr>
              <w:spacing w:after="0"/>
              <w:rPr>
                <w:sz w:val="18"/>
                <w:szCs w:val="18"/>
                <w:color w:val="auto"/>
              </w:rPr>
            </w:pPr>
          </w:p>
        </w:tc>
      </w:tr>
      <w:tr>
        <w:trPr>
          <w:trHeight w:val="216"/>
        </w:trPr>
        <w:tc>
          <w:tcPr>
            <w:tcW w:w="6300" w:type="dxa"/>
            <w:vAlign w:val="bottom"/>
          </w:tcPr>
          <w:p>
            <w:pPr>
              <w:ind w:left="180"/>
              <w:spacing w:after="0"/>
              <w:rPr>
                <w:sz w:val="20"/>
                <w:szCs w:val="20"/>
                <w:color w:val="auto"/>
              </w:rPr>
            </w:pPr>
            <w:r>
              <w:rPr>
                <w:rFonts w:ascii="Arial" w:cs="Arial" w:eastAsia="Arial" w:hAnsi="Arial"/>
                <w:sz w:val="18"/>
                <w:szCs w:val="18"/>
                <w:color w:val="auto"/>
              </w:rPr>
              <w:t>General and administrative</w:t>
            </w:r>
          </w:p>
        </w:tc>
        <w:tc>
          <w:tcPr>
            <w:tcW w:w="30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16,858</w:t>
            </w: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6,877</w:t>
            </w:r>
          </w:p>
        </w:tc>
        <w:tc>
          <w:tcPr>
            <w:tcW w:w="40" w:type="dxa"/>
            <w:vAlign w:val="bottom"/>
          </w:tcPr>
          <w:p>
            <w:pPr>
              <w:spacing w:after="0"/>
              <w:rPr>
                <w:sz w:val="18"/>
                <w:szCs w:val="18"/>
                <w:color w:val="auto"/>
              </w:rPr>
            </w:pPr>
          </w:p>
        </w:tc>
      </w:tr>
      <w:tr>
        <w:trPr>
          <w:trHeight w:val="216"/>
        </w:trPr>
        <w:tc>
          <w:tcPr>
            <w:tcW w:w="63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Amortization of acquired intangible assets</w:t>
            </w:r>
          </w:p>
        </w:tc>
        <w:tc>
          <w:tcPr>
            <w:tcW w:w="308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17,351</w:t>
            </w:r>
          </w:p>
        </w:tc>
        <w:tc>
          <w:tcPr>
            <w:tcW w:w="28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19,759</w:t>
            </w:r>
          </w:p>
        </w:tc>
        <w:tc>
          <w:tcPr>
            <w:tcW w:w="40" w:type="dxa"/>
            <w:vAlign w:val="bottom"/>
            <w:shd w:val="clear" w:color="auto" w:fill="CCEEFF"/>
          </w:tcPr>
          <w:p>
            <w:pPr>
              <w:spacing w:after="0"/>
              <w:rPr>
                <w:sz w:val="18"/>
                <w:szCs w:val="18"/>
                <w:color w:val="auto"/>
              </w:rPr>
            </w:pPr>
          </w:p>
        </w:tc>
      </w:tr>
      <w:tr>
        <w:trPr>
          <w:trHeight w:val="210"/>
        </w:trPr>
        <w:tc>
          <w:tcPr>
            <w:tcW w:w="630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Total operating costs and expenses</w:t>
            </w:r>
          </w:p>
        </w:tc>
        <w:tc>
          <w:tcPr>
            <w:tcW w:w="308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437,837</w:t>
            </w:r>
          </w:p>
        </w:tc>
        <w:tc>
          <w:tcPr>
            <w:tcW w:w="28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8"/>
              </w:rPr>
              <w:t>295,499</w:t>
            </w:r>
          </w:p>
        </w:tc>
        <w:tc>
          <w:tcPr>
            <w:tcW w:w="40" w:type="dxa"/>
            <w:vAlign w:val="bottom"/>
            <w:tcBorders>
              <w:bottom w:val="single" w:sz="8" w:color="CCEEFF"/>
            </w:tcBorders>
          </w:tcPr>
          <w:p>
            <w:pPr>
              <w:spacing w:after="0"/>
              <w:rPr>
                <w:sz w:val="18"/>
                <w:szCs w:val="18"/>
                <w:color w:val="auto"/>
              </w:rPr>
            </w:pPr>
          </w:p>
        </w:tc>
      </w:tr>
      <w:tr>
        <w:trPr>
          <w:trHeight w:val="210"/>
        </w:trPr>
        <w:tc>
          <w:tcPr>
            <w:tcW w:w="630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30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83,359</w:t>
            </w: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69,271</w:t>
            </w:r>
          </w:p>
        </w:tc>
        <w:tc>
          <w:tcPr>
            <w:tcW w:w="40" w:type="dxa"/>
            <w:vAlign w:val="bottom"/>
            <w:shd w:val="clear" w:color="auto" w:fill="CCEEFF"/>
          </w:tcPr>
          <w:p>
            <w:pPr>
              <w:spacing w:after="0"/>
              <w:rPr>
                <w:sz w:val="18"/>
                <w:szCs w:val="18"/>
                <w:color w:val="auto"/>
              </w:rPr>
            </w:pPr>
          </w:p>
        </w:tc>
      </w:tr>
      <w:tr>
        <w:trPr>
          <w:trHeight w:val="216"/>
        </w:trPr>
        <w:tc>
          <w:tcPr>
            <w:tcW w:w="630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Interest and other income, net</w:t>
            </w:r>
          </w:p>
        </w:tc>
        <w:tc>
          <w:tcPr>
            <w:tcW w:w="308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7,616</w:t>
            </w:r>
          </w:p>
        </w:tc>
        <w:tc>
          <w:tcPr>
            <w:tcW w:w="28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3,612</w:t>
            </w:r>
          </w:p>
        </w:tc>
        <w:tc>
          <w:tcPr>
            <w:tcW w:w="40" w:type="dxa"/>
            <w:vAlign w:val="bottom"/>
            <w:tcBorders>
              <w:bottom w:val="single" w:sz="8" w:color="CCEEFF"/>
            </w:tcBorders>
          </w:tcPr>
          <w:p>
            <w:pPr>
              <w:spacing w:after="0"/>
              <w:rPr>
                <w:sz w:val="18"/>
                <w:szCs w:val="18"/>
                <w:color w:val="auto"/>
              </w:rPr>
            </w:pPr>
          </w:p>
        </w:tc>
      </w:tr>
      <w:tr>
        <w:trPr>
          <w:trHeight w:val="210"/>
        </w:trPr>
        <w:tc>
          <w:tcPr>
            <w:tcW w:w="630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30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90,975</w:t>
            </w: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72,883</w:t>
            </w:r>
          </w:p>
        </w:tc>
        <w:tc>
          <w:tcPr>
            <w:tcW w:w="40" w:type="dxa"/>
            <w:vAlign w:val="bottom"/>
            <w:shd w:val="clear" w:color="auto" w:fill="CCEEFF"/>
          </w:tcPr>
          <w:p>
            <w:pPr>
              <w:spacing w:after="0"/>
              <w:rPr>
                <w:sz w:val="18"/>
                <w:szCs w:val="18"/>
                <w:color w:val="auto"/>
              </w:rPr>
            </w:pPr>
          </w:p>
        </w:tc>
      </w:tr>
      <w:tr>
        <w:trPr>
          <w:trHeight w:val="216"/>
        </w:trPr>
        <w:tc>
          <w:tcPr>
            <w:tcW w:w="630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Provision for income taxes</w:t>
            </w:r>
          </w:p>
        </w:tc>
        <w:tc>
          <w:tcPr>
            <w:tcW w:w="308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15,678</w:t>
            </w:r>
          </w:p>
        </w:tc>
        <w:tc>
          <w:tcPr>
            <w:tcW w:w="28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9,351</w:t>
            </w:r>
          </w:p>
        </w:tc>
        <w:tc>
          <w:tcPr>
            <w:tcW w:w="40" w:type="dxa"/>
            <w:vAlign w:val="bottom"/>
            <w:tcBorders>
              <w:bottom w:val="single" w:sz="8" w:color="CCEEFF"/>
            </w:tcBorders>
          </w:tcPr>
          <w:p>
            <w:pPr>
              <w:spacing w:after="0"/>
              <w:rPr>
                <w:sz w:val="18"/>
                <w:szCs w:val="18"/>
                <w:color w:val="auto"/>
              </w:rPr>
            </w:pPr>
          </w:p>
        </w:tc>
      </w:tr>
      <w:tr>
        <w:trPr>
          <w:trHeight w:val="210"/>
        </w:trPr>
        <w:tc>
          <w:tcPr>
            <w:tcW w:w="630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308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75,297</w:t>
            </w:r>
          </w:p>
        </w:tc>
        <w:tc>
          <w:tcPr>
            <w:tcW w:w="28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63,532</w:t>
            </w:r>
          </w:p>
        </w:tc>
        <w:tc>
          <w:tcPr>
            <w:tcW w:w="40" w:type="dxa"/>
            <w:vAlign w:val="bottom"/>
            <w:shd w:val="clear" w:color="auto" w:fill="CCEEFF"/>
          </w:tcPr>
          <w:p>
            <w:pPr>
              <w:spacing w:after="0"/>
              <w:rPr>
                <w:sz w:val="18"/>
                <w:szCs w:val="18"/>
                <w:color w:val="auto"/>
              </w:rPr>
            </w:pPr>
          </w:p>
        </w:tc>
      </w:tr>
      <w:tr>
        <w:trPr>
          <w:trHeight w:val="196"/>
        </w:trPr>
        <w:tc>
          <w:tcPr>
            <w:tcW w:w="6300" w:type="dxa"/>
            <w:vAlign w:val="bottom"/>
          </w:tcPr>
          <w:p>
            <w:pPr>
              <w:spacing w:after="0" w:line="196" w:lineRule="exact"/>
              <w:rPr>
                <w:sz w:val="20"/>
                <w:szCs w:val="20"/>
                <w:color w:val="auto"/>
              </w:rPr>
            </w:pPr>
            <w:r>
              <w:rPr>
                <w:rFonts w:ascii="Arial" w:cs="Arial" w:eastAsia="Arial" w:hAnsi="Arial"/>
                <w:sz w:val="18"/>
                <w:szCs w:val="18"/>
                <w:color w:val="auto"/>
              </w:rPr>
              <w:t>Net income per share:</w:t>
            </w:r>
          </w:p>
        </w:tc>
        <w:tc>
          <w:tcPr>
            <w:tcW w:w="30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40" w:type="dxa"/>
            <w:vAlign w:val="bottom"/>
          </w:tcPr>
          <w:p>
            <w:pPr>
              <w:spacing w:after="0"/>
              <w:rPr>
                <w:sz w:val="17"/>
                <w:szCs w:val="17"/>
                <w:color w:val="auto"/>
              </w:rPr>
            </w:pPr>
          </w:p>
        </w:tc>
      </w:tr>
      <w:tr>
        <w:trPr>
          <w:trHeight w:val="216"/>
        </w:trPr>
        <w:tc>
          <w:tcPr>
            <w:tcW w:w="63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Basic</w:t>
            </w:r>
          </w:p>
        </w:tc>
        <w:tc>
          <w:tcPr>
            <w:tcW w:w="3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0.26</w:t>
            </w: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0.23</w:t>
            </w:r>
          </w:p>
        </w:tc>
        <w:tc>
          <w:tcPr>
            <w:tcW w:w="40" w:type="dxa"/>
            <w:vAlign w:val="bottom"/>
            <w:shd w:val="clear" w:color="auto" w:fill="CCEEFF"/>
          </w:tcPr>
          <w:p>
            <w:pPr>
              <w:spacing w:after="0"/>
              <w:rPr>
                <w:sz w:val="18"/>
                <w:szCs w:val="18"/>
                <w:color w:val="auto"/>
              </w:rPr>
            </w:pPr>
          </w:p>
        </w:tc>
      </w:tr>
      <w:tr>
        <w:trPr>
          <w:trHeight w:val="210"/>
        </w:trPr>
        <w:tc>
          <w:tcPr>
            <w:tcW w:w="6300" w:type="dxa"/>
            <w:vAlign w:val="bottom"/>
            <w:tcBorders>
              <w:bottom w:val="single" w:sz="8" w:color="CCEEFF"/>
            </w:tcBorders>
          </w:tcPr>
          <w:p>
            <w:pPr>
              <w:ind w:left="180"/>
              <w:spacing w:after="0"/>
              <w:rPr>
                <w:sz w:val="20"/>
                <w:szCs w:val="20"/>
                <w:color w:val="auto"/>
              </w:rPr>
            </w:pPr>
            <w:r>
              <w:rPr>
                <w:rFonts w:ascii="Arial" w:cs="Arial" w:eastAsia="Arial" w:hAnsi="Arial"/>
                <w:sz w:val="18"/>
                <w:szCs w:val="18"/>
                <w:color w:val="auto"/>
              </w:rPr>
              <w:t>Diluted</w:t>
            </w:r>
          </w:p>
        </w:tc>
        <w:tc>
          <w:tcPr>
            <w:tcW w:w="3080" w:type="dxa"/>
            <w:vAlign w:val="bottom"/>
            <w:tcBorders>
              <w:bottom w:val="single" w:sz="8" w:color="CCEEFF"/>
            </w:tcBorders>
          </w:tcPr>
          <w:p>
            <w:pPr>
              <w:spacing w:after="0"/>
              <w:rPr>
                <w:sz w:val="18"/>
                <w:szCs w:val="18"/>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0.23</w:t>
            </w:r>
          </w:p>
        </w:tc>
        <w:tc>
          <w:tcPr>
            <w:tcW w:w="280" w:type="dxa"/>
            <w:vAlign w:val="bottom"/>
            <w:tcBorders>
              <w:bottom w:val="single" w:sz="8" w:color="CCEEFF"/>
            </w:tcBorders>
          </w:tcPr>
          <w:p>
            <w:pPr>
              <w:spacing w:after="0"/>
              <w:rPr>
                <w:sz w:val="18"/>
                <w:szCs w:val="18"/>
                <w:color w:val="auto"/>
              </w:rPr>
            </w:pPr>
          </w:p>
        </w:tc>
        <w:tc>
          <w:tcPr>
            <w:tcW w:w="180" w:type="dxa"/>
            <w:vAlign w:val="bottom"/>
            <w:tcBorders>
              <w:top w:val="single" w:sz="8" w:color="auto"/>
              <w:bottom w:val="single" w:sz="8" w:color="auto"/>
            </w:tcBorders>
          </w:tcPr>
          <w:p>
            <w:pPr>
              <w:jc w:val="right"/>
              <w:ind w:right="25"/>
              <w:spacing w:after="0"/>
              <w:rPr>
                <w:sz w:val="20"/>
                <w:szCs w:val="20"/>
                <w:color w:val="auto"/>
              </w:rPr>
            </w:pPr>
            <w:r>
              <w:rPr>
                <w:rFonts w:ascii="Arial" w:cs="Arial" w:eastAsia="Arial" w:hAnsi="Arial"/>
                <w:sz w:val="15"/>
                <w:szCs w:val="15"/>
                <w:color w:val="auto"/>
                <w:w w:val="71"/>
              </w:rPr>
              <w:t>$</w:t>
            </w: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0.20</w:t>
            </w:r>
          </w:p>
        </w:tc>
        <w:tc>
          <w:tcPr>
            <w:tcW w:w="40" w:type="dxa"/>
            <w:vAlign w:val="bottom"/>
            <w:tcBorders>
              <w:bottom w:val="single" w:sz="8" w:color="CCEEFF"/>
            </w:tcBorders>
          </w:tcPr>
          <w:p>
            <w:pPr>
              <w:spacing w:after="0"/>
              <w:rPr>
                <w:sz w:val="18"/>
                <w:szCs w:val="18"/>
                <w:color w:val="auto"/>
              </w:rPr>
            </w:pPr>
          </w:p>
        </w:tc>
      </w:tr>
      <w:tr>
        <w:trPr>
          <w:trHeight w:val="196"/>
        </w:trPr>
        <w:tc>
          <w:tcPr>
            <w:tcW w:w="630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Weighted average shares:</w:t>
            </w:r>
          </w:p>
        </w:tc>
        <w:tc>
          <w:tcPr>
            <w:tcW w:w="30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r>
      <w:tr>
        <w:trPr>
          <w:trHeight w:val="216"/>
        </w:trPr>
        <w:tc>
          <w:tcPr>
            <w:tcW w:w="6300" w:type="dxa"/>
            <w:vAlign w:val="bottom"/>
            <w:tcBorders>
              <w:bottom w:val="single" w:sz="8" w:color="CCEEFF"/>
            </w:tcBorders>
          </w:tcPr>
          <w:p>
            <w:pPr>
              <w:ind w:left="180"/>
              <w:spacing w:after="0"/>
              <w:rPr>
                <w:sz w:val="20"/>
                <w:szCs w:val="20"/>
                <w:color w:val="auto"/>
              </w:rPr>
            </w:pPr>
            <w:r>
              <w:rPr>
                <w:rFonts w:ascii="Arial" w:cs="Arial" w:eastAsia="Arial" w:hAnsi="Arial"/>
                <w:sz w:val="18"/>
                <w:szCs w:val="18"/>
                <w:color w:val="auto"/>
              </w:rPr>
              <w:t>Basic</w:t>
            </w:r>
          </w:p>
        </w:tc>
        <w:tc>
          <w:tcPr>
            <w:tcW w:w="308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291,851</w:t>
            </w:r>
          </w:p>
        </w:tc>
        <w:tc>
          <w:tcPr>
            <w:tcW w:w="28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8"/>
              </w:rPr>
              <w:t>278,793</w:t>
            </w:r>
          </w:p>
        </w:tc>
        <w:tc>
          <w:tcPr>
            <w:tcW w:w="40" w:type="dxa"/>
            <w:vAlign w:val="bottom"/>
            <w:tcBorders>
              <w:bottom w:val="single" w:sz="8" w:color="CCEEFF"/>
            </w:tcBorders>
          </w:tcPr>
          <w:p>
            <w:pPr>
              <w:spacing w:after="0"/>
              <w:rPr>
                <w:sz w:val="18"/>
                <w:szCs w:val="18"/>
                <w:color w:val="auto"/>
              </w:rPr>
            </w:pPr>
          </w:p>
        </w:tc>
      </w:tr>
      <w:tr>
        <w:trPr>
          <w:trHeight w:val="210"/>
        </w:trPr>
        <w:tc>
          <w:tcPr>
            <w:tcW w:w="63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Diluted</w:t>
            </w:r>
          </w:p>
        </w:tc>
        <w:tc>
          <w:tcPr>
            <w:tcW w:w="308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320,415</w:t>
            </w:r>
          </w:p>
        </w:tc>
        <w:tc>
          <w:tcPr>
            <w:tcW w:w="28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310,736</w:t>
            </w:r>
          </w:p>
        </w:tc>
        <w:tc>
          <w:tcPr>
            <w:tcW w:w="40" w:type="dxa"/>
            <w:vAlign w:val="bottom"/>
            <w:shd w:val="clear" w:color="auto" w:fill="CCEEFF"/>
          </w:tcPr>
          <w:p>
            <w:pPr>
              <w:spacing w:after="0"/>
              <w:rPr>
                <w:sz w:val="18"/>
                <w:szCs w:val="18"/>
                <w:color w:val="auto"/>
              </w:rPr>
            </w:pPr>
          </w:p>
        </w:tc>
      </w:tr>
    </w:tbl>
    <w:p>
      <w:pPr>
        <w:spacing w:after="0" w:line="200" w:lineRule="exact"/>
        <w:rPr>
          <w:sz w:val="20"/>
          <w:szCs w:val="20"/>
          <w:color w:val="auto"/>
        </w:rPr>
      </w:pPr>
    </w:p>
    <w:p>
      <w:pPr>
        <w:spacing w:after="0" w:line="21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00" w:lineRule="exact"/>
        <w:rPr>
          <w:sz w:val="20"/>
          <w:szCs w:val="20"/>
          <w:color w:val="auto"/>
        </w:rPr>
      </w:pPr>
    </w:p>
    <w:p>
      <w:pPr>
        <w:spacing w:after="0" w:line="24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CASH FLOWS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jc w:val="center"/>
        <w:ind w:left="9220"/>
        <w:spacing w:after="0"/>
        <w:rPr>
          <w:sz w:val="20"/>
          <w:szCs w:val="20"/>
          <w:color w:val="auto"/>
        </w:rPr>
      </w:pPr>
      <w:r>
        <w:rPr>
          <w:rFonts w:ascii="Arial" w:cs="Arial" w:eastAsia="Arial" w:hAnsi="Arial"/>
          <w:sz w:val="14"/>
          <w:szCs w:val="14"/>
          <w:b w:val="1"/>
          <w:bCs w:val="1"/>
          <w:color w:val="auto"/>
        </w:rPr>
        <w:t>Three Months Ended</w:t>
      </w:r>
    </w:p>
    <w:p>
      <w:pPr>
        <w:ind w:left="10060"/>
        <w:spacing w:after="0" w:line="209" w:lineRule="auto"/>
        <w:rPr>
          <w:sz w:val="20"/>
          <w:szCs w:val="20"/>
          <w:color w:val="auto"/>
        </w:rPr>
      </w:pPr>
      <w:r>
        <w:rPr>
          <w:rFonts w:ascii="Arial" w:cs="Arial" w:eastAsia="Arial" w:hAnsi="Arial"/>
          <w:sz w:val="14"/>
          <w:szCs w:val="14"/>
          <w:b w:val="1"/>
          <w:bCs w:val="1"/>
          <w:color w:val="auto"/>
        </w:rPr>
        <w:t>April 30,</w:t>
      </w:r>
    </w:p>
    <w:tbl>
      <w:tblPr>
        <w:tblLayout w:type="fixed"/>
        <w:tblInd w:w="0" w:type="dxa"/>
        <w:tblCellMar>
          <w:top w:w="0" w:type="dxa"/>
          <w:left w:w="0" w:type="dxa"/>
          <w:bottom w:w="0" w:type="dxa"/>
          <w:right w:w="0" w:type="dxa"/>
        </w:tblCellMar>
      </w:tblPr>
      <w:tr>
        <w:trPr>
          <w:trHeight w:val="136"/>
        </w:trPr>
        <w:tc>
          <w:tcPr>
            <w:tcW w:w="7580" w:type="dxa"/>
            <w:vAlign w:val="bottom"/>
            <w:tcBorders>
              <w:bottom w:val="single" w:sz="8" w:color="CCEEFF"/>
            </w:tcBorders>
          </w:tcPr>
          <w:p>
            <w:pPr>
              <w:spacing w:after="0"/>
              <w:rPr>
                <w:sz w:val="11"/>
                <w:szCs w:val="11"/>
                <w:color w:val="auto"/>
              </w:rPr>
            </w:pPr>
          </w:p>
        </w:tc>
        <w:tc>
          <w:tcPr>
            <w:tcW w:w="1740" w:type="dxa"/>
            <w:vAlign w:val="bottom"/>
            <w:tcBorders>
              <w:bottom w:val="single" w:sz="8" w:color="CCEEFF"/>
            </w:tcBorders>
          </w:tcPr>
          <w:p>
            <w:pPr>
              <w:spacing w:after="0"/>
              <w:rPr>
                <w:sz w:val="11"/>
                <w:szCs w:val="11"/>
                <w:color w:val="auto"/>
              </w:rPr>
            </w:pPr>
          </w:p>
        </w:tc>
        <w:tc>
          <w:tcPr>
            <w:tcW w:w="200" w:type="dxa"/>
            <w:vAlign w:val="bottom"/>
            <w:tcBorders>
              <w:top w:val="single" w:sz="8" w:color="auto"/>
              <w:bottom w:val="single" w:sz="8" w:color="auto"/>
            </w:tcBorders>
          </w:tcPr>
          <w:p>
            <w:pPr>
              <w:spacing w:after="0"/>
              <w:rPr>
                <w:sz w:val="11"/>
                <w:szCs w:val="11"/>
                <w:color w:val="auto"/>
              </w:rPr>
            </w:pPr>
          </w:p>
        </w:tc>
        <w:tc>
          <w:tcPr>
            <w:tcW w:w="680" w:type="dxa"/>
            <w:vAlign w:val="bottom"/>
            <w:tcBorders>
              <w:top w:val="single" w:sz="8" w:color="auto"/>
              <w:bottom w:val="single" w:sz="8" w:color="auto"/>
            </w:tcBorders>
          </w:tcPr>
          <w:p>
            <w:pPr>
              <w:jc w:val="right"/>
              <w:ind w:right="211"/>
              <w:spacing w:after="0" w:line="136" w:lineRule="exact"/>
              <w:rPr>
                <w:sz w:val="20"/>
                <w:szCs w:val="20"/>
                <w:color w:val="auto"/>
              </w:rPr>
            </w:pPr>
            <w:r>
              <w:rPr>
                <w:rFonts w:ascii="Arial" w:cs="Arial" w:eastAsia="Arial" w:hAnsi="Arial"/>
                <w:sz w:val="14"/>
                <w:szCs w:val="14"/>
                <w:b w:val="1"/>
                <w:bCs w:val="1"/>
                <w:color w:val="auto"/>
              </w:rPr>
              <w:t>2006</w:t>
            </w:r>
          </w:p>
        </w:tc>
        <w:tc>
          <w:tcPr>
            <w:tcW w:w="160" w:type="dxa"/>
            <w:vAlign w:val="bottom"/>
            <w:tcBorders>
              <w:top w:val="single" w:sz="8" w:color="auto"/>
              <w:bottom w:val="single" w:sz="8" w:color="CCEEFF"/>
            </w:tcBorders>
          </w:tcPr>
          <w:p>
            <w:pPr>
              <w:spacing w:after="0"/>
              <w:rPr>
                <w:sz w:val="11"/>
                <w:szCs w:val="11"/>
                <w:color w:val="auto"/>
              </w:rPr>
            </w:pPr>
          </w:p>
        </w:tc>
        <w:tc>
          <w:tcPr>
            <w:tcW w:w="100" w:type="dxa"/>
            <w:vAlign w:val="bottom"/>
            <w:tcBorders>
              <w:top w:val="single" w:sz="8" w:color="auto"/>
              <w:bottom w:val="single" w:sz="8" w:color="CCEEFF"/>
            </w:tcBorders>
          </w:tcPr>
          <w:p>
            <w:pPr>
              <w:spacing w:after="0"/>
              <w:rPr>
                <w:sz w:val="11"/>
                <w:szCs w:val="11"/>
                <w:color w:val="auto"/>
              </w:rPr>
            </w:pPr>
          </w:p>
        </w:tc>
        <w:tc>
          <w:tcPr>
            <w:tcW w:w="180" w:type="dxa"/>
            <w:vAlign w:val="bottom"/>
            <w:tcBorders>
              <w:top w:val="single" w:sz="8" w:color="auto"/>
              <w:bottom w:val="single" w:sz="8" w:color="auto"/>
            </w:tcBorders>
          </w:tcPr>
          <w:p>
            <w:pPr>
              <w:spacing w:after="0"/>
              <w:rPr>
                <w:sz w:val="11"/>
                <w:szCs w:val="11"/>
                <w:color w:val="auto"/>
              </w:rPr>
            </w:pPr>
          </w:p>
        </w:tc>
        <w:tc>
          <w:tcPr>
            <w:tcW w:w="680" w:type="dxa"/>
            <w:vAlign w:val="bottom"/>
            <w:tcBorders>
              <w:top w:val="single" w:sz="8" w:color="auto"/>
              <w:bottom w:val="single" w:sz="8" w:color="auto"/>
            </w:tcBorders>
          </w:tcPr>
          <w:p>
            <w:pPr>
              <w:jc w:val="right"/>
              <w:ind w:right="191"/>
              <w:spacing w:after="0" w:line="136" w:lineRule="exact"/>
              <w:rPr>
                <w:sz w:val="20"/>
                <w:szCs w:val="20"/>
                <w:color w:val="auto"/>
              </w:rPr>
            </w:pPr>
            <w:r>
              <w:rPr>
                <w:rFonts w:ascii="Arial" w:cs="Arial" w:eastAsia="Arial" w:hAnsi="Arial"/>
                <w:sz w:val="14"/>
                <w:szCs w:val="14"/>
                <w:b w:val="1"/>
                <w:bCs w:val="1"/>
                <w:color w:val="auto"/>
              </w:rPr>
              <w:t>2005</w:t>
            </w:r>
          </w:p>
        </w:tc>
        <w:tc>
          <w:tcPr>
            <w:tcW w:w="100" w:type="dxa"/>
            <w:vAlign w:val="bottom"/>
            <w:tcBorders>
              <w:bottom w:val="single" w:sz="8" w:color="CCEEFF"/>
            </w:tcBorders>
          </w:tcPr>
          <w:p>
            <w:pPr>
              <w:spacing w:after="0"/>
              <w:rPr>
                <w:sz w:val="11"/>
                <w:szCs w:val="11"/>
                <w:color w:val="auto"/>
              </w:rPr>
            </w:pPr>
          </w:p>
        </w:tc>
      </w:tr>
      <w:tr>
        <w:trPr>
          <w:trHeight w:val="196"/>
        </w:trPr>
        <w:tc>
          <w:tcPr>
            <w:tcW w:w="758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operating activities:</w:t>
            </w:r>
          </w:p>
        </w:tc>
        <w:tc>
          <w:tcPr>
            <w:tcW w:w="17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7580" w:type="dxa"/>
            <w:vAlign w:val="bottom"/>
          </w:tcPr>
          <w:p>
            <w:pPr>
              <w:spacing w:after="0"/>
              <w:rPr>
                <w:sz w:val="20"/>
                <w:szCs w:val="20"/>
                <w:color w:val="auto"/>
              </w:rPr>
            </w:pPr>
            <w:r>
              <w:rPr>
                <w:rFonts w:ascii="Arial" w:cs="Arial" w:eastAsia="Arial" w:hAnsi="Arial"/>
                <w:sz w:val="18"/>
                <w:szCs w:val="18"/>
                <w:color w:val="auto"/>
              </w:rPr>
              <w:t>Net income</w:t>
            </w:r>
          </w:p>
        </w:tc>
        <w:tc>
          <w:tcPr>
            <w:tcW w:w="19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75,297</w:t>
            </w:r>
          </w:p>
        </w:tc>
        <w:tc>
          <w:tcPr>
            <w:tcW w:w="160" w:type="dxa"/>
            <w:vAlign w:val="bottom"/>
          </w:tcPr>
          <w:p>
            <w:pPr>
              <w:spacing w:after="0"/>
              <w:rPr>
                <w:sz w:val="18"/>
                <w:szCs w:val="18"/>
                <w:color w:val="auto"/>
              </w:rPr>
            </w:pPr>
          </w:p>
        </w:tc>
        <w:tc>
          <w:tcPr>
            <w:tcW w:w="28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63,532</w:t>
            </w:r>
          </w:p>
        </w:tc>
        <w:tc>
          <w:tcPr>
            <w:tcW w:w="100" w:type="dxa"/>
            <w:vAlign w:val="bottom"/>
          </w:tcPr>
          <w:p>
            <w:pPr>
              <w:spacing w:after="0"/>
              <w:rPr>
                <w:sz w:val="18"/>
                <w:szCs w:val="18"/>
                <w:color w:val="auto"/>
              </w:rPr>
            </w:pPr>
          </w:p>
        </w:tc>
      </w:tr>
      <w:tr>
        <w:trPr>
          <w:trHeight w:val="216"/>
        </w:trPr>
        <w:tc>
          <w:tcPr>
            <w:tcW w:w="758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17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7580" w:type="dxa"/>
            <w:vAlign w:val="bottom"/>
          </w:tcPr>
          <w:p>
            <w:pPr>
              <w:ind w:left="180"/>
              <w:spacing w:after="0"/>
              <w:rPr>
                <w:sz w:val="20"/>
                <w:szCs w:val="20"/>
                <w:color w:val="auto"/>
              </w:rPr>
            </w:pPr>
            <w:r>
              <w:rPr>
                <w:rFonts w:ascii="Arial" w:cs="Arial" w:eastAsia="Arial" w:hAnsi="Arial"/>
                <w:sz w:val="18"/>
                <w:szCs w:val="18"/>
                <w:color w:val="auto"/>
              </w:rPr>
              <w:t>Depreciation and amortization</w:t>
            </w:r>
          </w:p>
        </w:tc>
        <w:tc>
          <w:tcPr>
            <w:tcW w:w="17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15,615</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13,431</w:t>
            </w:r>
          </w:p>
        </w:tc>
        <w:tc>
          <w:tcPr>
            <w:tcW w:w="100" w:type="dxa"/>
            <w:vAlign w:val="bottom"/>
          </w:tcPr>
          <w:p>
            <w:pPr>
              <w:spacing w:after="0"/>
              <w:rPr>
                <w:sz w:val="18"/>
                <w:szCs w:val="18"/>
                <w:color w:val="auto"/>
              </w:rPr>
            </w:pPr>
          </w:p>
        </w:tc>
      </w:tr>
      <w:tr>
        <w:trPr>
          <w:trHeight w:val="216"/>
        </w:trPr>
        <w:tc>
          <w:tcPr>
            <w:tcW w:w="7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Stock-based compensation</w:t>
            </w:r>
          </w:p>
        </w:tc>
        <w:tc>
          <w:tcPr>
            <w:tcW w:w="17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44,536</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871</w:t>
            </w:r>
          </w:p>
        </w:tc>
        <w:tc>
          <w:tcPr>
            <w:tcW w:w="100" w:type="dxa"/>
            <w:vAlign w:val="bottom"/>
            <w:shd w:val="clear" w:color="auto" w:fill="CCEEFF"/>
          </w:tcPr>
          <w:p>
            <w:pPr>
              <w:spacing w:after="0"/>
              <w:rPr>
                <w:sz w:val="18"/>
                <w:szCs w:val="18"/>
                <w:color w:val="auto"/>
              </w:rPr>
            </w:pPr>
          </w:p>
        </w:tc>
      </w:tr>
      <w:tr>
        <w:trPr>
          <w:trHeight w:val="216"/>
        </w:trPr>
        <w:tc>
          <w:tcPr>
            <w:tcW w:w="7580" w:type="dxa"/>
            <w:vAlign w:val="bottom"/>
          </w:tcPr>
          <w:p>
            <w:pPr>
              <w:ind w:left="180"/>
              <w:spacing w:after="0"/>
              <w:rPr>
                <w:sz w:val="20"/>
                <w:szCs w:val="20"/>
                <w:color w:val="auto"/>
              </w:rPr>
            </w:pPr>
            <w:r>
              <w:rPr>
                <w:rFonts w:ascii="Arial" w:cs="Arial" w:eastAsia="Arial" w:hAnsi="Arial"/>
                <w:sz w:val="18"/>
                <w:szCs w:val="18"/>
                <w:color w:val="auto"/>
              </w:rPr>
              <w:t>Amortization of acquired intangible assets</w:t>
            </w:r>
          </w:p>
        </w:tc>
        <w:tc>
          <w:tcPr>
            <w:tcW w:w="17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17,351</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19,759</w:t>
            </w:r>
          </w:p>
        </w:tc>
        <w:tc>
          <w:tcPr>
            <w:tcW w:w="100" w:type="dxa"/>
            <w:vAlign w:val="bottom"/>
          </w:tcPr>
          <w:p>
            <w:pPr>
              <w:spacing w:after="0"/>
              <w:rPr>
                <w:sz w:val="18"/>
                <w:szCs w:val="18"/>
                <w:color w:val="auto"/>
              </w:rPr>
            </w:pPr>
          </w:p>
        </w:tc>
      </w:tr>
      <w:tr>
        <w:trPr>
          <w:trHeight w:val="216"/>
        </w:trPr>
        <w:tc>
          <w:tcPr>
            <w:tcW w:w="7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Excess tax benefits from stock-based compensation</w:t>
            </w:r>
          </w:p>
        </w:tc>
        <w:tc>
          <w:tcPr>
            <w:tcW w:w="17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(697)</w:t>
            </w: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r>
      <w:tr>
        <w:trPr>
          <w:trHeight w:val="216"/>
        </w:trPr>
        <w:tc>
          <w:tcPr>
            <w:tcW w:w="7580" w:type="dxa"/>
            <w:vAlign w:val="bottom"/>
          </w:tcPr>
          <w:p>
            <w:pPr>
              <w:ind w:left="180"/>
              <w:spacing w:after="0"/>
              <w:rPr>
                <w:sz w:val="20"/>
                <w:szCs w:val="20"/>
                <w:color w:val="auto"/>
              </w:rPr>
            </w:pPr>
            <w:r>
              <w:rPr>
                <w:rFonts w:ascii="Arial" w:cs="Arial" w:eastAsia="Arial" w:hAnsi="Arial"/>
                <w:sz w:val="18"/>
                <w:szCs w:val="18"/>
                <w:color w:val="auto"/>
              </w:rPr>
              <w:t>Changes in assets and liabilities, net of acquisition:</w:t>
            </w:r>
          </w:p>
        </w:tc>
        <w:tc>
          <w:tcPr>
            <w:tcW w:w="17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75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Accounts receivable</w:t>
            </w:r>
          </w:p>
        </w:tc>
        <w:tc>
          <w:tcPr>
            <w:tcW w:w="17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(48,372)</w:t>
            </w: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(4,189)</w:t>
            </w:r>
          </w:p>
        </w:tc>
      </w:tr>
      <w:tr>
        <w:trPr>
          <w:trHeight w:val="216"/>
        </w:trPr>
        <w:tc>
          <w:tcPr>
            <w:tcW w:w="7580" w:type="dxa"/>
            <w:vAlign w:val="bottom"/>
          </w:tcPr>
          <w:p>
            <w:pPr>
              <w:ind w:left="360"/>
              <w:spacing w:after="0"/>
              <w:rPr>
                <w:sz w:val="20"/>
                <w:szCs w:val="20"/>
                <w:color w:val="auto"/>
              </w:rPr>
            </w:pPr>
            <w:r>
              <w:rPr>
                <w:rFonts w:ascii="Arial" w:cs="Arial" w:eastAsia="Arial" w:hAnsi="Arial"/>
                <w:sz w:val="18"/>
                <w:szCs w:val="18"/>
                <w:color w:val="auto"/>
              </w:rPr>
              <w:t>Inventories</w:t>
            </w:r>
          </w:p>
        </w:tc>
        <w:tc>
          <w:tcPr>
            <w:tcW w:w="17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8,729</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15,664</w:t>
            </w:r>
          </w:p>
        </w:tc>
        <w:tc>
          <w:tcPr>
            <w:tcW w:w="100" w:type="dxa"/>
            <w:vAlign w:val="bottom"/>
          </w:tcPr>
          <w:p>
            <w:pPr>
              <w:spacing w:after="0"/>
              <w:rPr>
                <w:sz w:val="18"/>
                <w:szCs w:val="18"/>
                <w:color w:val="auto"/>
              </w:rPr>
            </w:pPr>
          </w:p>
        </w:tc>
      </w:tr>
      <w:tr>
        <w:trPr>
          <w:trHeight w:val="216"/>
        </w:trPr>
        <w:tc>
          <w:tcPr>
            <w:tcW w:w="75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Prepaid expenses and other assets</w:t>
            </w:r>
          </w:p>
        </w:tc>
        <w:tc>
          <w:tcPr>
            <w:tcW w:w="17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(25,799)</w:t>
            </w: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(43,800)</w:t>
            </w:r>
          </w:p>
        </w:tc>
      </w:tr>
      <w:tr>
        <w:trPr>
          <w:trHeight w:val="216"/>
        </w:trPr>
        <w:tc>
          <w:tcPr>
            <w:tcW w:w="7580" w:type="dxa"/>
            <w:vAlign w:val="bottom"/>
          </w:tcPr>
          <w:p>
            <w:pPr>
              <w:ind w:left="360"/>
              <w:spacing w:after="0"/>
              <w:rPr>
                <w:sz w:val="20"/>
                <w:szCs w:val="20"/>
                <w:color w:val="auto"/>
              </w:rPr>
            </w:pPr>
            <w:r>
              <w:rPr>
                <w:rFonts w:ascii="Arial" w:cs="Arial" w:eastAsia="Arial" w:hAnsi="Arial"/>
                <w:sz w:val="18"/>
                <w:szCs w:val="18"/>
                <w:color w:val="auto"/>
              </w:rPr>
              <w:t>Accounts payable</w:t>
            </w:r>
          </w:p>
        </w:tc>
        <w:tc>
          <w:tcPr>
            <w:tcW w:w="17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(45,868)</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80" w:type="dxa"/>
            <w:vAlign w:val="bottom"/>
            <w:gridSpan w:val="2"/>
          </w:tcPr>
          <w:p>
            <w:pPr>
              <w:jc w:val="right"/>
              <w:ind w:right="40"/>
              <w:spacing w:after="0"/>
              <w:rPr>
                <w:sz w:val="20"/>
                <w:szCs w:val="20"/>
                <w:color w:val="auto"/>
              </w:rPr>
            </w:pPr>
            <w:r>
              <w:rPr>
                <w:rFonts w:ascii="Arial" w:cs="Arial" w:eastAsia="Arial" w:hAnsi="Arial"/>
                <w:sz w:val="18"/>
                <w:szCs w:val="18"/>
                <w:color w:val="auto"/>
              </w:rPr>
              <w:t>(7,428)</w:t>
            </w:r>
          </w:p>
        </w:tc>
      </w:tr>
      <w:tr>
        <w:trPr>
          <w:trHeight w:val="216"/>
        </w:trPr>
        <w:tc>
          <w:tcPr>
            <w:tcW w:w="75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Accrued liabilities and other</w:t>
            </w:r>
          </w:p>
        </w:tc>
        <w:tc>
          <w:tcPr>
            <w:tcW w:w="17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2,500</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763</w:t>
            </w:r>
          </w:p>
        </w:tc>
        <w:tc>
          <w:tcPr>
            <w:tcW w:w="100" w:type="dxa"/>
            <w:vAlign w:val="bottom"/>
            <w:shd w:val="clear" w:color="auto" w:fill="CCEEFF"/>
          </w:tcPr>
          <w:p>
            <w:pPr>
              <w:spacing w:after="0"/>
              <w:rPr>
                <w:sz w:val="18"/>
                <w:szCs w:val="18"/>
                <w:color w:val="auto"/>
              </w:rPr>
            </w:pPr>
          </w:p>
        </w:tc>
      </w:tr>
      <w:tr>
        <w:trPr>
          <w:trHeight w:val="216"/>
        </w:trPr>
        <w:tc>
          <w:tcPr>
            <w:tcW w:w="7580" w:type="dxa"/>
            <w:vAlign w:val="bottom"/>
          </w:tcPr>
          <w:p>
            <w:pPr>
              <w:ind w:left="360"/>
              <w:spacing w:after="0"/>
              <w:rPr>
                <w:sz w:val="20"/>
                <w:szCs w:val="20"/>
                <w:color w:val="auto"/>
              </w:rPr>
            </w:pPr>
            <w:r>
              <w:rPr>
                <w:rFonts w:ascii="Arial" w:cs="Arial" w:eastAsia="Arial" w:hAnsi="Arial"/>
                <w:sz w:val="18"/>
                <w:szCs w:val="18"/>
                <w:color w:val="auto"/>
              </w:rPr>
              <w:t>Accrued employee compensation</w:t>
            </w:r>
          </w:p>
        </w:tc>
        <w:tc>
          <w:tcPr>
            <w:tcW w:w="17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(10,391)</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80" w:type="dxa"/>
            <w:vAlign w:val="bottom"/>
            <w:gridSpan w:val="2"/>
          </w:tcPr>
          <w:p>
            <w:pPr>
              <w:jc w:val="right"/>
              <w:ind w:right="40"/>
              <w:spacing w:after="0"/>
              <w:rPr>
                <w:sz w:val="20"/>
                <w:szCs w:val="20"/>
                <w:color w:val="auto"/>
              </w:rPr>
            </w:pPr>
            <w:r>
              <w:rPr>
                <w:rFonts w:ascii="Arial" w:cs="Arial" w:eastAsia="Arial" w:hAnsi="Arial"/>
                <w:sz w:val="18"/>
                <w:szCs w:val="18"/>
                <w:color w:val="auto"/>
              </w:rPr>
              <w:t>(360)</w:t>
            </w:r>
          </w:p>
        </w:tc>
      </w:tr>
      <w:tr>
        <w:trPr>
          <w:trHeight w:val="216"/>
        </w:trPr>
        <w:tc>
          <w:tcPr>
            <w:tcW w:w="75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Income taxes payable</w:t>
            </w:r>
          </w:p>
        </w:tc>
        <w:tc>
          <w:tcPr>
            <w:tcW w:w="17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14,915</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8,086</w:t>
            </w:r>
          </w:p>
        </w:tc>
        <w:tc>
          <w:tcPr>
            <w:tcW w:w="100" w:type="dxa"/>
            <w:vAlign w:val="bottom"/>
            <w:shd w:val="clear" w:color="auto" w:fill="CCEEFF"/>
          </w:tcPr>
          <w:p>
            <w:pPr>
              <w:spacing w:after="0"/>
              <w:rPr>
                <w:sz w:val="18"/>
                <w:szCs w:val="18"/>
                <w:color w:val="auto"/>
              </w:rPr>
            </w:pPr>
          </w:p>
        </w:tc>
      </w:tr>
      <w:tr>
        <w:trPr>
          <w:trHeight w:val="216"/>
        </w:trPr>
        <w:tc>
          <w:tcPr>
            <w:tcW w:w="7580" w:type="dxa"/>
            <w:vAlign w:val="bottom"/>
          </w:tcPr>
          <w:p>
            <w:pPr>
              <w:ind w:left="360"/>
              <w:spacing w:after="0"/>
              <w:rPr>
                <w:sz w:val="20"/>
                <w:szCs w:val="20"/>
                <w:color w:val="auto"/>
              </w:rPr>
            </w:pPr>
            <w:r>
              <w:rPr>
                <w:rFonts w:ascii="Arial" w:cs="Arial" w:eastAsia="Arial" w:hAnsi="Arial"/>
                <w:sz w:val="18"/>
                <w:szCs w:val="18"/>
                <w:color w:val="auto"/>
              </w:rPr>
              <w:t>Deferred income</w:t>
            </w:r>
          </w:p>
        </w:tc>
        <w:tc>
          <w:tcPr>
            <w:tcW w:w="17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(1,133)</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2,575</w:t>
            </w:r>
          </w:p>
        </w:tc>
        <w:tc>
          <w:tcPr>
            <w:tcW w:w="100" w:type="dxa"/>
            <w:vAlign w:val="bottom"/>
          </w:tcPr>
          <w:p>
            <w:pPr>
              <w:spacing w:after="0"/>
              <w:rPr>
                <w:sz w:val="18"/>
                <w:szCs w:val="18"/>
                <w:color w:val="auto"/>
              </w:rPr>
            </w:pPr>
          </w:p>
        </w:tc>
      </w:tr>
      <w:tr>
        <w:trPr>
          <w:trHeight w:val="210"/>
        </w:trPr>
        <w:tc>
          <w:tcPr>
            <w:tcW w:w="7580" w:type="dxa"/>
            <w:vAlign w:val="bottom"/>
            <w:tcBorders>
              <w:top w:val="single" w:sz="8" w:color="CCEEFF"/>
            </w:tcBorders>
            <w:shd w:val="clear" w:color="auto" w:fill="CCEEFF"/>
          </w:tcPr>
          <w:p>
            <w:pPr>
              <w:ind w:left="540"/>
              <w:spacing w:after="0"/>
              <w:rPr>
                <w:sz w:val="20"/>
                <w:szCs w:val="20"/>
                <w:color w:val="auto"/>
              </w:rPr>
            </w:pPr>
            <w:r>
              <w:rPr>
                <w:rFonts w:ascii="Arial" w:cs="Arial" w:eastAsia="Arial" w:hAnsi="Arial"/>
                <w:sz w:val="18"/>
                <w:szCs w:val="18"/>
                <w:color w:val="auto"/>
              </w:rPr>
              <w:t>Net cash provided by operating activities</w:t>
            </w:r>
          </w:p>
        </w:tc>
        <w:tc>
          <w:tcPr>
            <w:tcW w:w="17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6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46,683</w:t>
            </w:r>
          </w:p>
        </w:tc>
        <w:tc>
          <w:tcPr>
            <w:tcW w:w="1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spacing w:after="0"/>
              <w:rPr>
                <w:sz w:val="18"/>
                <w:szCs w:val="18"/>
                <w:color w:val="auto"/>
              </w:rPr>
            </w:pPr>
          </w:p>
        </w:tc>
        <w:tc>
          <w:tcPr>
            <w:tcW w:w="6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68,904</w:t>
            </w:r>
          </w:p>
        </w:tc>
        <w:tc>
          <w:tcPr>
            <w:tcW w:w="100" w:type="dxa"/>
            <w:vAlign w:val="bottom"/>
            <w:tcBorders>
              <w:top w:val="single" w:sz="8" w:color="CCEEFF"/>
            </w:tcBorders>
            <w:shd w:val="clear" w:color="auto" w:fill="CCEEFF"/>
          </w:tcPr>
          <w:p>
            <w:pPr>
              <w:spacing w:after="0"/>
              <w:rPr>
                <w:sz w:val="18"/>
                <w:szCs w:val="18"/>
                <w:color w:val="auto"/>
              </w:rPr>
            </w:pPr>
          </w:p>
        </w:tc>
      </w:tr>
      <w:tr>
        <w:trPr>
          <w:trHeight w:val="196"/>
        </w:trPr>
        <w:tc>
          <w:tcPr>
            <w:tcW w:w="7580" w:type="dxa"/>
            <w:vAlign w:val="bottom"/>
          </w:tcPr>
          <w:p>
            <w:pPr>
              <w:spacing w:after="0" w:line="196" w:lineRule="exact"/>
              <w:rPr>
                <w:sz w:val="20"/>
                <w:szCs w:val="20"/>
                <w:color w:val="auto"/>
              </w:rPr>
            </w:pPr>
            <w:r>
              <w:rPr>
                <w:rFonts w:ascii="Arial" w:cs="Arial" w:eastAsia="Arial" w:hAnsi="Arial"/>
                <w:sz w:val="18"/>
                <w:szCs w:val="18"/>
                <w:b w:val="1"/>
                <w:bCs w:val="1"/>
                <w:color w:val="auto"/>
              </w:rPr>
              <w:t>Cash flows from investing activities:</w:t>
            </w:r>
          </w:p>
        </w:tc>
        <w:tc>
          <w:tcPr>
            <w:tcW w:w="17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00" w:type="dxa"/>
            <w:vAlign w:val="bottom"/>
          </w:tcPr>
          <w:p>
            <w:pPr>
              <w:spacing w:after="0"/>
              <w:rPr>
                <w:sz w:val="17"/>
                <w:szCs w:val="17"/>
                <w:color w:val="auto"/>
              </w:rPr>
            </w:pPr>
          </w:p>
        </w:tc>
      </w:tr>
      <w:tr>
        <w:trPr>
          <w:trHeight w:val="216"/>
        </w:trPr>
        <w:tc>
          <w:tcPr>
            <w:tcW w:w="7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Cash paid for acquisition</w:t>
            </w:r>
          </w:p>
        </w:tc>
        <w:tc>
          <w:tcPr>
            <w:tcW w:w="17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(24,008)</w:t>
            </w: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r>
    </w:tbl>
    <w:p>
      <w:pPr>
        <w:sectPr>
          <w:pgSz w:w="11900" w:h="16838" w:orient="portrait"/>
          <w:cols w:equalWidth="0" w:num="1">
            <w:col w:w="11420"/>
          </w:cols>
          <w:pgMar w:left="240" w:top="125" w:right="239" w:bottom="0" w:gutter="0" w:footer="0" w:header="0"/>
        </w:sectPr>
      </w:pPr>
    </w:p>
    <w:bookmarkStart w:id="3" w:name="page4"/>
    <w:bookmarkEnd w:id="3"/>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7280" w:type="dxa"/>
            <w:vAlign w:val="bottom"/>
          </w:tcPr>
          <w:p>
            <w:pPr>
              <w:ind w:left="180"/>
              <w:spacing w:after="0"/>
              <w:rPr>
                <w:sz w:val="20"/>
                <w:szCs w:val="20"/>
                <w:color w:val="auto"/>
              </w:rPr>
            </w:pPr>
            <w:r>
              <w:rPr>
                <w:rFonts w:ascii="Arial" w:cs="Arial" w:eastAsia="Arial" w:hAnsi="Arial"/>
                <w:sz w:val="18"/>
                <w:szCs w:val="18"/>
                <w:color w:val="auto"/>
              </w:rPr>
              <w:t>Purchases of short-term investments</w:t>
            </w:r>
          </w:p>
        </w:tc>
        <w:tc>
          <w:tcPr>
            <w:tcW w:w="20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rPr>
              <w:t>(57,405)</w:t>
            </w: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780" w:type="dxa"/>
            <w:vAlign w:val="bottom"/>
            <w:gridSpan w:val="2"/>
          </w:tcPr>
          <w:p>
            <w:pPr>
              <w:jc w:val="right"/>
              <w:ind w:right="40"/>
              <w:spacing w:after="0"/>
              <w:rPr>
                <w:sz w:val="20"/>
                <w:szCs w:val="20"/>
                <w:color w:val="auto"/>
              </w:rPr>
            </w:pPr>
            <w:r>
              <w:rPr>
                <w:rFonts w:ascii="Arial" w:cs="Arial" w:eastAsia="Arial" w:hAnsi="Arial"/>
                <w:sz w:val="18"/>
                <w:szCs w:val="18"/>
                <w:color w:val="auto"/>
              </w:rPr>
              <w:t>(99,018)</w:t>
            </w:r>
          </w:p>
        </w:tc>
      </w:tr>
      <w:tr>
        <w:trPr>
          <w:trHeight w:val="216"/>
        </w:trPr>
        <w:tc>
          <w:tcPr>
            <w:tcW w:w="72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Sales and maturities of short-term investments</w:t>
            </w:r>
          </w:p>
        </w:tc>
        <w:tc>
          <w:tcPr>
            <w:tcW w:w="20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238,124</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48,051</w:t>
            </w:r>
          </w:p>
        </w:tc>
        <w:tc>
          <w:tcPr>
            <w:tcW w:w="100" w:type="dxa"/>
            <w:vAlign w:val="bottom"/>
            <w:shd w:val="clear" w:color="auto" w:fill="CCEEFF"/>
          </w:tcPr>
          <w:p>
            <w:pPr>
              <w:spacing w:after="0"/>
              <w:rPr>
                <w:sz w:val="18"/>
                <w:szCs w:val="18"/>
                <w:color w:val="auto"/>
              </w:rPr>
            </w:pPr>
          </w:p>
        </w:tc>
      </w:tr>
      <w:tr>
        <w:trPr>
          <w:trHeight w:val="216"/>
        </w:trPr>
        <w:tc>
          <w:tcPr>
            <w:tcW w:w="7280" w:type="dxa"/>
            <w:vAlign w:val="bottom"/>
          </w:tcPr>
          <w:p>
            <w:pPr>
              <w:ind w:left="180"/>
              <w:spacing w:after="0"/>
              <w:rPr>
                <w:sz w:val="20"/>
                <w:szCs w:val="20"/>
                <w:color w:val="auto"/>
              </w:rPr>
            </w:pPr>
            <w:r>
              <w:rPr>
                <w:rFonts w:ascii="Arial" w:cs="Arial" w:eastAsia="Arial" w:hAnsi="Arial"/>
                <w:sz w:val="18"/>
                <w:szCs w:val="18"/>
                <w:color w:val="auto"/>
              </w:rPr>
              <w:t>Acquisition costs</w:t>
            </w:r>
          </w:p>
        </w:tc>
        <w:tc>
          <w:tcPr>
            <w:tcW w:w="20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rPr>
              <w:t>(461)</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8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r>
      <w:tr>
        <w:trPr>
          <w:trHeight w:val="216"/>
        </w:trPr>
        <w:tc>
          <w:tcPr>
            <w:tcW w:w="72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Purchases of property and equipment</w:t>
            </w:r>
          </w:p>
        </w:tc>
        <w:tc>
          <w:tcPr>
            <w:tcW w:w="20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(28,948)</w:t>
            </w: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(18,395)</w:t>
            </w:r>
          </w:p>
        </w:tc>
      </w:tr>
      <w:tr>
        <w:trPr>
          <w:trHeight w:val="210"/>
        </w:trPr>
        <w:tc>
          <w:tcPr>
            <w:tcW w:w="728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Net cash provided by (used in) investing activities</w:t>
            </w:r>
          </w:p>
        </w:tc>
        <w:tc>
          <w:tcPr>
            <w:tcW w:w="2040" w:type="dxa"/>
            <w:vAlign w:val="bottom"/>
            <w:tcBorders>
              <w:bottom w:val="single" w:sz="8" w:color="CCEEFF"/>
            </w:tcBorders>
          </w:tcPr>
          <w:p>
            <w:pPr>
              <w:spacing w:after="0"/>
              <w:rPr>
                <w:sz w:val="18"/>
                <w:szCs w:val="18"/>
                <w:color w:val="auto"/>
              </w:rPr>
            </w:pPr>
          </w:p>
        </w:tc>
        <w:tc>
          <w:tcPr>
            <w:tcW w:w="180" w:type="dxa"/>
            <w:vAlign w:val="bottom"/>
            <w:tcBorders>
              <w:top w:val="single" w:sz="8" w:color="auto"/>
              <w:bottom w:val="single" w:sz="8" w:color="auto"/>
            </w:tcBorders>
          </w:tcPr>
          <w:p>
            <w:pPr>
              <w:spacing w:after="0"/>
              <w:rPr>
                <w:sz w:val="18"/>
                <w:szCs w:val="18"/>
                <w:color w:val="auto"/>
              </w:rPr>
            </w:pP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127,302</w:t>
            </w:r>
          </w:p>
        </w:tc>
        <w:tc>
          <w:tcPr>
            <w:tcW w:w="16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180" w:type="dxa"/>
            <w:vAlign w:val="bottom"/>
            <w:tcBorders>
              <w:top w:val="single" w:sz="8" w:color="auto"/>
              <w:bottom w:val="single" w:sz="8" w:color="auto"/>
            </w:tcBorders>
          </w:tcPr>
          <w:p>
            <w:pPr>
              <w:spacing w:after="0"/>
              <w:rPr>
                <w:sz w:val="18"/>
                <w:szCs w:val="18"/>
                <w:color w:val="auto"/>
              </w:rPr>
            </w:pP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(69,362)</w:t>
            </w:r>
          </w:p>
        </w:tc>
        <w:tc>
          <w:tcPr>
            <w:tcW w:w="100" w:type="dxa"/>
            <w:vAlign w:val="bottom"/>
            <w:tcBorders>
              <w:bottom w:val="single" w:sz="8" w:color="CCEEFF"/>
            </w:tcBorders>
          </w:tcPr>
          <w:p>
            <w:pPr>
              <w:spacing w:after="0"/>
              <w:rPr>
                <w:sz w:val="18"/>
                <w:szCs w:val="18"/>
                <w:color w:val="auto"/>
              </w:rPr>
            </w:pPr>
          </w:p>
        </w:tc>
      </w:tr>
      <w:tr>
        <w:trPr>
          <w:trHeight w:val="196"/>
        </w:trPr>
        <w:tc>
          <w:tcPr>
            <w:tcW w:w="728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financing activities:</w:t>
            </w:r>
          </w:p>
        </w:tc>
        <w:tc>
          <w:tcPr>
            <w:tcW w:w="20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7280" w:type="dxa"/>
            <w:vAlign w:val="bottom"/>
          </w:tcPr>
          <w:p>
            <w:pPr>
              <w:ind w:left="180"/>
              <w:spacing w:after="0"/>
              <w:rPr>
                <w:sz w:val="20"/>
                <w:szCs w:val="20"/>
                <w:color w:val="auto"/>
              </w:rPr>
            </w:pPr>
            <w:r>
              <w:rPr>
                <w:rFonts w:ascii="Arial" w:cs="Arial" w:eastAsia="Arial" w:hAnsi="Arial"/>
                <w:sz w:val="18"/>
                <w:szCs w:val="18"/>
                <w:color w:val="auto"/>
              </w:rPr>
              <w:t>Proceeds from the issuance of common stock</w:t>
            </w:r>
          </w:p>
        </w:tc>
        <w:tc>
          <w:tcPr>
            <w:tcW w:w="20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10,904</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20,119</w:t>
            </w:r>
          </w:p>
        </w:tc>
        <w:tc>
          <w:tcPr>
            <w:tcW w:w="100" w:type="dxa"/>
            <w:vAlign w:val="bottom"/>
          </w:tcPr>
          <w:p>
            <w:pPr>
              <w:spacing w:after="0"/>
              <w:rPr>
                <w:sz w:val="18"/>
                <w:szCs w:val="18"/>
                <w:color w:val="auto"/>
              </w:rPr>
            </w:pPr>
          </w:p>
        </w:tc>
      </w:tr>
      <w:tr>
        <w:trPr>
          <w:trHeight w:val="216"/>
        </w:trPr>
        <w:tc>
          <w:tcPr>
            <w:tcW w:w="72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Principal payments on capital lease obligations</w:t>
            </w:r>
          </w:p>
        </w:tc>
        <w:tc>
          <w:tcPr>
            <w:tcW w:w="20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(4,628)</w:t>
            </w: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(3,156)</w:t>
            </w:r>
          </w:p>
        </w:tc>
      </w:tr>
      <w:tr>
        <w:trPr>
          <w:trHeight w:val="216"/>
        </w:trPr>
        <w:tc>
          <w:tcPr>
            <w:tcW w:w="7280" w:type="dxa"/>
            <w:vAlign w:val="bottom"/>
          </w:tcPr>
          <w:p>
            <w:pPr>
              <w:ind w:left="180"/>
              <w:spacing w:after="0"/>
              <w:rPr>
                <w:sz w:val="20"/>
                <w:szCs w:val="20"/>
                <w:color w:val="auto"/>
              </w:rPr>
            </w:pPr>
            <w:r>
              <w:rPr>
                <w:rFonts w:ascii="Arial" w:cs="Arial" w:eastAsia="Arial" w:hAnsi="Arial"/>
                <w:sz w:val="18"/>
                <w:szCs w:val="18"/>
                <w:color w:val="auto"/>
              </w:rPr>
              <w:t>Excess tax benefits from stock-based compensation</w:t>
            </w:r>
          </w:p>
        </w:tc>
        <w:tc>
          <w:tcPr>
            <w:tcW w:w="20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697</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8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r>
      <w:tr>
        <w:trPr>
          <w:trHeight w:val="210"/>
        </w:trPr>
        <w:tc>
          <w:tcPr>
            <w:tcW w:w="7280" w:type="dxa"/>
            <w:vAlign w:val="bottom"/>
            <w:tcBorders>
              <w:top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Net cash provided by financing activities</w:t>
            </w:r>
          </w:p>
        </w:tc>
        <w:tc>
          <w:tcPr>
            <w:tcW w:w="20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spacing w:after="0"/>
              <w:rPr>
                <w:sz w:val="18"/>
                <w:szCs w:val="18"/>
                <w:color w:val="auto"/>
              </w:rPr>
            </w:pP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6,973</w:t>
            </w:r>
          </w:p>
        </w:tc>
        <w:tc>
          <w:tcPr>
            <w:tcW w:w="1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spacing w:after="0"/>
              <w:rPr>
                <w:sz w:val="18"/>
                <w:szCs w:val="18"/>
                <w:color w:val="auto"/>
              </w:rPr>
            </w:pPr>
          </w:p>
        </w:tc>
        <w:tc>
          <w:tcPr>
            <w:tcW w:w="6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16,963</w:t>
            </w:r>
          </w:p>
        </w:tc>
        <w:tc>
          <w:tcPr>
            <w:tcW w:w="100" w:type="dxa"/>
            <w:vAlign w:val="bottom"/>
            <w:tcBorders>
              <w:top w:val="single" w:sz="8" w:color="CCEEFF"/>
            </w:tcBorders>
            <w:shd w:val="clear" w:color="auto" w:fill="CCEEFF"/>
          </w:tcPr>
          <w:p>
            <w:pPr>
              <w:spacing w:after="0"/>
              <w:rPr>
                <w:sz w:val="18"/>
                <w:szCs w:val="18"/>
                <w:color w:val="auto"/>
              </w:rPr>
            </w:pPr>
          </w:p>
        </w:tc>
      </w:tr>
      <w:tr>
        <w:trPr>
          <w:trHeight w:val="210"/>
        </w:trPr>
        <w:tc>
          <w:tcPr>
            <w:tcW w:w="7280" w:type="dxa"/>
            <w:vAlign w:val="bottom"/>
          </w:tcPr>
          <w:p>
            <w:pPr>
              <w:spacing w:after="0"/>
              <w:rPr>
                <w:sz w:val="20"/>
                <w:szCs w:val="20"/>
                <w:color w:val="auto"/>
              </w:rPr>
            </w:pPr>
            <w:r>
              <w:rPr>
                <w:rFonts w:ascii="Arial" w:cs="Arial" w:eastAsia="Arial" w:hAnsi="Arial"/>
                <w:sz w:val="18"/>
                <w:szCs w:val="18"/>
                <w:color w:val="auto"/>
              </w:rPr>
              <w:t>Net increase in cash and cash equivalents</w:t>
            </w:r>
          </w:p>
        </w:tc>
        <w:tc>
          <w:tcPr>
            <w:tcW w:w="20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180,958</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16,505</w:t>
            </w:r>
          </w:p>
        </w:tc>
        <w:tc>
          <w:tcPr>
            <w:tcW w:w="100" w:type="dxa"/>
            <w:vAlign w:val="bottom"/>
          </w:tcPr>
          <w:p>
            <w:pPr>
              <w:spacing w:after="0"/>
              <w:rPr>
                <w:sz w:val="18"/>
                <w:szCs w:val="18"/>
                <w:color w:val="auto"/>
              </w:rPr>
            </w:pPr>
          </w:p>
        </w:tc>
      </w:tr>
      <w:tr>
        <w:trPr>
          <w:trHeight w:val="216"/>
        </w:trPr>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204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348,431</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166,471</w:t>
            </w:r>
          </w:p>
        </w:tc>
        <w:tc>
          <w:tcPr>
            <w:tcW w:w="100" w:type="dxa"/>
            <w:vAlign w:val="bottom"/>
            <w:shd w:val="clear" w:color="auto" w:fill="CCEEFF"/>
          </w:tcPr>
          <w:p>
            <w:pPr>
              <w:spacing w:after="0"/>
              <w:rPr>
                <w:sz w:val="18"/>
                <w:szCs w:val="18"/>
                <w:color w:val="auto"/>
              </w:rPr>
            </w:pPr>
          </w:p>
        </w:tc>
      </w:tr>
      <w:tr>
        <w:trPr>
          <w:trHeight w:val="250"/>
        </w:trPr>
        <w:tc>
          <w:tcPr>
            <w:tcW w:w="728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Cash and cash equivalents at end of period</w:t>
            </w:r>
          </w:p>
        </w:tc>
        <w:tc>
          <w:tcPr>
            <w:tcW w:w="2040" w:type="dxa"/>
            <w:vAlign w:val="bottom"/>
            <w:tcBorders>
              <w:bottom w:val="single" w:sz="8" w:color="CCEEFF"/>
            </w:tcBorders>
          </w:tcPr>
          <w:p>
            <w:pPr>
              <w:spacing w:after="0"/>
              <w:rPr>
                <w:sz w:val="21"/>
                <w:szCs w:val="21"/>
                <w:color w:val="auto"/>
              </w:rPr>
            </w:pPr>
          </w:p>
        </w:tc>
        <w:tc>
          <w:tcPr>
            <w:tcW w:w="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529,389</w:t>
            </w:r>
          </w:p>
        </w:tc>
        <w:tc>
          <w:tcPr>
            <w:tcW w:w="160" w:type="dxa"/>
            <w:vAlign w:val="bottom"/>
            <w:tcBorders>
              <w:bottom w:val="single" w:sz="8" w:color="CCEEFF"/>
            </w:tcBorders>
          </w:tcPr>
          <w:p>
            <w:pPr>
              <w:spacing w:after="0"/>
              <w:rPr>
                <w:sz w:val="21"/>
                <w:szCs w:val="21"/>
                <w:color w:val="auto"/>
              </w:rPr>
            </w:pPr>
          </w:p>
        </w:tc>
        <w:tc>
          <w:tcPr>
            <w:tcW w:w="100" w:type="dxa"/>
            <w:vAlign w:val="bottom"/>
            <w:tcBorders>
              <w:bottom w:val="single" w:sz="8" w:color="CCEEFF"/>
            </w:tcBorders>
          </w:tcPr>
          <w:p>
            <w:pPr>
              <w:spacing w:after="0"/>
              <w:rPr>
                <w:sz w:val="21"/>
                <w:szCs w:val="21"/>
                <w:color w:val="auto"/>
              </w:rPr>
            </w:pPr>
          </w:p>
        </w:tc>
        <w:tc>
          <w:tcPr>
            <w:tcW w:w="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182,976</w:t>
            </w:r>
          </w:p>
        </w:tc>
        <w:tc>
          <w:tcPr>
            <w:tcW w:w="100" w:type="dxa"/>
            <w:vAlign w:val="bottom"/>
            <w:tcBorders>
              <w:bottom w:val="single" w:sz="8" w:color="CCEEFF"/>
            </w:tcBorders>
          </w:tcPr>
          <w:p>
            <w:pPr>
              <w:spacing w:after="0"/>
              <w:rPr>
                <w:sz w:val="21"/>
                <w:szCs w:val="21"/>
                <w:color w:val="auto"/>
              </w:rPr>
            </w:pPr>
          </w:p>
        </w:tc>
      </w:tr>
      <w:tr>
        <w:trPr>
          <w:trHeight w:val="170"/>
        </w:trPr>
        <w:tc>
          <w:tcPr>
            <w:tcW w:w="7280" w:type="dxa"/>
            <w:vAlign w:val="bottom"/>
            <w:shd w:val="clear" w:color="auto" w:fill="CCEEFF"/>
          </w:tcPr>
          <w:p>
            <w:pPr>
              <w:spacing w:after="0" w:line="170" w:lineRule="exact"/>
              <w:rPr>
                <w:sz w:val="20"/>
                <w:szCs w:val="20"/>
                <w:color w:val="auto"/>
              </w:rPr>
            </w:pPr>
            <w:r>
              <w:rPr>
                <w:rFonts w:ascii="Arial" w:cs="Arial" w:eastAsia="Arial" w:hAnsi="Arial"/>
                <w:sz w:val="18"/>
                <w:szCs w:val="18"/>
                <w:b w:val="1"/>
                <w:bCs w:val="1"/>
                <w:color w:val="auto"/>
              </w:rPr>
              <w:t>Supplemental cash flow information:</w:t>
            </w:r>
          </w:p>
        </w:tc>
        <w:tc>
          <w:tcPr>
            <w:tcW w:w="2040" w:type="dxa"/>
            <w:vAlign w:val="bottom"/>
            <w:shd w:val="clear" w:color="auto" w:fill="CCEEFF"/>
          </w:tcPr>
          <w:p>
            <w:pPr>
              <w:spacing w:after="0"/>
              <w:rPr>
                <w:sz w:val="14"/>
                <w:szCs w:val="14"/>
                <w:color w:val="auto"/>
              </w:rPr>
            </w:pPr>
          </w:p>
        </w:tc>
        <w:tc>
          <w:tcPr>
            <w:tcW w:w="180" w:type="dxa"/>
            <w:vAlign w:val="bottom"/>
            <w:shd w:val="clear" w:color="auto" w:fill="CCEEFF"/>
          </w:tcPr>
          <w:p>
            <w:pPr>
              <w:spacing w:after="0"/>
              <w:rPr>
                <w:sz w:val="14"/>
                <w:szCs w:val="14"/>
                <w:color w:val="auto"/>
              </w:rPr>
            </w:pPr>
          </w:p>
        </w:tc>
        <w:tc>
          <w:tcPr>
            <w:tcW w:w="700" w:type="dxa"/>
            <w:vAlign w:val="bottom"/>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80" w:type="dxa"/>
            <w:vAlign w:val="bottom"/>
            <w:shd w:val="clear" w:color="auto" w:fill="CCEEFF"/>
          </w:tcPr>
          <w:p>
            <w:pPr>
              <w:spacing w:after="0"/>
              <w:rPr>
                <w:sz w:val="14"/>
                <w:szCs w:val="14"/>
                <w:color w:val="auto"/>
              </w:rPr>
            </w:pPr>
          </w:p>
        </w:tc>
        <w:tc>
          <w:tcPr>
            <w:tcW w:w="6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r>
      <w:tr>
        <w:trPr>
          <w:trHeight w:val="256"/>
        </w:trPr>
        <w:tc>
          <w:tcPr>
            <w:tcW w:w="7280" w:type="dxa"/>
            <w:vAlign w:val="bottom"/>
          </w:tcPr>
          <w:p>
            <w:pPr>
              <w:ind w:left="180"/>
              <w:spacing w:after="0"/>
              <w:rPr>
                <w:sz w:val="20"/>
                <w:szCs w:val="20"/>
                <w:color w:val="auto"/>
              </w:rPr>
            </w:pPr>
            <w:r>
              <w:rPr>
                <w:rFonts w:ascii="Arial" w:cs="Arial" w:eastAsia="Arial" w:hAnsi="Arial"/>
                <w:sz w:val="18"/>
                <w:szCs w:val="18"/>
                <w:color w:val="auto"/>
              </w:rPr>
              <w:t>Acquisition of property and equipment under capital lease obligations</w:t>
            </w:r>
          </w:p>
        </w:tc>
        <w:tc>
          <w:tcPr>
            <w:tcW w:w="2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3,212</w:t>
            </w:r>
          </w:p>
        </w:tc>
        <w:tc>
          <w:tcPr>
            <w:tcW w:w="160" w:type="dxa"/>
            <w:vAlign w:val="bottom"/>
          </w:tcPr>
          <w:p>
            <w:pPr>
              <w:spacing w:after="0"/>
              <w:rPr>
                <w:sz w:val="22"/>
                <w:szCs w:val="22"/>
                <w:color w:val="auto"/>
              </w:rPr>
            </w:pP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3,862</w:t>
            </w:r>
          </w:p>
        </w:tc>
        <w:tc>
          <w:tcPr>
            <w:tcW w:w="100" w:type="dxa"/>
            <w:vAlign w:val="bottom"/>
          </w:tcPr>
          <w:p>
            <w:pPr>
              <w:spacing w:after="0"/>
              <w:rPr>
                <w:sz w:val="22"/>
                <w:szCs w:val="22"/>
                <w:color w:val="auto"/>
              </w:rPr>
            </w:pPr>
          </w:p>
        </w:tc>
      </w:tr>
      <w:tr>
        <w:trPr>
          <w:trHeight w:val="197"/>
        </w:trPr>
        <w:tc>
          <w:tcPr>
            <w:tcW w:w="7280" w:type="dxa"/>
            <w:vAlign w:val="bottom"/>
            <w:tcBorders>
              <w:top w:val="single" w:sz="8" w:color="CCEEFF"/>
              <w:bottom w:val="single" w:sz="8" w:color="CCEEFF"/>
            </w:tcBorders>
            <w:shd w:val="clear" w:color="auto" w:fill="CCEEFF"/>
          </w:tcPr>
          <w:p>
            <w:pPr>
              <w:ind w:left="180"/>
              <w:spacing w:after="0" w:line="190" w:lineRule="exact"/>
              <w:rPr>
                <w:sz w:val="20"/>
                <w:szCs w:val="20"/>
                <w:color w:val="auto"/>
              </w:rPr>
            </w:pPr>
            <w:r>
              <w:rPr>
                <w:rFonts w:ascii="Arial" w:cs="Arial" w:eastAsia="Arial" w:hAnsi="Arial"/>
                <w:sz w:val="18"/>
                <w:szCs w:val="18"/>
                <w:color w:val="auto"/>
              </w:rPr>
              <w:t>Reversal of deferred stock-based compensation</w:t>
            </w:r>
          </w:p>
        </w:tc>
        <w:tc>
          <w:tcPr>
            <w:tcW w:w="2040" w:type="dxa"/>
            <w:vAlign w:val="bottom"/>
            <w:tcBorders>
              <w:top w:val="single" w:sz="8" w:color="CCEEFF"/>
              <w:bottom w:val="single" w:sz="8" w:color="CCEEFF"/>
            </w:tcBorders>
            <w:shd w:val="clear" w:color="auto" w:fill="CCEEFF"/>
          </w:tcPr>
          <w:p>
            <w:pPr>
              <w:spacing w:after="0"/>
              <w:rPr>
                <w:sz w:val="17"/>
                <w:szCs w:val="17"/>
                <w:color w:val="auto"/>
              </w:rPr>
            </w:pPr>
          </w:p>
        </w:tc>
        <w:tc>
          <w:tcPr>
            <w:tcW w:w="18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1,141</w:t>
            </w:r>
          </w:p>
        </w:tc>
        <w:tc>
          <w:tcPr>
            <w:tcW w:w="160" w:type="dxa"/>
            <w:vAlign w:val="bottom"/>
            <w:tcBorders>
              <w:top w:val="single" w:sz="8" w:color="CCEEFF"/>
              <w:bottom w:val="single" w:sz="8" w:color="CCEEFF"/>
            </w:tcBorders>
            <w:shd w:val="clear" w:color="auto" w:fill="CCEEFF"/>
          </w:tcPr>
          <w:p>
            <w:pPr>
              <w:spacing w:after="0"/>
              <w:rPr>
                <w:sz w:val="17"/>
                <w:szCs w:val="17"/>
                <w:color w:val="auto"/>
              </w:rPr>
            </w:pPr>
          </w:p>
        </w:tc>
        <w:tc>
          <w:tcPr>
            <w:tcW w:w="100" w:type="dxa"/>
            <w:vAlign w:val="bottom"/>
            <w:tcBorders>
              <w:top w:val="single" w:sz="8" w:color="CCEEFF"/>
              <w:bottom w:val="single" w:sz="8" w:color="CCEEFF"/>
            </w:tcBorders>
            <w:shd w:val="clear" w:color="auto" w:fill="CCEEFF"/>
          </w:tcPr>
          <w:p>
            <w:pPr>
              <w:spacing w:after="0"/>
              <w:rPr>
                <w:sz w:val="17"/>
                <w:szCs w:val="17"/>
                <w:color w:val="auto"/>
              </w:rPr>
            </w:pPr>
          </w:p>
        </w:tc>
        <w:tc>
          <w:tcPr>
            <w:tcW w:w="18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w:t>
            </w:r>
          </w:p>
        </w:tc>
        <w:tc>
          <w:tcPr>
            <w:tcW w:w="100" w:type="dxa"/>
            <w:vAlign w:val="bottom"/>
            <w:tcBorders>
              <w:top w:val="single" w:sz="8" w:color="CCEEFF"/>
              <w:bottom w:val="single" w:sz="8" w:color="CCEEFF"/>
            </w:tcBorders>
            <w:shd w:val="clear" w:color="auto" w:fill="CCEEFF"/>
          </w:tcPr>
          <w:p>
            <w:pPr>
              <w:spacing w:after="0"/>
              <w:rPr>
                <w:sz w:val="17"/>
                <w:szCs w:val="17"/>
                <w:color w:val="auto"/>
              </w:rPr>
            </w:pPr>
          </w:p>
        </w:tc>
      </w:tr>
      <w:tr>
        <w:trPr>
          <w:trHeight w:val="20"/>
        </w:trPr>
        <w:tc>
          <w:tcPr>
            <w:tcW w:w="7280" w:type="dxa"/>
            <w:vAlign w:val="bottom"/>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1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225" w:lineRule="exact"/>
        <w:rPr>
          <w:sz w:val="20"/>
          <w:szCs w:val="20"/>
          <w:color w:val="auto"/>
        </w:rPr>
      </w:pPr>
    </w:p>
    <w:p>
      <w:pPr>
        <w:ind w:right="7160" w:firstLine="8"/>
        <w:spacing w:after="0" w:line="503" w:lineRule="auto"/>
        <w:tabs>
          <w:tab w:leader="none" w:pos="180" w:val="left"/>
        </w:tabs>
        <w:numPr>
          <w:ilvl w:val="0"/>
          <w:numId w:val="3"/>
        </w:numPr>
        <w:rPr>
          <w:rFonts w:ascii="Arial" w:cs="Arial" w:eastAsia="Arial" w:hAnsi="Arial"/>
          <w:sz w:val="18"/>
          <w:szCs w:val="18"/>
          <w:b w:val="1"/>
          <w:bCs w:val="1"/>
          <w:color w:val="auto"/>
        </w:rPr>
      </w:pPr>
      <w:r>
        <w:rPr>
          <w:rFonts w:ascii="Arial" w:cs="Arial" w:eastAsia="Arial" w:hAnsi="Arial"/>
          <w:sz w:val="18"/>
          <w:szCs w:val="18"/>
          <w:b w:val="1"/>
          <w:bCs w:val="1"/>
          <w:color w:val="auto"/>
        </w:rPr>
        <w:t>The Company and its Significant Accounting Policies The Company</w:t>
      </w:r>
    </w:p>
    <w:p>
      <w:pPr>
        <w:spacing w:after="0" w:line="1" w:lineRule="exact"/>
        <w:rPr>
          <w:sz w:val="20"/>
          <w:szCs w:val="20"/>
          <w:color w:val="auto"/>
        </w:rPr>
      </w:pPr>
    </w:p>
    <w:p>
      <w:pPr>
        <w:ind w:right="240" w:firstLine="304"/>
        <w:spacing w:after="0" w:line="279" w:lineRule="auto"/>
        <w:rPr>
          <w:sz w:val="20"/>
          <w:szCs w:val="20"/>
          <w:color w:val="auto"/>
        </w:rPr>
      </w:pPr>
      <w:r>
        <w:rPr>
          <w:rFonts w:ascii="Arial" w:cs="Arial" w:eastAsia="Arial" w:hAnsi="Arial"/>
          <w:sz w:val="17"/>
          <w:szCs w:val="17"/>
          <w:color w:val="auto"/>
        </w:rPr>
        <w:t>Marvell Technology Group Ltd. (the “Company”), a Bermuda company, was incorporated on January 11, 1995. The Company is a leading global semiconductor provider of high-performance analog, mixed-signal, digital signal processing and embedded microprocessor integrated circuits. The Company’s diverse product portfolio includes switching, transceivers, wireless, PC connectivity, gateways, communications controllers, storage and power management solutions that serve diverse applications used in business enterprise, consumer electronics and emerging markets.</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of presentation</w:t>
      </w:r>
    </w:p>
    <w:p>
      <w:pPr>
        <w:spacing w:after="0" w:line="229" w:lineRule="exact"/>
        <w:rPr>
          <w:sz w:val="20"/>
          <w:szCs w:val="20"/>
          <w:color w:val="auto"/>
        </w:rPr>
      </w:pPr>
    </w:p>
    <w:p>
      <w:pPr>
        <w:ind w:right="60" w:firstLine="259"/>
        <w:spacing w:after="0" w:line="263" w:lineRule="auto"/>
        <w:rPr>
          <w:sz w:val="20"/>
          <w:szCs w:val="20"/>
          <w:color w:val="auto"/>
        </w:rPr>
      </w:pPr>
      <w:r>
        <w:rPr>
          <w:rFonts w:ascii="Arial" w:cs="Arial" w:eastAsia="Arial" w:hAnsi="Arial"/>
          <w:sz w:val="18"/>
          <w:szCs w:val="18"/>
          <w:color w:val="auto"/>
        </w:rPr>
        <w:t xml:space="preserve">The Company’s fiscal year is the 52- or 53-week period ending on the Saturday closest to January 31. In a 52-week year, each fiscal quarter consists of 13 weeks. The additional week in a 53-week year is added to the fourth quarter, making such quarter consist of 14 weeks. </w:t>
      </w:r>
      <w:r>
        <w:rPr>
          <w:rFonts w:ascii="Arial" w:cs="Arial" w:eastAsia="Arial" w:hAnsi="Arial"/>
          <w:sz w:val="17"/>
          <w:szCs w:val="17"/>
          <w:color w:val="auto"/>
        </w:rPr>
        <w:t>Fiscal years 2006 and 2005 are</w:t>
      </w:r>
      <w:r>
        <w:rPr>
          <w:rFonts w:ascii="Arial" w:cs="Arial" w:eastAsia="Arial" w:hAnsi="Arial"/>
          <w:sz w:val="18"/>
          <w:szCs w:val="18"/>
          <w:color w:val="auto"/>
        </w:rPr>
        <w:t xml:space="preserve"> </w:t>
      </w:r>
      <w:r>
        <w:rPr>
          <w:rFonts w:ascii="Arial" w:cs="Arial" w:eastAsia="Arial" w:hAnsi="Arial"/>
          <w:sz w:val="17"/>
          <w:szCs w:val="17"/>
          <w:color w:val="auto"/>
        </w:rPr>
        <w:t>comprised of 52-weeks. For presentation purposes only, the financial statements and notes refer to January 31 as the Company’s year-end and April 30, July 31 and October 31 as the Company’s quarter-ends.</w:t>
      </w:r>
    </w:p>
    <w:p>
      <w:pPr>
        <w:spacing w:after="0" w:line="186" w:lineRule="exact"/>
        <w:rPr>
          <w:sz w:val="20"/>
          <w:szCs w:val="20"/>
          <w:color w:val="auto"/>
        </w:rPr>
      </w:pPr>
    </w:p>
    <w:p>
      <w:pPr>
        <w:ind w:firstLine="259"/>
        <w:spacing w:after="0" w:line="285" w:lineRule="auto"/>
        <w:rPr>
          <w:sz w:val="20"/>
          <w:szCs w:val="20"/>
          <w:color w:val="auto"/>
        </w:rPr>
      </w:pPr>
      <w:r>
        <w:rPr>
          <w:rFonts w:ascii="Arial" w:cs="Arial" w:eastAsia="Arial" w:hAnsi="Arial"/>
          <w:sz w:val="16"/>
          <w:szCs w:val="16"/>
          <w:color w:val="auto"/>
        </w:rPr>
        <w:t xml:space="preserve">The unaudited interim condensed consolidated financial statements have been prepared on the same basis as the annual consolidated financial statements and, in the opinion of management, reflect all adjustments, which include only normal recurring adjustments, necessary to fairly state the Company’s financial position as of April 30, 2006, the results of its operations for the three months ended April 30, 2006 and 2005, and its cash flows for the three months ended April 30, 2006 and 2005. These condensed consolidated financial statements and related notes are unaudited and should be read in conjunction with the Company’s audited financial statements and related notes included in the Company’s Annual Report on Form 10-K for the year ended January 31, 2006. </w:t>
      </w:r>
      <w:r>
        <w:rPr>
          <w:rFonts w:ascii="Arial" w:cs="Arial" w:eastAsia="Arial" w:hAnsi="Arial"/>
          <w:sz w:val="15"/>
          <w:szCs w:val="15"/>
          <w:color w:val="auto"/>
        </w:rPr>
        <w:t>The</w:t>
      </w:r>
    </w:p>
    <w:p>
      <w:pPr>
        <w:spacing w:after="0" w:line="2" w:lineRule="exact"/>
        <w:rPr>
          <w:sz w:val="20"/>
          <w:szCs w:val="20"/>
          <w:color w:val="auto"/>
        </w:rPr>
      </w:pPr>
    </w:p>
    <w:p>
      <w:pPr>
        <w:ind w:right="20"/>
        <w:spacing w:after="0" w:line="253" w:lineRule="auto"/>
        <w:rPr>
          <w:sz w:val="20"/>
          <w:szCs w:val="20"/>
          <w:color w:val="auto"/>
        </w:rPr>
      </w:pPr>
      <w:r>
        <w:rPr>
          <w:rFonts w:ascii="Arial" w:cs="Arial" w:eastAsia="Arial" w:hAnsi="Arial"/>
          <w:sz w:val="18"/>
          <w:szCs w:val="18"/>
          <w:color w:val="auto"/>
        </w:rPr>
        <w:t>January 31, 2006 condensed consolidated balance sheet was derived from audited financial statements, but does not include all disclosures required by accounting principles generally accepted in the United States. However, the Company believes the disclosures are adequate to make the information presented not misleading. The results of operations for the three months ended April 30, 2006 are not necessarily indicative of the results that may be expected for any other interim period or for the full fiscal year.</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Revenue recognition</w:t>
      </w:r>
    </w:p>
    <w:p>
      <w:pPr>
        <w:spacing w:after="0" w:line="229" w:lineRule="exact"/>
        <w:rPr>
          <w:sz w:val="20"/>
          <w:szCs w:val="20"/>
          <w:color w:val="auto"/>
        </w:rPr>
      </w:pPr>
    </w:p>
    <w:p>
      <w:pPr>
        <w:ind w:right="100" w:firstLine="243"/>
        <w:spacing w:after="0" w:line="291" w:lineRule="auto"/>
        <w:rPr>
          <w:sz w:val="20"/>
          <w:szCs w:val="20"/>
          <w:color w:val="auto"/>
        </w:rPr>
      </w:pPr>
      <w:r>
        <w:rPr>
          <w:rFonts w:ascii="Arial" w:cs="Arial" w:eastAsia="Arial" w:hAnsi="Arial"/>
          <w:sz w:val="16"/>
          <w:szCs w:val="16"/>
          <w:color w:val="auto"/>
        </w:rPr>
        <w:t>The Company recognizes revenue when persuasive evidence of an arrangement exists, delivery has occurred, the price is fixed or determinable and collection is reasonably assured. Under these criteria, product revenue is generally recognized upon shipment of product to customers, net of accruals for estimated sales returns and allowances. However, some of the Company’s sales are made through distributors under agreements allowing for price protection and rights of return on product unsold by the distributors. Product revenue on sales made through distributors with rights of return and price protection is deferred until the distributors sell the product to end customers. Additionally, collection is not deemed to be “reasonably assured” if customers receive extended payment terms. As a result, revenue on sales to customers with payment terms substantially greater than the Company’s normal payment terms is deferred and is recognized as revenue as the payments become due. Deferred revenue less the related cost of the inventories is reported as deferred income.</w:t>
      </w:r>
    </w:p>
    <w:p>
      <w:pPr>
        <w:spacing w:after="0" w:line="167" w:lineRule="exact"/>
        <w:rPr>
          <w:sz w:val="20"/>
          <w:szCs w:val="20"/>
          <w:color w:val="auto"/>
        </w:rPr>
      </w:pPr>
    </w:p>
    <w:p>
      <w:pPr>
        <w:ind w:firstLine="243"/>
        <w:spacing w:after="0" w:line="308" w:lineRule="auto"/>
        <w:rPr>
          <w:sz w:val="20"/>
          <w:szCs w:val="20"/>
          <w:color w:val="auto"/>
        </w:rPr>
      </w:pPr>
      <w:r>
        <w:rPr>
          <w:rFonts w:ascii="Arial" w:cs="Arial" w:eastAsia="Arial" w:hAnsi="Arial"/>
          <w:sz w:val="17"/>
          <w:szCs w:val="17"/>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w:t>
      </w:r>
    </w:p>
    <w:p>
      <w:pPr>
        <w:spacing w:after="0" w:line="147" w:lineRule="exact"/>
        <w:rPr>
          <w:sz w:val="20"/>
          <w:szCs w:val="20"/>
          <w:color w:val="auto"/>
        </w:rPr>
      </w:pPr>
    </w:p>
    <w:p>
      <w:pPr>
        <w:ind w:right="260" w:firstLine="243"/>
        <w:spacing w:after="0" w:line="264" w:lineRule="auto"/>
        <w:rPr>
          <w:sz w:val="20"/>
          <w:szCs w:val="20"/>
          <w:color w:val="auto"/>
        </w:rPr>
      </w:pPr>
      <w:r>
        <w:rPr>
          <w:rFonts w:ascii="Arial" w:cs="Arial" w:eastAsia="Arial" w:hAnsi="Arial"/>
          <w:sz w:val="18"/>
          <w:szCs w:val="18"/>
          <w:color w:val="auto"/>
        </w:rPr>
        <w:t>The Company also enters into development agreements with some of its customers. Development revenue is recognized under the proportional performance method, with the associated costs included in research and development expense. The Company estimates the proportional performance of its development contracts based on an analysis of progress toward completion.</w:t>
      </w:r>
    </w:p>
    <w:p>
      <w:pPr>
        <w:sectPr>
          <w:pgSz w:w="11900" w:h="16838" w:orient="portrait"/>
          <w:cols w:equalWidth="0" w:num="1">
            <w:col w:w="11420"/>
          </w:cols>
          <w:pgMar w:left="240" w:top="125" w:right="239" w:bottom="0" w:gutter="0" w:footer="0" w:header="0"/>
        </w:sectPr>
      </w:pPr>
    </w:p>
    <w:bookmarkStart w:id="4" w:name="page5"/>
    <w:bookmarkEnd w:id="4"/>
    <w:p>
      <w:pPr>
        <w:ind w:right="40" w:firstLine="243"/>
        <w:spacing w:after="0" w:line="264" w:lineRule="auto"/>
        <w:rPr>
          <w:sz w:val="20"/>
          <w:szCs w:val="20"/>
          <w:color w:val="auto"/>
        </w:rPr>
      </w:pPr>
      <w:r>
        <w:rPr>
          <w:rFonts w:ascii="Arial" w:cs="Arial" w:eastAsia="Arial" w:hAnsi="Arial"/>
          <w:sz w:val="18"/>
          <w:szCs w:val="18"/>
          <w:color w:val="auto"/>
        </w:rPr>
        <w:t>Revenue from licensed software is recognized when persuasive evidence of an arrangement exists and delivery has occurred, provided that the fee is fixed and determinable and collectibility is probable. Revenue from post-contract customer support and any other future deliverables is deferred and earned over the support period or as contract elements are delivered.</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firstLine="243"/>
        <w:spacing w:after="0" w:line="257" w:lineRule="auto"/>
        <w:rPr>
          <w:sz w:val="20"/>
          <w:szCs w:val="20"/>
          <w:color w:val="auto"/>
        </w:rPr>
      </w:pPr>
      <w:r>
        <w:rPr>
          <w:rFonts w:ascii="Arial" w:cs="Arial" w:eastAsia="Arial" w:hAnsi="Arial"/>
          <w:sz w:val="18"/>
          <w:szCs w:val="18"/>
          <w:color w:val="auto"/>
        </w:rPr>
        <w:t>In arrangements that include a combination of hardware and software products that are also sold separately, where software is more than incidental and essential to the functionality of the product being sold, the Company follows the guidance in Emerging Issues Task Force (“EITF”) Issue No. 03-05, “Applicability of AICPA Statement of Position 97-2 to Non-Software Deliverables in an Arrangement Containing More-Than-Incidental Software,” accounts for the entire arrangement as a sale of software and software-related items and follows the revenue recognition criteria in Statement of Position (“SOP”) 97-2, “Software Revenue Recognition,” and related interpretations.</w:t>
      </w:r>
    </w:p>
    <w:p>
      <w:pPr>
        <w:spacing w:after="0" w:line="188" w:lineRule="exact"/>
        <w:rPr>
          <w:sz w:val="20"/>
          <w:szCs w:val="20"/>
          <w:color w:val="auto"/>
        </w:rPr>
      </w:pPr>
    </w:p>
    <w:p>
      <w:pPr>
        <w:ind w:right="200" w:firstLine="243"/>
        <w:spacing w:after="0" w:line="255" w:lineRule="auto"/>
        <w:rPr>
          <w:sz w:val="20"/>
          <w:szCs w:val="20"/>
          <w:color w:val="auto"/>
        </w:rPr>
      </w:pPr>
      <w:r>
        <w:rPr>
          <w:rFonts w:ascii="Arial" w:cs="Arial" w:eastAsia="Arial" w:hAnsi="Arial"/>
          <w:sz w:val="18"/>
          <w:szCs w:val="18"/>
          <w:color w:val="auto"/>
        </w:rPr>
        <w:t>The provisions of EITF Issue No. 00-21 “Accounting for Revenue Arrangements with Multiple Deliverables” apply to sales arrangements with multiple arrangements that include a combination of hardware, software and /or services. For multiple element arrangements, revenue is allocated to the separate elements based on fair value. If an arrangement includes undelivered elements that are not essential to the functionality of the delivered elements, the Company defers the fair value of the undelivered elements and the residual revenue is allocated to the delivered elements. If the undelivered elements are essential to the functionality of the delivered elements, no revenue is recognized. Undelivered elements typically are software warranty and maintenance services.</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Inventories</w:t>
      </w:r>
    </w:p>
    <w:p>
      <w:pPr>
        <w:spacing w:after="0" w:line="229" w:lineRule="exact"/>
        <w:rPr>
          <w:sz w:val="20"/>
          <w:szCs w:val="20"/>
          <w:color w:val="auto"/>
        </w:rPr>
      </w:pPr>
    </w:p>
    <w:p>
      <w:pPr>
        <w:ind w:right="480" w:firstLine="259"/>
        <w:spacing w:after="0" w:line="277" w:lineRule="auto"/>
        <w:rPr>
          <w:sz w:val="20"/>
          <w:szCs w:val="20"/>
          <w:color w:val="auto"/>
        </w:rPr>
      </w:pPr>
      <w:r>
        <w:rPr>
          <w:rFonts w:ascii="Arial" w:cs="Arial" w:eastAsia="Arial" w:hAnsi="Arial"/>
          <w:sz w:val="18"/>
          <w:szCs w:val="18"/>
          <w:color w:val="auto"/>
        </w:rPr>
        <w:t>Inventories are stated at the lower of cost or market, cost being determined under the first-in, first-out method. Appropriate consideration is given to obsolescence, excessive levels, deterioration and other factors in evaluating net realizable value.</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Warranty accrual</w:t>
      </w:r>
    </w:p>
    <w:p>
      <w:pPr>
        <w:spacing w:after="0" w:line="229" w:lineRule="exact"/>
        <w:rPr>
          <w:sz w:val="20"/>
          <w:szCs w:val="20"/>
          <w:color w:val="auto"/>
        </w:rPr>
      </w:pPr>
    </w:p>
    <w:p>
      <w:pPr>
        <w:ind w:right="120" w:firstLine="259"/>
        <w:spacing w:after="0" w:line="257" w:lineRule="auto"/>
        <w:rPr>
          <w:sz w:val="20"/>
          <w:szCs w:val="20"/>
          <w:color w:val="auto"/>
        </w:rPr>
      </w:pPr>
      <w:r>
        <w:rPr>
          <w:rFonts w:ascii="Arial" w:cs="Arial" w:eastAsia="Arial" w:hAnsi="Arial"/>
          <w:sz w:val="18"/>
          <w:szCs w:val="18"/>
          <w:color w:val="auto"/>
        </w:rPr>
        <w:t>The Company’s products are generally subject to warranty, which provides for the estimated future costs of repair, replacement or customer accommodation upon shipment of the product in the accompanying statements of operations. The Company’s products typically carry a standard 90-day warranty with certain exceptions in which the warranty period can range from one to five years. The warranty accrual is estimated based on historical claims compared to historical revenues and assumes that the Company will have to replace products subject to a claim. For new products, the Company uses a historical percentage for the appropriate class of product.</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Stock-based compensation</w:t>
      </w:r>
    </w:p>
    <w:p>
      <w:pPr>
        <w:spacing w:after="0" w:line="229" w:lineRule="exact"/>
        <w:rPr>
          <w:sz w:val="20"/>
          <w:szCs w:val="20"/>
          <w:color w:val="auto"/>
        </w:rPr>
      </w:pPr>
    </w:p>
    <w:p>
      <w:pPr>
        <w:ind w:firstLine="243"/>
        <w:spacing w:after="0" w:line="289" w:lineRule="auto"/>
        <w:rPr>
          <w:sz w:val="20"/>
          <w:szCs w:val="20"/>
          <w:color w:val="auto"/>
        </w:rPr>
      </w:pPr>
      <w:r>
        <w:rPr>
          <w:rFonts w:ascii="Arial" w:cs="Arial" w:eastAsia="Arial" w:hAnsi="Arial"/>
          <w:sz w:val="16"/>
          <w:szCs w:val="16"/>
          <w:color w:val="auto"/>
        </w:rPr>
        <w:t xml:space="preserve">Effective February 1, 2006 the Company adopted FASB Statement of Financial Accounting Standards (“SFAS”) No. 123 (revised 2004), </w:t>
      </w:r>
      <w:r>
        <w:rPr>
          <w:rFonts w:ascii="Arial" w:cs="Arial" w:eastAsia="Arial" w:hAnsi="Arial"/>
          <w:sz w:val="16"/>
          <w:szCs w:val="16"/>
          <w:i w:val="1"/>
          <w:iCs w:val="1"/>
          <w:color w:val="auto"/>
        </w:rPr>
        <w:t>Share-Based</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Payment </w:t>
      </w:r>
      <w:r>
        <w:rPr>
          <w:rFonts w:ascii="Arial" w:cs="Arial" w:eastAsia="Arial" w:hAnsi="Arial"/>
          <w:sz w:val="16"/>
          <w:szCs w:val="16"/>
          <w:color w:val="auto"/>
        </w:rPr>
        <w:t>(“SFAS 123R”). SFAS 123R requires all share-based payments to employees, including grants of employee stock options, restricted stock and</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employee stock purchase rights, to be recognized in the financial statements based on their respective grant date fair values and does not allow the previously permitted pro forma disclosure-only method as an alternative to financial statement recognition. SFAS 123R supersedes Accounting Principles Board Opinion No. 25, </w:t>
      </w:r>
      <w:r>
        <w:rPr>
          <w:rFonts w:ascii="Arial" w:cs="Arial" w:eastAsia="Arial" w:hAnsi="Arial"/>
          <w:sz w:val="16"/>
          <w:szCs w:val="16"/>
          <w:i w:val="1"/>
          <w:iCs w:val="1"/>
          <w:color w:val="auto"/>
        </w:rPr>
        <w:t>Accounting for Stock Issued to Employees</w:t>
      </w:r>
      <w:r>
        <w:rPr>
          <w:rFonts w:ascii="Arial" w:cs="Arial" w:eastAsia="Arial" w:hAnsi="Arial"/>
          <w:sz w:val="16"/>
          <w:szCs w:val="16"/>
          <w:color w:val="auto"/>
        </w:rPr>
        <w:t xml:space="preserve"> (“APB 25”), and related interpretations and amends SFAS No. 95, </w:t>
      </w:r>
      <w:r>
        <w:rPr>
          <w:rFonts w:ascii="Arial" w:cs="Arial" w:eastAsia="Arial" w:hAnsi="Arial"/>
          <w:sz w:val="16"/>
          <w:szCs w:val="16"/>
          <w:i w:val="1"/>
          <w:iCs w:val="1"/>
          <w:color w:val="auto"/>
        </w:rPr>
        <w:t>Statement of Cash Flows.</w:t>
      </w:r>
      <w:r>
        <w:rPr>
          <w:rFonts w:ascii="Arial" w:cs="Arial" w:eastAsia="Arial" w:hAnsi="Arial"/>
          <w:sz w:val="16"/>
          <w:szCs w:val="16"/>
          <w:color w:val="auto"/>
        </w:rPr>
        <w:t xml:space="preserve"> SFAS 123R also requires the benefits of tax deductions in excess of recognized compensation cost be reported as a financing cash flow, rather than as an operating cash flow as required under previous literature. This requirement may reduce future net operating cash flows and increase net financing cash flows. In March 2005 the SEC issued SAB No. 107, </w:t>
      </w:r>
      <w:r>
        <w:rPr>
          <w:rFonts w:ascii="Arial" w:cs="Arial" w:eastAsia="Arial" w:hAnsi="Arial"/>
          <w:sz w:val="16"/>
          <w:szCs w:val="16"/>
          <w:i w:val="1"/>
          <w:iCs w:val="1"/>
          <w:color w:val="auto"/>
        </w:rPr>
        <w:t>Share-Based Payment</w:t>
      </w:r>
      <w:r>
        <w:rPr>
          <w:rFonts w:ascii="Arial" w:cs="Arial" w:eastAsia="Arial" w:hAnsi="Arial"/>
          <w:sz w:val="16"/>
          <w:szCs w:val="16"/>
          <w:color w:val="auto"/>
        </w:rPr>
        <w:t xml:space="preserve"> (“SAB 107”), which provides guidance regarding the interaction of SFAS 123R and certain SEC rules and regulations. The Company has applied the provisions of SAB 107 in its adoption of SFAS 123R.</w:t>
      </w:r>
    </w:p>
    <w:p>
      <w:pPr>
        <w:spacing w:after="0" w:line="167" w:lineRule="exact"/>
        <w:rPr>
          <w:sz w:val="20"/>
          <w:szCs w:val="20"/>
          <w:color w:val="auto"/>
        </w:rPr>
      </w:pPr>
    </w:p>
    <w:p>
      <w:pPr>
        <w:ind w:right="60" w:firstLine="267"/>
        <w:spacing w:after="0" w:line="259" w:lineRule="auto"/>
        <w:rPr>
          <w:sz w:val="20"/>
          <w:szCs w:val="20"/>
          <w:color w:val="auto"/>
        </w:rPr>
      </w:pPr>
      <w:r>
        <w:rPr>
          <w:rFonts w:ascii="Arial" w:cs="Arial" w:eastAsia="Arial" w:hAnsi="Arial"/>
          <w:sz w:val="18"/>
          <w:szCs w:val="18"/>
          <w:color w:val="auto"/>
        </w:rPr>
        <w:t>The Company adopted SFAS 123R using the modified prospective method which requires the application of the accounting standard as of February 1, 2006. The Company’s consolidated financial statements as of and for the first quarter of fiscal 2007 reflect the impact of adopting SFAS 123R. In accordance with the modified prospective method, the consolidated financial statements for prior periods have not been restated to reflect, and do not include, the impact of SFAS 123R. See Note 7 “Stock-Based Compensation” for further details.</w:t>
      </w:r>
    </w:p>
    <w:p>
      <w:pPr>
        <w:spacing w:after="0" w:line="187" w:lineRule="exact"/>
        <w:rPr>
          <w:sz w:val="20"/>
          <w:szCs w:val="20"/>
          <w:color w:val="auto"/>
        </w:rPr>
      </w:pPr>
    </w:p>
    <w:p>
      <w:pPr>
        <w:ind w:firstLine="243"/>
        <w:spacing w:after="0" w:line="293" w:lineRule="auto"/>
        <w:rPr>
          <w:sz w:val="20"/>
          <w:szCs w:val="20"/>
          <w:color w:val="auto"/>
        </w:rPr>
      </w:pPr>
      <w:r>
        <w:rPr>
          <w:rFonts w:ascii="Arial" w:cs="Arial" w:eastAsia="Arial" w:hAnsi="Arial"/>
          <w:sz w:val="16"/>
          <w:szCs w:val="16"/>
          <w:color w:val="auto"/>
        </w:rPr>
        <w:t>SFAS 123R requires companies to estimate the fair value of share-based payment awards on the date of grant using an option-pricing model. The value of the portion of the award that is ultimately expected to vest is recognized as expense ratably over the requisite service periods. The Company has estimated the fair value of each award as of the date of grant or assumption using the Black-Scholes option pricing model, which was developed for use in estimating the value of traded options that have no vesting restrictions and that are freely transferable. The Black-Scholes model considers, among other factors, the expected life of the award and the expected volatility of the Company’s stock price. Although the Black-Scholes model meets the requirements of SFAS 123R and SAB 107, the fair values generated by the model may not be indicative of the actual fair values of the Company’s awards, as it</w:t>
      </w:r>
    </w:p>
    <w:p>
      <w:pPr>
        <w:spacing w:after="0" w:line="3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color w:val="auto"/>
        </w:rPr>
        <w:t>does not consider other factors important to those share-based payment awards, such as continued employment, periodic vesting requirements, and limited transferability.</w:t>
      </w:r>
    </w:p>
    <w:p>
      <w:pPr>
        <w:spacing w:after="0" w:line="170" w:lineRule="exact"/>
        <w:rPr>
          <w:sz w:val="20"/>
          <w:szCs w:val="20"/>
          <w:color w:val="auto"/>
        </w:rPr>
      </w:pPr>
    </w:p>
    <w:p>
      <w:pPr>
        <w:jc w:val="both"/>
        <w:ind w:right="220" w:firstLine="243"/>
        <w:spacing w:after="0" w:line="279" w:lineRule="auto"/>
        <w:rPr>
          <w:sz w:val="20"/>
          <w:szCs w:val="20"/>
          <w:color w:val="auto"/>
        </w:rPr>
      </w:pPr>
      <w:r>
        <w:rPr>
          <w:rFonts w:ascii="Arial" w:cs="Arial" w:eastAsia="Arial" w:hAnsi="Arial"/>
          <w:sz w:val="17"/>
          <w:szCs w:val="17"/>
          <w:color w:val="auto"/>
        </w:rPr>
        <w:t>SFAS 123R also requires forfeitures to be estimated at the time of grant and revised, if necessary, in subsequent periods if actual forfeitures differ from initial estimates. Stock-based compensation expense was recorded net of estimated forfeitures for the three months ended April 30, 2006 such that expense was recorded only for those stock-based awards that are expected to vest. Previously under APB 25 to the extent awards were forfeited prior to vesting, the corresponding previously recognized expense was reversed in the period of forfeiture.</w:t>
      </w:r>
    </w:p>
    <w:p>
      <w:pPr>
        <w:spacing w:after="0" w:line="171" w:lineRule="exact"/>
        <w:rPr>
          <w:sz w:val="20"/>
          <w:szCs w:val="20"/>
          <w:color w:val="auto"/>
        </w:rPr>
      </w:pPr>
    </w:p>
    <w:p>
      <w:pPr>
        <w:ind w:right="520" w:firstLine="243"/>
        <w:spacing w:after="0" w:line="291" w:lineRule="auto"/>
        <w:rPr>
          <w:sz w:val="20"/>
          <w:szCs w:val="20"/>
          <w:color w:val="auto"/>
        </w:rPr>
      </w:pPr>
      <w:r>
        <w:rPr>
          <w:rFonts w:ascii="Arial" w:cs="Arial" w:eastAsia="Arial" w:hAnsi="Arial"/>
          <w:sz w:val="16"/>
          <w:szCs w:val="16"/>
          <w:color w:val="auto"/>
        </w:rPr>
        <w:t xml:space="preserve">Prior to the adoption of SFAS 123R, the Company accounted for share-based payment awards to employees in accordance with APB 25 and related interpretations, and had adopted the disclosure-only alternative of SFAS No. 123, </w:t>
      </w:r>
      <w:r>
        <w:rPr>
          <w:rFonts w:ascii="Arial" w:cs="Arial" w:eastAsia="Arial" w:hAnsi="Arial"/>
          <w:sz w:val="16"/>
          <w:szCs w:val="16"/>
          <w:i w:val="1"/>
          <w:iCs w:val="1"/>
          <w:color w:val="auto"/>
        </w:rPr>
        <w:t>Accounting for Stock-Based Compensation</w:t>
      </w:r>
      <w:r>
        <w:rPr>
          <w:rFonts w:ascii="Arial" w:cs="Arial" w:eastAsia="Arial" w:hAnsi="Arial"/>
          <w:sz w:val="16"/>
          <w:szCs w:val="16"/>
          <w:color w:val="auto"/>
        </w:rPr>
        <w:t xml:space="preserve"> (“SFAS 123”) and</w:t>
      </w:r>
    </w:p>
    <w:p>
      <w:pPr>
        <w:spacing w:after="0"/>
        <w:rPr>
          <w:sz w:val="20"/>
          <w:szCs w:val="20"/>
          <w:color w:val="auto"/>
        </w:rPr>
      </w:pPr>
      <w:r>
        <w:rPr>
          <w:rFonts w:ascii="Arial" w:cs="Arial" w:eastAsia="Arial" w:hAnsi="Arial"/>
          <w:sz w:val="16"/>
          <w:szCs w:val="16"/>
          <w:color w:val="auto"/>
        </w:rPr>
        <w:t xml:space="preserve">SFAS No. 148, </w:t>
      </w:r>
      <w:r>
        <w:rPr>
          <w:rFonts w:ascii="Arial" w:cs="Arial" w:eastAsia="Arial" w:hAnsi="Arial"/>
          <w:sz w:val="16"/>
          <w:szCs w:val="16"/>
          <w:i w:val="1"/>
          <w:iCs w:val="1"/>
          <w:color w:val="auto"/>
        </w:rPr>
        <w:t>Accounting for Stock-Based Compensation — Transition and Disclosure.</w:t>
      </w:r>
      <w:r>
        <w:rPr>
          <w:rFonts w:ascii="Arial" w:cs="Arial" w:eastAsia="Arial" w:hAnsi="Arial"/>
          <w:sz w:val="16"/>
          <w:szCs w:val="16"/>
          <w:color w:val="auto"/>
        </w:rPr>
        <w:t xml:space="preserve"> In accordance with APB 25, stock-based compensation expense was</w:t>
      </w:r>
    </w:p>
    <w:p>
      <w:pPr>
        <w:sectPr>
          <w:pgSz w:w="11900" w:h="16838" w:orient="portrait"/>
          <w:cols w:equalWidth="0" w:num="1">
            <w:col w:w="11400"/>
          </w:cols>
          <w:pgMar w:left="240" w:top="125" w:right="259" w:bottom="0" w:gutter="0" w:footer="0" w:header="0"/>
        </w:sectPr>
      </w:pPr>
    </w:p>
    <w:bookmarkStart w:id="5" w:name="page6"/>
    <w:bookmarkEnd w:id="5"/>
    <w:p>
      <w:pPr>
        <w:spacing w:after="0" w:line="62" w:lineRule="exact"/>
        <w:rPr>
          <w:sz w:val="20"/>
          <w:szCs w:val="20"/>
          <w:color w:val="auto"/>
        </w:rPr>
      </w:pPr>
    </w:p>
    <w:p>
      <w:pPr>
        <w:spacing w:after="0" w:line="271" w:lineRule="auto"/>
        <w:rPr>
          <w:sz w:val="20"/>
          <w:szCs w:val="20"/>
          <w:color w:val="auto"/>
        </w:rPr>
      </w:pPr>
      <w:r>
        <w:rPr>
          <w:rFonts w:ascii="Arial" w:cs="Arial" w:eastAsia="Arial" w:hAnsi="Arial"/>
          <w:sz w:val="17"/>
          <w:szCs w:val="17"/>
          <w:color w:val="auto"/>
        </w:rPr>
        <w:t>not recorded in connection with share-based payment awards granted with exercise prices equal to or greater than the fair market value of the Company’s common stock on the date of grant, unless certain modifications were subsequently made. The Company recorded deferred compensation in connection with stock options granted, as well as stock options assumed in acquisitions, with exercise prices less than the fair market value of common stock on the date of grant or assumption in the case of acquisitions. The amount of such deferred compensation per share was equal to the excess of the fair market value over the exercise price on such date. The Company recorded deferred compensation in connection with restricted stock units equal to the fair market value of the common stock on the date of grant. Recorded deferred compensation was recognized as stock-based compensation expense ratably over the applicable vesting periods. In accordance with the provisions of SFAS 123R, all deferred compensation totaling $1.1 million previously recorded has been eliminated with a corresponding reduction in additional paid-in capital.</w:t>
      </w:r>
    </w:p>
    <w:p>
      <w:pPr>
        <w:spacing w:after="0" w:line="1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Reclassifications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7"/>
          <w:szCs w:val="17"/>
          <w:color w:val="auto"/>
        </w:rPr>
        <w:t>Certain amounts in the unaudited condensed consolidated financial statements have been reclassified to conform to the current period presentation.</w:t>
      </w:r>
    </w:p>
    <w:p>
      <w:pPr>
        <w:spacing w:after="0" w:line="233" w:lineRule="exact"/>
        <w:rPr>
          <w:sz w:val="20"/>
          <w:szCs w:val="20"/>
          <w:color w:val="auto"/>
        </w:rPr>
      </w:pPr>
    </w:p>
    <w:p>
      <w:pPr>
        <w:ind w:left="260" w:right="8420" w:hanging="252"/>
        <w:spacing w:after="0" w:line="566" w:lineRule="auto"/>
        <w:tabs>
          <w:tab w:leader="none" w:pos="181" w:val="left"/>
        </w:tabs>
        <w:numPr>
          <w:ilvl w:val="0"/>
          <w:numId w:val="4"/>
        </w:numPr>
        <w:rPr>
          <w:rFonts w:ascii="Arial" w:cs="Arial" w:eastAsia="Arial" w:hAnsi="Arial"/>
          <w:sz w:val="16"/>
          <w:szCs w:val="16"/>
          <w:b w:val="1"/>
          <w:bCs w:val="1"/>
          <w:color w:val="auto"/>
        </w:rPr>
      </w:pPr>
      <w:r>
        <w:rPr>
          <w:rFonts w:ascii="Arial" w:cs="Arial" w:eastAsia="Arial" w:hAnsi="Arial"/>
          <w:sz w:val="16"/>
          <w:szCs w:val="16"/>
          <w:b w:val="1"/>
          <w:bCs w:val="1"/>
          <w:color w:val="auto"/>
        </w:rPr>
        <w:t>Supplemental Financial Information Available-for-sale investments</w:t>
      </w:r>
    </w:p>
    <w:p>
      <w:pPr>
        <w:ind w:left="260"/>
        <w:spacing w:after="0"/>
        <w:rPr>
          <w:rFonts w:ascii="Arial" w:cs="Arial" w:eastAsia="Arial" w:hAnsi="Arial"/>
          <w:sz w:val="16"/>
          <w:szCs w:val="16"/>
          <w:b w:val="1"/>
          <w:bCs w:val="1"/>
          <w:color w:val="auto"/>
        </w:rPr>
      </w:pPr>
      <w:r>
        <w:rPr>
          <w:rFonts w:ascii="Arial" w:cs="Arial" w:eastAsia="Arial" w:hAnsi="Arial"/>
          <w:sz w:val="18"/>
          <w:szCs w:val="18"/>
          <w:color w:val="auto"/>
        </w:rPr>
        <w:t>The amortized cost and fair value of available-for-sale investments are presented in the following tables (in thousands):</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tbl>
      <w:tblPr>
        <w:tblLayout w:type="fixed"/>
        <w:tblInd w:w="1040" w:type="dxa"/>
        <w:tblCellMar>
          <w:top w:w="0" w:type="dxa"/>
          <w:left w:w="0" w:type="dxa"/>
          <w:bottom w:w="0" w:type="dxa"/>
          <w:right w:w="0" w:type="dxa"/>
        </w:tblCellMar>
      </w:tblPr>
      <w:tr>
        <w:trPr>
          <w:trHeight w:val="171"/>
        </w:trPr>
        <w:tc>
          <w:tcPr>
            <w:tcW w:w="43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680" w:type="dxa"/>
            <w:vAlign w:val="bottom"/>
            <w:tcBorders>
              <w:bottom w:val="single" w:sz="8" w:color="auto"/>
            </w:tcBorders>
            <w:gridSpan w:val="8"/>
          </w:tcPr>
          <w:p>
            <w:pPr>
              <w:ind w:left="280"/>
              <w:spacing w:after="0"/>
              <w:rPr>
                <w:sz w:val="20"/>
                <w:szCs w:val="20"/>
                <w:color w:val="auto"/>
              </w:rPr>
            </w:pPr>
            <w:r>
              <w:rPr>
                <w:rFonts w:ascii="Arial" w:cs="Arial" w:eastAsia="Arial" w:hAnsi="Arial"/>
                <w:sz w:val="14"/>
                <w:szCs w:val="14"/>
                <w:b w:val="1"/>
                <w:bCs w:val="1"/>
                <w:color w:val="auto"/>
              </w:rPr>
              <w:t>April 30, 2006</w:t>
            </w:r>
          </w:p>
        </w:tc>
        <w:tc>
          <w:tcPr>
            <w:tcW w:w="4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4360" w:type="dxa"/>
            <w:vAlign w:val="bottom"/>
          </w:tcPr>
          <w:p>
            <w:pPr>
              <w:spacing w:after="0"/>
              <w:rPr>
                <w:sz w:val="8"/>
                <w:szCs w:val="8"/>
                <w:color w:val="auto"/>
              </w:rPr>
            </w:pPr>
          </w:p>
        </w:tc>
        <w:tc>
          <w:tcPr>
            <w:tcW w:w="1300" w:type="dxa"/>
            <w:vAlign w:val="bottom"/>
          </w:tcPr>
          <w:p>
            <w:pPr>
              <w:spacing w:after="0"/>
              <w:rPr>
                <w:sz w:val="8"/>
                <w:szCs w:val="8"/>
                <w:color w:val="auto"/>
              </w:rPr>
            </w:pPr>
          </w:p>
        </w:tc>
        <w:tc>
          <w:tcPr>
            <w:tcW w:w="40" w:type="dxa"/>
            <w:vAlign w:val="bottom"/>
          </w:tcPr>
          <w:p>
            <w:pPr>
              <w:spacing w:after="0"/>
              <w:rPr>
                <w:sz w:val="8"/>
                <w:szCs w:val="8"/>
                <w:color w:val="auto"/>
              </w:rPr>
            </w:pPr>
          </w:p>
        </w:tc>
        <w:tc>
          <w:tcPr>
            <w:tcW w:w="820" w:type="dxa"/>
            <w:vAlign w:val="bottom"/>
            <w:gridSpan w:val="4"/>
            <w:vMerge w:val="restart"/>
          </w:tcPr>
          <w:p>
            <w:pPr>
              <w:jc w:val="right"/>
              <w:ind w:right="140"/>
              <w:spacing w:after="0"/>
              <w:rPr>
                <w:sz w:val="20"/>
                <w:szCs w:val="20"/>
                <w:color w:val="auto"/>
              </w:rPr>
            </w:pPr>
            <w:r>
              <w:rPr>
                <w:rFonts w:ascii="Arial" w:cs="Arial" w:eastAsia="Arial" w:hAnsi="Arial"/>
                <w:sz w:val="14"/>
                <w:szCs w:val="14"/>
                <w:b w:val="1"/>
                <w:bCs w:val="1"/>
                <w:color w:val="auto"/>
                <w:w w:val="96"/>
              </w:rPr>
              <w:t>Amortized</w:t>
            </w:r>
          </w:p>
        </w:tc>
        <w:tc>
          <w:tcPr>
            <w:tcW w:w="80" w:type="dxa"/>
            <w:vAlign w:val="bottom"/>
          </w:tcPr>
          <w:p>
            <w:pPr>
              <w:spacing w:after="0"/>
              <w:rPr>
                <w:sz w:val="8"/>
                <w:szCs w:val="8"/>
                <w:color w:val="auto"/>
              </w:rPr>
            </w:pPr>
          </w:p>
        </w:tc>
        <w:tc>
          <w:tcPr>
            <w:tcW w:w="40" w:type="dxa"/>
            <w:vAlign w:val="bottom"/>
          </w:tcPr>
          <w:p>
            <w:pPr>
              <w:spacing w:after="0"/>
              <w:rPr>
                <w:sz w:val="8"/>
                <w:szCs w:val="8"/>
                <w:color w:val="auto"/>
              </w:rPr>
            </w:pPr>
          </w:p>
        </w:tc>
        <w:tc>
          <w:tcPr>
            <w:tcW w:w="120" w:type="dxa"/>
            <w:vAlign w:val="bottom"/>
          </w:tcPr>
          <w:p>
            <w:pPr>
              <w:spacing w:after="0"/>
              <w:rPr>
                <w:sz w:val="8"/>
                <w:szCs w:val="8"/>
                <w:color w:val="auto"/>
              </w:rPr>
            </w:pPr>
          </w:p>
        </w:tc>
        <w:tc>
          <w:tcPr>
            <w:tcW w:w="600" w:type="dxa"/>
            <w:vAlign w:val="bottom"/>
            <w:gridSpan w:val="2"/>
          </w:tcPr>
          <w:p>
            <w:pPr>
              <w:ind w:left="60"/>
              <w:spacing w:after="0" w:line="102" w:lineRule="exact"/>
              <w:rPr>
                <w:sz w:val="20"/>
                <w:szCs w:val="20"/>
                <w:color w:val="auto"/>
              </w:rPr>
            </w:pPr>
            <w:r>
              <w:rPr>
                <w:rFonts w:ascii="Arial" w:cs="Arial" w:eastAsia="Arial" w:hAnsi="Arial"/>
                <w:sz w:val="11"/>
                <w:szCs w:val="11"/>
                <w:b w:val="1"/>
                <w:bCs w:val="1"/>
                <w:color w:val="auto"/>
              </w:rPr>
              <w:t>Gross</w:t>
            </w:r>
          </w:p>
        </w:tc>
        <w:tc>
          <w:tcPr>
            <w:tcW w:w="180" w:type="dxa"/>
            <w:vAlign w:val="bottom"/>
          </w:tcPr>
          <w:p>
            <w:pPr>
              <w:spacing w:after="0"/>
              <w:rPr>
                <w:sz w:val="8"/>
                <w:szCs w:val="8"/>
                <w:color w:val="auto"/>
              </w:rPr>
            </w:pPr>
          </w:p>
        </w:tc>
        <w:tc>
          <w:tcPr>
            <w:tcW w:w="40" w:type="dxa"/>
            <w:vAlign w:val="bottom"/>
          </w:tcPr>
          <w:p>
            <w:pPr>
              <w:spacing w:after="0"/>
              <w:rPr>
                <w:sz w:val="8"/>
                <w:szCs w:val="8"/>
                <w:color w:val="auto"/>
              </w:rPr>
            </w:pPr>
          </w:p>
        </w:tc>
        <w:tc>
          <w:tcPr>
            <w:tcW w:w="100" w:type="dxa"/>
            <w:vAlign w:val="bottom"/>
          </w:tcPr>
          <w:p>
            <w:pPr>
              <w:spacing w:after="0"/>
              <w:rPr>
                <w:sz w:val="8"/>
                <w:szCs w:val="8"/>
                <w:color w:val="auto"/>
              </w:rPr>
            </w:pPr>
          </w:p>
        </w:tc>
        <w:tc>
          <w:tcPr>
            <w:tcW w:w="760" w:type="dxa"/>
            <w:vAlign w:val="bottom"/>
            <w:gridSpan w:val="3"/>
          </w:tcPr>
          <w:p>
            <w:pPr>
              <w:jc w:val="center"/>
              <w:ind w:right="160"/>
              <w:spacing w:after="0" w:line="102" w:lineRule="exact"/>
              <w:rPr>
                <w:sz w:val="20"/>
                <w:szCs w:val="20"/>
                <w:color w:val="auto"/>
              </w:rPr>
            </w:pPr>
            <w:r>
              <w:rPr>
                <w:rFonts w:ascii="Arial" w:cs="Arial" w:eastAsia="Arial" w:hAnsi="Arial"/>
                <w:sz w:val="11"/>
                <w:szCs w:val="11"/>
                <w:b w:val="1"/>
                <w:bCs w:val="1"/>
                <w:color w:val="auto"/>
              </w:rPr>
              <w:t>Gross</w:t>
            </w:r>
          </w:p>
        </w:tc>
        <w:tc>
          <w:tcPr>
            <w:tcW w:w="40" w:type="dxa"/>
            <w:vAlign w:val="bottom"/>
          </w:tcPr>
          <w:p>
            <w:pPr>
              <w:spacing w:after="0"/>
              <w:rPr>
                <w:sz w:val="8"/>
                <w:szCs w:val="8"/>
                <w:color w:val="auto"/>
              </w:rPr>
            </w:pPr>
          </w:p>
        </w:tc>
        <w:tc>
          <w:tcPr>
            <w:tcW w:w="40" w:type="dxa"/>
            <w:vAlign w:val="bottom"/>
          </w:tcPr>
          <w:p>
            <w:pPr>
              <w:spacing w:after="0"/>
              <w:rPr>
                <w:sz w:val="8"/>
                <w:szCs w:val="8"/>
                <w:color w:val="auto"/>
              </w:rPr>
            </w:pPr>
          </w:p>
        </w:tc>
        <w:tc>
          <w:tcPr>
            <w:tcW w:w="820" w:type="dxa"/>
            <w:vAlign w:val="bottom"/>
            <w:gridSpan w:val="4"/>
            <w:vMerge w:val="restart"/>
          </w:tcPr>
          <w:p>
            <w:pPr>
              <w:ind w:left="60"/>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35"/>
        </w:trPr>
        <w:tc>
          <w:tcPr>
            <w:tcW w:w="4360" w:type="dxa"/>
            <w:vAlign w:val="bottom"/>
          </w:tcPr>
          <w:p>
            <w:pPr>
              <w:spacing w:after="0"/>
              <w:rPr>
                <w:sz w:val="11"/>
                <w:szCs w:val="11"/>
                <w:color w:val="auto"/>
              </w:rPr>
            </w:pPr>
          </w:p>
        </w:tc>
        <w:tc>
          <w:tcPr>
            <w:tcW w:w="1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20" w:type="dxa"/>
            <w:vAlign w:val="bottom"/>
            <w:gridSpan w:val="4"/>
            <w:vMerge w:val="continue"/>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3"/>
          </w:tcPr>
          <w:p>
            <w:pPr>
              <w:ind w:left="20"/>
              <w:spacing w:after="0" w:line="135" w:lineRule="exact"/>
              <w:rPr>
                <w:sz w:val="20"/>
                <w:szCs w:val="20"/>
                <w:color w:val="auto"/>
              </w:rPr>
            </w:pPr>
            <w:r>
              <w:rPr>
                <w:rFonts w:ascii="Arial" w:cs="Arial" w:eastAsia="Arial" w:hAnsi="Arial"/>
                <w:sz w:val="14"/>
                <w:szCs w:val="14"/>
                <w:b w:val="1"/>
                <w:bCs w:val="1"/>
                <w:color w:val="auto"/>
                <w:w w:val="95"/>
              </w:rPr>
              <w:t>Unrealized</w:t>
            </w: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60" w:type="dxa"/>
            <w:vAlign w:val="bottom"/>
            <w:gridSpan w:val="4"/>
          </w:tcPr>
          <w:p>
            <w:pPr>
              <w:jc w:val="center"/>
              <w:ind w:right="60"/>
              <w:spacing w:after="0" w:line="135" w:lineRule="exact"/>
              <w:rPr>
                <w:sz w:val="20"/>
                <w:szCs w:val="20"/>
                <w:color w:val="auto"/>
              </w:rPr>
            </w:pPr>
            <w:r>
              <w:rPr>
                <w:rFonts w:ascii="Arial" w:cs="Arial" w:eastAsia="Arial" w:hAnsi="Arial"/>
                <w:sz w:val="14"/>
                <w:szCs w:val="14"/>
                <w:b w:val="1"/>
                <w:bCs w:val="1"/>
                <w:color w:val="auto"/>
                <w:w w:val="95"/>
              </w:rPr>
              <w:t>Unrealized</w:t>
            </w:r>
          </w:p>
        </w:tc>
        <w:tc>
          <w:tcPr>
            <w:tcW w:w="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20" w:type="dxa"/>
            <w:vAlign w:val="bottom"/>
            <w:gridSpan w:val="4"/>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43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gridSpan w:val="3"/>
          </w:tcPr>
          <w:p>
            <w:pPr>
              <w:jc w:val="right"/>
              <w:ind w:right="320"/>
              <w:spacing w:after="0"/>
              <w:rPr>
                <w:sz w:val="20"/>
                <w:szCs w:val="20"/>
                <w:color w:val="auto"/>
              </w:rPr>
            </w:pPr>
            <w:r>
              <w:rPr>
                <w:rFonts w:ascii="Arial" w:cs="Arial" w:eastAsia="Arial" w:hAnsi="Arial"/>
                <w:sz w:val="14"/>
                <w:szCs w:val="14"/>
                <w:b w:val="1"/>
                <w:bCs w:val="1"/>
                <w:color w:val="auto"/>
              </w:rPr>
              <w:t>Cost</w:t>
            </w: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0" w:type="dxa"/>
            <w:vAlign w:val="bottom"/>
            <w:gridSpan w:val="2"/>
          </w:tcPr>
          <w:p>
            <w:pPr>
              <w:ind w:left="60"/>
              <w:spacing w:after="0"/>
              <w:rPr>
                <w:sz w:val="20"/>
                <w:szCs w:val="20"/>
                <w:color w:val="auto"/>
              </w:rPr>
            </w:pPr>
            <w:r>
              <w:rPr>
                <w:rFonts w:ascii="Arial" w:cs="Arial" w:eastAsia="Arial" w:hAnsi="Arial"/>
                <w:sz w:val="14"/>
                <w:szCs w:val="14"/>
                <w:b w:val="1"/>
                <w:bCs w:val="1"/>
                <w:color w:val="auto"/>
              </w:rPr>
              <w:t>Gains</w:t>
            </w:r>
          </w:p>
        </w:tc>
        <w:tc>
          <w:tcPr>
            <w:tcW w:w="1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gridSpan w:val="3"/>
          </w:tcPr>
          <w:p>
            <w:pPr>
              <w:jc w:val="center"/>
              <w:ind w:right="160"/>
              <w:spacing w:after="0"/>
              <w:rPr>
                <w:sz w:val="20"/>
                <w:szCs w:val="20"/>
                <w:color w:val="auto"/>
              </w:rPr>
            </w:pPr>
            <w:r>
              <w:rPr>
                <w:rFonts w:ascii="Arial" w:cs="Arial" w:eastAsia="Arial" w:hAnsi="Arial"/>
                <w:sz w:val="14"/>
                <w:szCs w:val="14"/>
                <w:b w:val="1"/>
                <w:bCs w:val="1"/>
                <w:color w:val="auto"/>
                <w:w w:val="82"/>
              </w:rPr>
              <w:t>Losses</w:t>
            </w:r>
          </w:p>
        </w:tc>
        <w:tc>
          <w:tcPr>
            <w:tcW w:w="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20" w:type="dxa"/>
            <w:vAlign w:val="bottom"/>
            <w:gridSpan w:val="4"/>
          </w:tcPr>
          <w:p>
            <w:pPr>
              <w:ind w:left="6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210"/>
        </w:trPr>
        <w:tc>
          <w:tcPr>
            <w:tcW w:w="43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130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5"/>
                <w:szCs w:val="15"/>
                <w:color w:val="auto"/>
                <w:w w:val="71"/>
              </w:rPr>
              <w:t>$</w:t>
            </w:r>
          </w:p>
        </w:tc>
        <w:tc>
          <w:tcPr>
            <w:tcW w:w="64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28,375</w:t>
            </w:r>
          </w:p>
        </w:tc>
        <w:tc>
          <w:tcPr>
            <w:tcW w:w="1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tcBorders>
            <w:gridSpan w:val="2"/>
            <w:shd w:val="clear" w:color="auto" w:fill="CCEEFF"/>
          </w:tcPr>
          <w:p>
            <w:pPr>
              <w:ind w:left="420"/>
              <w:spacing w:after="0"/>
              <w:rPr>
                <w:sz w:val="20"/>
                <w:szCs w:val="20"/>
                <w:color w:val="auto"/>
              </w:rPr>
            </w:pPr>
            <w:r>
              <w:rPr>
                <w:rFonts w:ascii="Arial" w:cs="Arial" w:eastAsia="Arial" w:hAnsi="Arial"/>
                <w:sz w:val="18"/>
                <w:szCs w:val="18"/>
                <w:color w:val="auto"/>
                <w:w w:val="88"/>
              </w:rPr>
              <w:t>—</w:t>
            </w:r>
          </w:p>
        </w:tc>
        <w:tc>
          <w:tcPr>
            <w:tcW w:w="18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64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(494)</w:t>
            </w:r>
          </w:p>
        </w:tc>
        <w:tc>
          <w:tcPr>
            <w:tcW w:w="12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64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27,881</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60" w:type="dxa"/>
            <w:vAlign w:val="bottom"/>
          </w:tcPr>
          <w:p>
            <w:pPr>
              <w:spacing w:after="0"/>
              <w:rPr>
                <w:sz w:val="20"/>
                <w:szCs w:val="20"/>
                <w:color w:val="auto"/>
              </w:rPr>
            </w:pPr>
            <w:r>
              <w:rPr>
                <w:rFonts w:ascii="Arial" w:cs="Arial" w:eastAsia="Arial" w:hAnsi="Arial"/>
                <w:sz w:val="18"/>
                <w:szCs w:val="18"/>
                <w:color w:val="auto"/>
              </w:rPr>
              <w:t>Auction rate securities</w:t>
            </w:r>
          </w:p>
        </w:tc>
        <w:tc>
          <w:tcPr>
            <w:tcW w:w="13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w w:val="95"/>
              </w:rPr>
              <w:t>263,086</w:t>
            </w: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gridSpan w:val="2"/>
          </w:tcPr>
          <w:p>
            <w:pPr>
              <w:ind w:left="420"/>
              <w:spacing w:after="0"/>
              <w:rPr>
                <w:sz w:val="20"/>
                <w:szCs w:val="20"/>
                <w:color w:val="auto"/>
              </w:rPr>
            </w:pPr>
            <w:r>
              <w:rPr>
                <w:rFonts w:ascii="Arial" w:cs="Arial" w:eastAsia="Arial" w:hAnsi="Arial"/>
                <w:sz w:val="18"/>
                <w:szCs w:val="18"/>
                <w:color w:val="auto"/>
                <w:w w:val="88"/>
              </w:rPr>
              <w:t>—</w:t>
            </w: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3"/>
          </w:tcPr>
          <w:p>
            <w:pPr>
              <w:jc w:val="right"/>
              <w:ind w:right="6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w w:val="95"/>
              </w:rPr>
              <w:t>263,086</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60" w:type="dxa"/>
            <w:vAlign w:val="bottom"/>
            <w:shd w:val="clear" w:color="auto" w:fill="CCEEFF"/>
          </w:tcPr>
          <w:p>
            <w:pPr>
              <w:spacing w:after="0"/>
              <w:rPr>
                <w:sz w:val="20"/>
                <w:szCs w:val="20"/>
                <w:color w:val="auto"/>
              </w:rPr>
            </w:pPr>
            <w:r>
              <w:rPr>
                <w:rFonts w:ascii="Arial" w:cs="Arial" w:eastAsia="Arial" w:hAnsi="Arial"/>
                <w:sz w:val="18"/>
                <w:szCs w:val="18"/>
                <w:color w:val="auto"/>
                <w:w w:val="95"/>
              </w:rPr>
              <w:t>U.S. Federal, State, county and municipal debt securities</w:t>
            </w:r>
          </w:p>
        </w:tc>
        <w:tc>
          <w:tcPr>
            <w:tcW w:w="13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5"/>
              </w:rPr>
              <w:t>102,555</w:t>
            </w: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w w:val="88"/>
              </w:rPr>
              <w:t>—</w:t>
            </w:r>
          </w:p>
        </w:tc>
        <w:tc>
          <w:tcPr>
            <w:tcW w:w="1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(1,501)</w:t>
            </w: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5"/>
              </w:rPr>
              <w:t>101,054</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360" w:type="dxa"/>
            <w:vAlign w:val="bottom"/>
          </w:tcPr>
          <w:p>
            <w:pPr>
              <w:spacing w:after="0"/>
              <w:rPr>
                <w:sz w:val="20"/>
                <w:szCs w:val="20"/>
                <w:color w:val="auto"/>
              </w:rPr>
            </w:pPr>
            <w:r>
              <w:rPr>
                <w:rFonts w:ascii="Arial" w:cs="Arial" w:eastAsia="Arial" w:hAnsi="Arial"/>
                <w:sz w:val="18"/>
                <w:szCs w:val="18"/>
                <w:color w:val="auto"/>
              </w:rPr>
              <w:t>Short-term investments</w:t>
            </w:r>
          </w:p>
        </w:tc>
        <w:tc>
          <w:tcPr>
            <w:tcW w:w="13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720" w:type="dxa"/>
            <w:vAlign w:val="bottom"/>
            <w:tcBorders>
              <w:top w:val="single" w:sz="8" w:color="auto"/>
              <w:bottom w:val="single" w:sz="8" w:color="auto"/>
            </w:tcBorders>
            <w:gridSpan w:val="3"/>
          </w:tcPr>
          <w:p>
            <w:pPr>
              <w:jc w:val="right"/>
              <w:spacing w:after="0"/>
              <w:rPr>
                <w:sz w:val="20"/>
                <w:szCs w:val="20"/>
                <w:color w:val="auto"/>
              </w:rPr>
            </w:pPr>
            <w:r>
              <w:rPr>
                <w:rFonts w:ascii="Arial" w:cs="Arial" w:eastAsia="Arial" w:hAnsi="Arial"/>
                <w:sz w:val="18"/>
                <w:szCs w:val="18"/>
                <w:color w:val="auto"/>
                <w:w w:val="87"/>
              </w:rPr>
              <w:t>$ 394,016</w:t>
            </w:r>
          </w:p>
        </w:tc>
        <w:tc>
          <w:tcPr>
            <w:tcW w:w="1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bottom w:val="single" w:sz="8" w:color="auto"/>
            </w:tcBorders>
            <w:gridSpan w:val="2"/>
          </w:tcPr>
          <w:p>
            <w:pPr>
              <w:ind w:left="420"/>
              <w:spacing w:after="0"/>
              <w:rPr>
                <w:sz w:val="20"/>
                <w:szCs w:val="20"/>
                <w:color w:val="auto"/>
              </w:rPr>
            </w:pPr>
            <w:r>
              <w:rPr>
                <w:rFonts w:ascii="Arial" w:cs="Arial" w:eastAsia="Arial" w:hAnsi="Arial"/>
                <w:sz w:val="18"/>
                <w:szCs w:val="18"/>
                <w:color w:val="auto"/>
                <w:w w:val="88"/>
              </w:rPr>
              <w:t>—</w:t>
            </w:r>
          </w:p>
        </w:tc>
        <w:tc>
          <w:tcPr>
            <w:tcW w:w="1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64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(1,995</w:t>
            </w:r>
          </w:p>
        </w:tc>
        <w:tc>
          <w:tcPr>
            <w:tcW w:w="120" w:type="dxa"/>
            <w:vAlign w:val="bottom"/>
          </w:tcPr>
          <w:p>
            <w:pPr>
              <w:jc w:val="right"/>
              <w:spacing w:after="0"/>
              <w:rPr>
                <w:sz w:val="20"/>
                <w:szCs w:val="20"/>
                <w:color w:val="auto"/>
              </w:rPr>
            </w:pPr>
            <w:r>
              <w:rPr>
                <w:rFonts w:ascii="Arial" w:cs="Arial" w:eastAsia="Arial" w:hAnsi="Arial"/>
                <w:sz w:val="16"/>
                <w:szCs w:val="16"/>
                <w:color w:val="auto"/>
                <w:w w:val="74"/>
              </w:rPr>
              <w:t>)</w:t>
            </w:r>
          </w:p>
        </w:tc>
        <w:tc>
          <w:tcPr>
            <w:tcW w:w="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760" w:type="dxa"/>
            <w:vAlign w:val="bottom"/>
            <w:tcBorders>
              <w:top w:val="single" w:sz="8" w:color="auto"/>
              <w:bottom w:val="single" w:sz="8" w:color="auto"/>
            </w:tcBorders>
            <w:gridSpan w:val="3"/>
          </w:tcPr>
          <w:p>
            <w:pPr>
              <w:jc w:val="right"/>
              <w:spacing w:after="0"/>
              <w:rPr>
                <w:sz w:val="20"/>
                <w:szCs w:val="20"/>
                <w:color w:val="auto"/>
              </w:rPr>
            </w:pPr>
            <w:r>
              <w:rPr>
                <w:rFonts w:ascii="Arial" w:cs="Arial" w:eastAsia="Arial" w:hAnsi="Arial"/>
                <w:sz w:val="18"/>
                <w:szCs w:val="18"/>
                <w:color w:val="auto"/>
                <w:w w:val="92"/>
              </w:rPr>
              <w:t>$ 392,021</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36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700" w:type="dxa"/>
            <w:vAlign w:val="bottom"/>
            <w:tcBorders>
              <w:bottom w:val="single" w:sz="8" w:color="auto"/>
            </w:tcBorders>
            <w:gridSpan w:val="2"/>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48"/>
        </w:trPr>
        <w:tc>
          <w:tcPr>
            <w:tcW w:w="436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60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680" w:type="dxa"/>
            <w:vAlign w:val="bottom"/>
            <w:tcBorders>
              <w:bottom w:val="single" w:sz="8" w:color="auto"/>
            </w:tcBorders>
            <w:gridSpan w:val="8"/>
          </w:tcPr>
          <w:p>
            <w:pPr>
              <w:ind w:left="160"/>
              <w:spacing w:after="0"/>
              <w:rPr>
                <w:sz w:val="20"/>
                <w:szCs w:val="20"/>
                <w:color w:val="auto"/>
              </w:rPr>
            </w:pPr>
            <w:r>
              <w:rPr>
                <w:rFonts w:ascii="Arial" w:cs="Arial" w:eastAsia="Arial" w:hAnsi="Arial"/>
                <w:sz w:val="14"/>
                <w:szCs w:val="14"/>
                <w:b w:val="1"/>
                <w:bCs w:val="1"/>
                <w:color w:val="auto"/>
              </w:rPr>
              <w:t>January 31, 2006</w:t>
            </w:r>
          </w:p>
        </w:tc>
        <w:tc>
          <w:tcPr>
            <w:tcW w:w="4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600" w:type="dxa"/>
            <w:vAlign w:val="bottom"/>
            <w:tcBorders>
              <w:bottom w:val="single" w:sz="8" w:color="auto"/>
            </w:tcBorders>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2"/>
        </w:trPr>
        <w:tc>
          <w:tcPr>
            <w:tcW w:w="4360" w:type="dxa"/>
            <w:vAlign w:val="bottom"/>
          </w:tcPr>
          <w:p>
            <w:pPr>
              <w:spacing w:after="0"/>
              <w:rPr>
                <w:sz w:val="8"/>
                <w:szCs w:val="8"/>
                <w:color w:val="auto"/>
              </w:rPr>
            </w:pPr>
          </w:p>
        </w:tc>
        <w:tc>
          <w:tcPr>
            <w:tcW w:w="1300" w:type="dxa"/>
            <w:vAlign w:val="bottom"/>
          </w:tcPr>
          <w:p>
            <w:pPr>
              <w:spacing w:after="0"/>
              <w:rPr>
                <w:sz w:val="8"/>
                <w:szCs w:val="8"/>
                <w:color w:val="auto"/>
              </w:rPr>
            </w:pPr>
          </w:p>
        </w:tc>
        <w:tc>
          <w:tcPr>
            <w:tcW w:w="860" w:type="dxa"/>
            <w:vAlign w:val="bottom"/>
            <w:gridSpan w:val="5"/>
            <w:vMerge w:val="restart"/>
          </w:tcPr>
          <w:p>
            <w:pPr>
              <w:ind w:left="20"/>
              <w:spacing w:after="0"/>
              <w:rPr>
                <w:sz w:val="20"/>
                <w:szCs w:val="20"/>
                <w:color w:val="auto"/>
              </w:rPr>
            </w:pPr>
            <w:r>
              <w:rPr>
                <w:rFonts w:ascii="Arial" w:cs="Arial" w:eastAsia="Arial" w:hAnsi="Arial"/>
                <w:sz w:val="14"/>
                <w:szCs w:val="14"/>
                <w:b w:val="1"/>
                <w:bCs w:val="1"/>
                <w:color w:val="auto"/>
              </w:rPr>
              <w:t>Amortized</w:t>
            </w:r>
          </w:p>
        </w:tc>
        <w:tc>
          <w:tcPr>
            <w:tcW w:w="80" w:type="dxa"/>
            <w:vAlign w:val="bottom"/>
          </w:tcPr>
          <w:p>
            <w:pPr>
              <w:spacing w:after="0"/>
              <w:rPr>
                <w:sz w:val="8"/>
                <w:szCs w:val="8"/>
                <w:color w:val="auto"/>
              </w:rPr>
            </w:pPr>
          </w:p>
        </w:tc>
        <w:tc>
          <w:tcPr>
            <w:tcW w:w="40" w:type="dxa"/>
            <w:vAlign w:val="bottom"/>
          </w:tcPr>
          <w:p>
            <w:pPr>
              <w:spacing w:after="0"/>
              <w:rPr>
                <w:sz w:val="8"/>
                <w:szCs w:val="8"/>
                <w:color w:val="auto"/>
              </w:rPr>
            </w:pPr>
          </w:p>
        </w:tc>
        <w:tc>
          <w:tcPr>
            <w:tcW w:w="120" w:type="dxa"/>
            <w:vAlign w:val="bottom"/>
          </w:tcPr>
          <w:p>
            <w:pPr>
              <w:spacing w:after="0"/>
              <w:rPr>
                <w:sz w:val="8"/>
                <w:szCs w:val="8"/>
                <w:color w:val="auto"/>
              </w:rPr>
            </w:pPr>
          </w:p>
        </w:tc>
        <w:tc>
          <w:tcPr>
            <w:tcW w:w="600" w:type="dxa"/>
            <w:vAlign w:val="bottom"/>
            <w:gridSpan w:val="2"/>
          </w:tcPr>
          <w:p>
            <w:pPr>
              <w:ind w:left="20"/>
              <w:spacing w:after="0" w:line="102" w:lineRule="exact"/>
              <w:rPr>
                <w:sz w:val="20"/>
                <w:szCs w:val="20"/>
                <w:color w:val="auto"/>
              </w:rPr>
            </w:pPr>
            <w:r>
              <w:rPr>
                <w:rFonts w:ascii="Arial" w:cs="Arial" w:eastAsia="Arial" w:hAnsi="Arial"/>
                <w:sz w:val="11"/>
                <w:szCs w:val="11"/>
                <w:b w:val="1"/>
                <w:bCs w:val="1"/>
                <w:color w:val="auto"/>
              </w:rPr>
              <w:t>Gross</w:t>
            </w:r>
          </w:p>
        </w:tc>
        <w:tc>
          <w:tcPr>
            <w:tcW w:w="180" w:type="dxa"/>
            <w:vAlign w:val="bottom"/>
          </w:tcPr>
          <w:p>
            <w:pPr>
              <w:spacing w:after="0"/>
              <w:rPr>
                <w:sz w:val="8"/>
                <w:szCs w:val="8"/>
                <w:color w:val="auto"/>
              </w:rPr>
            </w:pPr>
          </w:p>
        </w:tc>
        <w:tc>
          <w:tcPr>
            <w:tcW w:w="40" w:type="dxa"/>
            <w:vAlign w:val="bottom"/>
          </w:tcPr>
          <w:p>
            <w:pPr>
              <w:spacing w:after="0"/>
              <w:rPr>
                <w:sz w:val="8"/>
                <w:szCs w:val="8"/>
                <w:color w:val="auto"/>
              </w:rPr>
            </w:pPr>
          </w:p>
        </w:tc>
        <w:tc>
          <w:tcPr>
            <w:tcW w:w="100" w:type="dxa"/>
            <w:vAlign w:val="bottom"/>
          </w:tcPr>
          <w:p>
            <w:pPr>
              <w:spacing w:after="0"/>
              <w:rPr>
                <w:sz w:val="8"/>
                <w:szCs w:val="8"/>
                <w:color w:val="auto"/>
              </w:rPr>
            </w:pPr>
          </w:p>
        </w:tc>
        <w:tc>
          <w:tcPr>
            <w:tcW w:w="760" w:type="dxa"/>
            <w:vAlign w:val="bottom"/>
            <w:gridSpan w:val="3"/>
          </w:tcPr>
          <w:p>
            <w:pPr>
              <w:jc w:val="right"/>
              <w:ind w:right="280"/>
              <w:spacing w:after="0" w:line="102" w:lineRule="exact"/>
              <w:rPr>
                <w:sz w:val="20"/>
                <w:szCs w:val="20"/>
                <w:color w:val="auto"/>
              </w:rPr>
            </w:pPr>
            <w:r>
              <w:rPr>
                <w:rFonts w:ascii="Arial" w:cs="Arial" w:eastAsia="Arial" w:hAnsi="Arial"/>
                <w:sz w:val="11"/>
                <w:szCs w:val="11"/>
                <w:b w:val="1"/>
                <w:bCs w:val="1"/>
                <w:color w:val="auto"/>
              </w:rPr>
              <w:t>Gross</w:t>
            </w:r>
          </w:p>
        </w:tc>
        <w:tc>
          <w:tcPr>
            <w:tcW w:w="40" w:type="dxa"/>
            <w:vAlign w:val="bottom"/>
          </w:tcPr>
          <w:p>
            <w:pPr>
              <w:spacing w:after="0"/>
              <w:rPr>
                <w:sz w:val="8"/>
                <w:szCs w:val="8"/>
                <w:color w:val="auto"/>
              </w:rPr>
            </w:pPr>
          </w:p>
        </w:tc>
        <w:tc>
          <w:tcPr>
            <w:tcW w:w="40" w:type="dxa"/>
            <w:vAlign w:val="bottom"/>
          </w:tcPr>
          <w:p>
            <w:pPr>
              <w:spacing w:after="0"/>
              <w:rPr>
                <w:sz w:val="8"/>
                <w:szCs w:val="8"/>
                <w:color w:val="auto"/>
              </w:rPr>
            </w:pPr>
          </w:p>
        </w:tc>
        <w:tc>
          <w:tcPr>
            <w:tcW w:w="820" w:type="dxa"/>
            <w:vAlign w:val="bottom"/>
            <w:gridSpan w:val="4"/>
            <w:vMerge w:val="restart"/>
          </w:tcPr>
          <w:p>
            <w:pPr>
              <w:ind w:left="20"/>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35"/>
        </w:trPr>
        <w:tc>
          <w:tcPr>
            <w:tcW w:w="4360" w:type="dxa"/>
            <w:vAlign w:val="bottom"/>
          </w:tcPr>
          <w:p>
            <w:pPr>
              <w:spacing w:after="0"/>
              <w:rPr>
                <w:sz w:val="11"/>
                <w:szCs w:val="11"/>
                <w:color w:val="auto"/>
              </w:rPr>
            </w:pPr>
          </w:p>
        </w:tc>
        <w:tc>
          <w:tcPr>
            <w:tcW w:w="1300" w:type="dxa"/>
            <w:vAlign w:val="bottom"/>
          </w:tcPr>
          <w:p>
            <w:pPr>
              <w:spacing w:after="0"/>
              <w:rPr>
                <w:sz w:val="11"/>
                <w:szCs w:val="11"/>
                <w:color w:val="auto"/>
              </w:rPr>
            </w:pPr>
          </w:p>
        </w:tc>
        <w:tc>
          <w:tcPr>
            <w:tcW w:w="860" w:type="dxa"/>
            <w:vAlign w:val="bottom"/>
            <w:gridSpan w:val="5"/>
            <w:vMerge w:val="continue"/>
          </w:tcPr>
          <w:p>
            <w:pPr>
              <w:spacing w:after="0"/>
              <w:rPr>
                <w:sz w:val="11"/>
                <w:szCs w:val="11"/>
                <w:color w:val="auto"/>
              </w:rPr>
            </w:pPr>
          </w:p>
        </w:tc>
        <w:tc>
          <w:tcPr>
            <w:tcW w:w="80" w:type="dxa"/>
            <w:vAlign w:val="bottom"/>
          </w:tcPr>
          <w:p>
            <w:pPr>
              <w:spacing w:after="0"/>
              <w:rPr>
                <w:sz w:val="11"/>
                <w:szCs w:val="11"/>
                <w:color w:val="auto"/>
              </w:rPr>
            </w:pPr>
          </w:p>
        </w:tc>
        <w:tc>
          <w:tcPr>
            <w:tcW w:w="760" w:type="dxa"/>
            <w:vAlign w:val="bottom"/>
            <w:gridSpan w:val="4"/>
          </w:tcPr>
          <w:p>
            <w:pPr>
              <w:ind w:left="20"/>
              <w:spacing w:after="0" w:line="135" w:lineRule="exact"/>
              <w:rPr>
                <w:sz w:val="20"/>
                <w:szCs w:val="20"/>
                <w:color w:val="auto"/>
              </w:rPr>
            </w:pPr>
            <w:r>
              <w:rPr>
                <w:rFonts w:ascii="Arial" w:cs="Arial" w:eastAsia="Arial" w:hAnsi="Arial"/>
                <w:sz w:val="14"/>
                <w:szCs w:val="14"/>
                <w:b w:val="1"/>
                <w:bCs w:val="1"/>
                <w:color w:val="auto"/>
              </w:rPr>
              <w:t>Unrealized</w:t>
            </w:r>
          </w:p>
        </w:tc>
        <w:tc>
          <w:tcPr>
            <w:tcW w:w="180" w:type="dxa"/>
            <w:vAlign w:val="bottom"/>
          </w:tcPr>
          <w:p>
            <w:pPr>
              <w:spacing w:after="0"/>
              <w:rPr>
                <w:sz w:val="11"/>
                <w:szCs w:val="11"/>
                <w:color w:val="auto"/>
              </w:rPr>
            </w:pPr>
          </w:p>
        </w:tc>
        <w:tc>
          <w:tcPr>
            <w:tcW w:w="900" w:type="dxa"/>
            <w:vAlign w:val="bottom"/>
            <w:gridSpan w:val="5"/>
          </w:tcPr>
          <w:p>
            <w:pPr>
              <w:ind w:left="20"/>
              <w:spacing w:after="0" w:line="135" w:lineRule="exact"/>
              <w:rPr>
                <w:sz w:val="20"/>
                <w:szCs w:val="20"/>
                <w:color w:val="auto"/>
              </w:rPr>
            </w:pPr>
            <w:r>
              <w:rPr>
                <w:rFonts w:ascii="Arial" w:cs="Arial" w:eastAsia="Arial" w:hAnsi="Arial"/>
                <w:sz w:val="14"/>
                <w:szCs w:val="14"/>
                <w:b w:val="1"/>
                <w:bCs w:val="1"/>
                <w:color w:val="auto"/>
              </w:rPr>
              <w:t>Unrealized</w:t>
            </w:r>
          </w:p>
        </w:tc>
        <w:tc>
          <w:tcPr>
            <w:tcW w:w="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20" w:type="dxa"/>
            <w:vAlign w:val="bottom"/>
            <w:gridSpan w:val="4"/>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43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gridSpan w:val="3"/>
          </w:tcPr>
          <w:p>
            <w:pPr>
              <w:jc w:val="right"/>
              <w:ind w:right="360"/>
              <w:spacing w:after="0"/>
              <w:rPr>
                <w:sz w:val="20"/>
                <w:szCs w:val="20"/>
                <w:color w:val="auto"/>
              </w:rPr>
            </w:pPr>
            <w:r>
              <w:rPr>
                <w:rFonts w:ascii="Arial" w:cs="Arial" w:eastAsia="Arial" w:hAnsi="Arial"/>
                <w:sz w:val="14"/>
                <w:szCs w:val="14"/>
                <w:b w:val="1"/>
                <w:bCs w:val="1"/>
                <w:color w:val="auto"/>
              </w:rPr>
              <w:t>Cost</w:t>
            </w: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0" w:type="dxa"/>
            <w:vAlign w:val="bottom"/>
            <w:gridSpan w:val="2"/>
          </w:tcPr>
          <w:p>
            <w:pPr>
              <w:ind w:left="20"/>
              <w:spacing w:after="0"/>
              <w:rPr>
                <w:sz w:val="20"/>
                <w:szCs w:val="20"/>
                <w:color w:val="auto"/>
              </w:rPr>
            </w:pPr>
            <w:r>
              <w:rPr>
                <w:rFonts w:ascii="Arial" w:cs="Arial" w:eastAsia="Arial" w:hAnsi="Arial"/>
                <w:sz w:val="14"/>
                <w:szCs w:val="14"/>
                <w:b w:val="1"/>
                <w:bCs w:val="1"/>
                <w:color w:val="auto"/>
              </w:rPr>
              <w:t>Gains</w:t>
            </w:r>
          </w:p>
        </w:tc>
        <w:tc>
          <w:tcPr>
            <w:tcW w:w="1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gridSpan w:val="3"/>
          </w:tcPr>
          <w:p>
            <w:pPr>
              <w:jc w:val="right"/>
              <w:ind w:right="260"/>
              <w:spacing w:after="0"/>
              <w:rPr>
                <w:sz w:val="20"/>
                <w:szCs w:val="20"/>
                <w:color w:val="auto"/>
              </w:rPr>
            </w:pPr>
            <w:r>
              <w:rPr>
                <w:rFonts w:ascii="Arial" w:cs="Arial" w:eastAsia="Arial" w:hAnsi="Arial"/>
                <w:sz w:val="14"/>
                <w:szCs w:val="14"/>
                <w:b w:val="1"/>
                <w:bCs w:val="1"/>
                <w:color w:val="auto"/>
                <w:w w:val="82"/>
              </w:rPr>
              <w:t>Losses</w:t>
            </w:r>
          </w:p>
        </w:tc>
        <w:tc>
          <w:tcPr>
            <w:tcW w:w="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20" w:type="dxa"/>
            <w:vAlign w:val="bottom"/>
            <w:gridSpan w:val="4"/>
          </w:tcPr>
          <w:p>
            <w:pPr>
              <w:ind w:left="2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210"/>
        </w:trPr>
        <w:tc>
          <w:tcPr>
            <w:tcW w:w="43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13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33,662</w:t>
            </w:r>
          </w:p>
        </w:tc>
        <w:tc>
          <w:tcPr>
            <w:tcW w:w="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tcBorders>
              <w:top w:val="single" w:sz="8" w:color="auto"/>
            </w:tcBorders>
            <w:shd w:val="clear" w:color="auto" w:fill="CCEEFF"/>
          </w:tcPr>
          <w:p>
            <w:pPr>
              <w:ind w:left="380"/>
              <w:spacing w:after="0"/>
              <w:rPr>
                <w:sz w:val="20"/>
                <w:szCs w:val="20"/>
                <w:color w:val="auto"/>
              </w:rPr>
            </w:pPr>
            <w:r>
              <w:rPr>
                <w:rFonts w:ascii="Arial" w:cs="Arial" w:eastAsia="Arial" w:hAnsi="Arial"/>
                <w:sz w:val="18"/>
                <w:szCs w:val="18"/>
                <w:color w:val="auto"/>
                <w:w w:val="88"/>
              </w:rPr>
              <w:t>—</w:t>
            </w:r>
          </w:p>
        </w:tc>
        <w:tc>
          <w:tcPr>
            <w:tcW w:w="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(551)</w:t>
            </w:r>
          </w:p>
        </w:tc>
        <w:tc>
          <w:tcPr>
            <w:tcW w:w="160" w:type="dxa"/>
            <w:vAlign w:val="bottom"/>
            <w:tcBorders>
              <w:top w:val="single" w:sz="8" w:color="CCEEFF"/>
            </w:tcBorders>
            <w:gridSpan w:val="2"/>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33,111</w:t>
            </w:r>
          </w:p>
        </w:tc>
        <w:tc>
          <w:tcPr>
            <w:tcW w:w="4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60" w:type="dxa"/>
            <w:vAlign w:val="bottom"/>
          </w:tcPr>
          <w:p>
            <w:pPr>
              <w:spacing w:after="0"/>
              <w:rPr>
                <w:sz w:val="20"/>
                <w:szCs w:val="20"/>
                <w:color w:val="auto"/>
              </w:rPr>
            </w:pPr>
            <w:r>
              <w:rPr>
                <w:rFonts w:ascii="Arial" w:cs="Arial" w:eastAsia="Arial" w:hAnsi="Arial"/>
                <w:sz w:val="18"/>
                <w:szCs w:val="18"/>
                <w:color w:val="auto"/>
              </w:rPr>
              <w:t>Auction rate securities</w:t>
            </w:r>
          </w:p>
        </w:tc>
        <w:tc>
          <w:tcPr>
            <w:tcW w:w="13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438,615</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gridSpan w:val="2"/>
          </w:tcPr>
          <w:p>
            <w:pPr>
              <w:ind w:left="3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3"/>
          </w:tcPr>
          <w:p>
            <w:pPr>
              <w:jc w:val="right"/>
              <w:ind w:right="10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438,615</w:t>
            </w:r>
          </w:p>
        </w:tc>
        <w:tc>
          <w:tcPr>
            <w:tcW w:w="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60" w:type="dxa"/>
            <w:vAlign w:val="bottom"/>
            <w:shd w:val="clear" w:color="auto" w:fill="CCEEFF"/>
          </w:tcPr>
          <w:p>
            <w:pPr>
              <w:spacing w:after="0"/>
              <w:rPr>
                <w:sz w:val="20"/>
                <w:szCs w:val="20"/>
                <w:color w:val="auto"/>
              </w:rPr>
            </w:pPr>
            <w:r>
              <w:rPr>
                <w:rFonts w:ascii="Arial" w:cs="Arial" w:eastAsia="Arial" w:hAnsi="Arial"/>
                <w:sz w:val="18"/>
                <w:szCs w:val="18"/>
                <w:color w:val="auto"/>
                <w:w w:val="95"/>
              </w:rPr>
              <w:t>U.S. Federal, State, county and municipal debt securities</w:t>
            </w:r>
          </w:p>
        </w:tc>
        <w:tc>
          <w:tcPr>
            <w:tcW w:w="13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107,414</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(1,592)</w:t>
            </w: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105,822</w:t>
            </w:r>
          </w:p>
        </w:tc>
        <w:tc>
          <w:tcPr>
            <w:tcW w:w="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36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40" w:type="dxa"/>
            <w:vAlign w:val="bottom"/>
            <w:tcBorders>
              <w:top w:val="single" w:sz="8" w:color="auto"/>
            </w:tcBorders>
          </w:tcPr>
          <w:p>
            <w:pPr>
              <w:spacing w:after="0"/>
              <w:rPr>
                <w:sz w:val="18"/>
                <w:szCs w:val="18"/>
                <w:color w:val="auto"/>
              </w:rPr>
            </w:pPr>
          </w:p>
        </w:tc>
        <w:tc>
          <w:tcPr>
            <w:tcW w:w="80" w:type="dxa"/>
            <w:vAlign w:val="bottom"/>
            <w:tcBorders>
              <w:top w:val="single" w:sz="8" w:color="auto"/>
            </w:tcBorders>
          </w:tcPr>
          <w:p>
            <w:pPr>
              <w:spacing w:after="0"/>
              <w:rPr>
                <w:sz w:val="18"/>
                <w:szCs w:val="18"/>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9"/>
              </w:rPr>
              <w:t>579,691</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Borders>
              <w:top w:val="single" w:sz="8" w:color="auto"/>
            </w:tcBorders>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560" w:type="dxa"/>
            <w:vAlign w:val="bottom"/>
            <w:tcBorders>
              <w:top w:val="single" w:sz="8" w:color="auto"/>
            </w:tcBorders>
          </w:tcPr>
          <w:p>
            <w:pPr>
              <w:ind w:left="380"/>
              <w:spacing w:after="0"/>
              <w:rPr>
                <w:sz w:val="20"/>
                <w:szCs w:val="20"/>
                <w:color w:val="auto"/>
              </w:rPr>
            </w:pPr>
            <w:r>
              <w:rPr>
                <w:rFonts w:ascii="Arial" w:cs="Arial" w:eastAsia="Arial" w:hAnsi="Arial"/>
                <w:sz w:val="18"/>
                <w:szCs w:val="18"/>
                <w:color w:val="auto"/>
                <w:w w:val="88"/>
              </w:rPr>
              <w:t>—</w:t>
            </w: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Borders>
              <w:top w:val="single" w:sz="8" w:color="auto"/>
            </w:tcBorders>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(2,143)</w:t>
            </w:r>
          </w:p>
        </w:tc>
        <w:tc>
          <w:tcPr>
            <w:tcW w:w="160" w:type="dxa"/>
            <w:vAlign w:val="bottom"/>
            <w:gridSpan w:val="2"/>
          </w:tcPr>
          <w:p>
            <w:pPr>
              <w:spacing w:after="0"/>
              <w:rPr>
                <w:sz w:val="18"/>
                <w:szCs w:val="18"/>
                <w:color w:val="auto"/>
              </w:rPr>
            </w:pPr>
          </w:p>
        </w:tc>
        <w:tc>
          <w:tcPr>
            <w:tcW w:w="40" w:type="dxa"/>
            <w:vAlign w:val="bottom"/>
          </w:tcPr>
          <w:p>
            <w:pPr>
              <w:spacing w:after="0"/>
              <w:rPr>
                <w:sz w:val="18"/>
                <w:szCs w:val="18"/>
                <w:color w:val="auto"/>
              </w:rPr>
            </w:pPr>
          </w:p>
        </w:tc>
        <w:tc>
          <w:tcPr>
            <w:tcW w:w="40" w:type="dxa"/>
            <w:vAlign w:val="bottom"/>
            <w:tcBorders>
              <w:top w:val="single" w:sz="8" w:color="auto"/>
            </w:tcBorders>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9"/>
              </w:rPr>
              <w:t>577,548</w:t>
            </w:r>
          </w:p>
        </w:tc>
        <w:tc>
          <w:tcPr>
            <w:tcW w:w="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60" w:type="dxa"/>
            <w:vAlign w:val="bottom"/>
            <w:shd w:val="clear" w:color="auto" w:fill="CCEEFF"/>
          </w:tcPr>
          <w:p>
            <w:pPr>
              <w:spacing w:after="0"/>
              <w:rPr>
                <w:sz w:val="20"/>
                <w:szCs w:val="20"/>
                <w:color w:val="auto"/>
              </w:rPr>
            </w:pPr>
            <w:r>
              <w:rPr>
                <w:rFonts w:ascii="Arial" w:cs="Arial" w:eastAsia="Arial" w:hAnsi="Arial"/>
                <w:sz w:val="18"/>
                <w:szCs w:val="18"/>
                <w:color w:val="auto"/>
              </w:rPr>
              <w:t>Less amounts classified as cash equivalents</w:t>
            </w:r>
          </w:p>
        </w:tc>
        <w:tc>
          <w:tcPr>
            <w:tcW w:w="13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(4,957)</w:t>
            </w: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(4,957)</w:t>
            </w:r>
          </w:p>
        </w:tc>
        <w:tc>
          <w:tcPr>
            <w:tcW w:w="0" w:type="dxa"/>
            <w:vAlign w:val="bottom"/>
          </w:tcPr>
          <w:p>
            <w:pPr>
              <w:spacing w:after="0"/>
              <w:rPr>
                <w:sz w:val="1"/>
                <w:szCs w:val="1"/>
                <w:color w:val="auto"/>
              </w:rPr>
            </w:pPr>
          </w:p>
        </w:tc>
      </w:tr>
      <w:tr>
        <w:trPr>
          <w:trHeight w:val="223"/>
        </w:trPr>
        <w:tc>
          <w:tcPr>
            <w:tcW w:w="4360" w:type="dxa"/>
            <w:vAlign w:val="bottom"/>
          </w:tcPr>
          <w:p>
            <w:pPr>
              <w:spacing w:after="0"/>
              <w:rPr>
                <w:sz w:val="20"/>
                <w:szCs w:val="20"/>
                <w:color w:val="auto"/>
              </w:rPr>
            </w:pPr>
            <w:r>
              <w:rPr>
                <w:rFonts w:ascii="Arial" w:cs="Arial" w:eastAsia="Arial" w:hAnsi="Arial"/>
                <w:sz w:val="18"/>
                <w:szCs w:val="18"/>
                <w:color w:val="auto"/>
              </w:rPr>
              <w:t>Short-term investments</w:t>
            </w:r>
          </w:p>
        </w:tc>
        <w:tc>
          <w:tcPr>
            <w:tcW w:w="1300" w:type="dxa"/>
            <w:vAlign w:val="bottom"/>
          </w:tcPr>
          <w:p>
            <w:pPr>
              <w:spacing w:after="0"/>
              <w:rPr>
                <w:sz w:val="19"/>
                <w:szCs w:val="19"/>
                <w:color w:val="auto"/>
              </w:rPr>
            </w:pPr>
          </w:p>
        </w:tc>
        <w:tc>
          <w:tcPr>
            <w:tcW w:w="720" w:type="dxa"/>
            <w:vAlign w:val="bottom"/>
            <w:tcBorders>
              <w:top w:val="single" w:sz="8" w:color="auto"/>
              <w:bottom w:val="single" w:sz="8" w:color="auto"/>
            </w:tcBorders>
            <w:gridSpan w:val="3"/>
          </w:tcPr>
          <w:p>
            <w:pPr>
              <w:jc w:val="right"/>
              <w:spacing w:after="0"/>
              <w:rPr>
                <w:sz w:val="20"/>
                <w:szCs w:val="20"/>
                <w:color w:val="auto"/>
              </w:rPr>
            </w:pPr>
            <w:r>
              <w:rPr>
                <w:rFonts w:ascii="Arial" w:cs="Arial" w:eastAsia="Arial" w:hAnsi="Arial"/>
                <w:sz w:val="18"/>
                <w:szCs w:val="18"/>
                <w:color w:val="auto"/>
                <w:w w:val="87"/>
              </w:rPr>
              <w:t>$ 574,734</w:t>
            </w: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6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tcBorders>
              <w:top w:val="single" w:sz="8" w:color="auto"/>
              <w:bottom w:val="single" w:sz="8" w:color="auto"/>
            </w:tcBorders>
          </w:tcPr>
          <w:p>
            <w:pPr>
              <w:ind w:left="380"/>
              <w:spacing w:after="0"/>
              <w:rPr>
                <w:sz w:val="20"/>
                <w:szCs w:val="20"/>
                <w:color w:val="auto"/>
              </w:rPr>
            </w:pPr>
            <w:r>
              <w:rPr>
                <w:rFonts w:ascii="Arial" w:cs="Arial" w:eastAsia="Arial" w:hAnsi="Arial"/>
                <w:sz w:val="18"/>
                <w:szCs w:val="18"/>
                <w:color w:val="auto"/>
                <w:w w:val="88"/>
              </w:rPr>
              <w:t>—</w:t>
            </w:r>
          </w:p>
        </w:tc>
        <w:tc>
          <w:tcPr>
            <w:tcW w:w="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4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(2,143</w:t>
            </w:r>
          </w:p>
        </w:tc>
        <w:tc>
          <w:tcPr>
            <w:tcW w:w="160" w:type="dxa"/>
            <w:vAlign w:val="bottom"/>
            <w:gridSpan w:val="2"/>
          </w:tcPr>
          <w:p>
            <w:pPr>
              <w:jc w:val="right"/>
              <w:ind w:right="20"/>
              <w:spacing w:after="0"/>
              <w:rPr>
                <w:sz w:val="20"/>
                <w:szCs w:val="20"/>
                <w:color w:val="auto"/>
              </w:rPr>
            </w:pPr>
            <w:r>
              <w:rPr>
                <w:rFonts w:ascii="Arial" w:cs="Arial" w:eastAsia="Arial" w:hAnsi="Arial"/>
                <w:sz w:val="16"/>
                <w:szCs w:val="16"/>
                <w:color w:val="auto"/>
                <w:w w:val="74"/>
              </w:rPr>
              <w:t>)</w:t>
            </w:r>
          </w:p>
        </w:tc>
        <w:tc>
          <w:tcPr>
            <w:tcW w:w="40" w:type="dxa"/>
            <w:vAlign w:val="bottom"/>
          </w:tcPr>
          <w:p>
            <w:pPr>
              <w:spacing w:after="0"/>
              <w:rPr>
                <w:sz w:val="19"/>
                <w:szCs w:val="19"/>
                <w:color w:val="auto"/>
              </w:rPr>
            </w:pPr>
          </w:p>
        </w:tc>
        <w:tc>
          <w:tcPr>
            <w:tcW w:w="760" w:type="dxa"/>
            <w:vAlign w:val="bottom"/>
            <w:tcBorders>
              <w:top w:val="single" w:sz="8" w:color="auto"/>
              <w:bottom w:val="single" w:sz="8" w:color="auto"/>
            </w:tcBorders>
            <w:gridSpan w:val="3"/>
          </w:tcPr>
          <w:p>
            <w:pPr>
              <w:jc w:val="right"/>
              <w:spacing w:after="0"/>
              <w:rPr>
                <w:sz w:val="20"/>
                <w:szCs w:val="20"/>
                <w:color w:val="auto"/>
              </w:rPr>
            </w:pPr>
            <w:r>
              <w:rPr>
                <w:rFonts w:ascii="Arial" w:cs="Arial" w:eastAsia="Arial" w:hAnsi="Arial"/>
                <w:sz w:val="18"/>
                <w:szCs w:val="18"/>
                <w:color w:val="auto"/>
                <w:w w:val="92"/>
              </w:rPr>
              <w:t>$ 572,591</w:t>
            </w:r>
          </w:p>
        </w:tc>
        <w:tc>
          <w:tcPr>
            <w:tcW w:w="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360" w:type="dxa"/>
            <w:vAlign w:val="bottom"/>
          </w:tcPr>
          <w:p>
            <w:pPr>
              <w:spacing w:after="0" w:line="20" w:lineRule="exact"/>
              <w:rPr>
                <w:sz w:val="1"/>
                <w:szCs w:val="1"/>
                <w:color w:val="auto"/>
              </w:rPr>
            </w:pPr>
          </w:p>
        </w:tc>
        <w:tc>
          <w:tcPr>
            <w:tcW w:w="1300" w:type="dxa"/>
            <w:vAlign w:val="bottom"/>
            <w:vMerge w:val="restart"/>
          </w:tcPr>
          <w:p>
            <w:pPr>
              <w:jc w:val="right"/>
              <w:ind w:right="850"/>
              <w:spacing w:after="0"/>
              <w:rPr>
                <w:sz w:val="20"/>
                <w:szCs w:val="20"/>
                <w:color w:val="auto"/>
              </w:rPr>
            </w:pPr>
            <w:r>
              <w:rPr>
                <w:rFonts w:ascii="Arial" w:cs="Arial" w:eastAsia="Arial" w:hAnsi="Arial"/>
                <w:sz w:val="18"/>
                <w:szCs w:val="18"/>
                <w:color w:val="auto"/>
              </w:rPr>
              <w:t>8</w:t>
            </w:r>
          </w:p>
        </w:tc>
        <w:tc>
          <w:tcPr>
            <w:tcW w:w="4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45"/>
        </w:trPr>
        <w:tc>
          <w:tcPr>
            <w:tcW w:w="4360" w:type="dxa"/>
            <w:vAlign w:val="bottom"/>
          </w:tcPr>
          <w:p>
            <w:pPr>
              <w:spacing w:after="0"/>
              <w:rPr>
                <w:sz w:val="24"/>
                <w:szCs w:val="24"/>
                <w:color w:val="auto"/>
              </w:rPr>
            </w:pPr>
          </w:p>
        </w:tc>
        <w:tc>
          <w:tcPr>
            <w:tcW w:w="1300" w:type="dxa"/>
            <w:vAlign w:val="bottom"/>
            <w:vMerge w:val="continue"/>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ind w:right="220" w:firstLine="259"/>
        <w:spacing w:after="0" w:line="264" w:lineRule="auto"/>
        <w:rPr>
          <w:sz w:val="20"/>
          <w:szCs w:val="20"/>
          <w:color w:val="auto"/>
        </w:rPr>
      </w:pPr>
      <w:r>
        <w:rPr>
          <w:rFonts w:ascii="Arial" w:cs="Arial" w:eastAsia="Arial" w:hAnsi="Arial"/>
          <w:sz w:val="18"/>
          <w:szCs w:val="18"/>
          <w:color w:val="auto"/>
        </w:rPr>
        <w:t>Auction rate securities are securities that are structured with short-term reset dates of generally less than 90 days but with legally stated maturities in excess of 90 days. At the end of the reset period, investors can sell or continue to hold the securities at par. These securities are classified in the table below based on their legal stated maturity dates.</w:t>
      </w:r>
    </w:p>
    <w:p>
      <w:pPr>
        <w:spacing w:after="0" w:line="181" w:lineRule="exact"/>
        <w:rPr>
          <w:sz w:val="20"/>
          <w:szCs w:val="20"/>
          <w:color w:val="auto"/>
        </w:rPr>
      </w:pPr>
    </w:p>
    <w:p>
      <w:pPr>
        <w:ind w:right="200" w:firstLine="259"/>
        <w:spacing w:after="0" w:line="277" w:lineRule="auto"/>
        <w:rPr>
          <w:sz w:val="20"/>
          <w:szCs w:val="20"/>
          <w:color w:val="auto"/>
        </w:rPr>
      </w:pPr>
      <w:r>
        <w:rPr>
          <w:rFonts w:ascii="Arial" w:cs="Arial" w:eastAsia="Arial" w:hAnsi="Arial"/>
          <w:sz w:val="18"/>
          <w:szCs w:val="18"/>
          <w:color w:val="auto"/>
        </w:rPr>
        <w:t>The contractual maturities of available-for-sale debt securities classified as short-term investments at April 30, 2006 are presented in the following table (in thousands):</w:t>
      </w:r>
    </w:p>
    <w:p>
      <w:pPr>
        <w:spacing w:after="0" w:line="200" w:lineRule="exact"/>
        <w:rPr>
          <w:sz w:val="20"/>
          <w:szCs w:val="20"/>
          <w:color w:val="auto"/>
        </w:rPr>
      </w:pPr>
    </w:p>
    <w:p>
      <w:pPr>
        <w:spacing w:after="0" w:line="364" w:lineRule="exact"/>
        <w:rPr>
          <w:sz w:val="20"/>
          <w:szCs w:val="20"/>
          <w:color w:val="auto"/>
        </w:rPr>
      </w:pPr>
    </w:p>
    <w:tbl>
      <w:tblPr>
        <w:tblLayout w:type="fixed"/>
        <w:tblInd w:w="11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880" w:type="dxa"/>
            <w:vAlign w:val="bottom"/>
          </w:tcPr>
          <w:p>
            <w:pPr>
              <w:spacing w:after="0"/>
              <w:rPr>
                <w:sz w:val="14"/>
                <w:szCs w:val="14"/>
                <w:color w:val="auto"/>
              </w:rPr>
            </w:pPr>
          </w:p>
        </w:tc>
        <w:tc>
          <w:tcPr>
            <w:tcW w:w="2580" w:type="dxa"/>
            <w:vAlign w:val="bottom"/>
          </w:tcPr>
          <w:p>
            <w:pPr>
              <w:spacing w:after="0"/>
              <w:rPr>
                <w:sz w:val="14"/>
                <w:szCs w:val="14"/>
                <w:color w:val="auto"/>
              </w:rPr>
            </w:pPr>
          </w:p>
        </w:tc>
        <w:tc>
          <w:tcPr>
            <w:tcW w:w="940" w:type="dxa"/>
            <w:vAlign w:val="bottom"/>
            <w:gridSpan w:val="3"/>
          </w:tcPr>
          <w:p>
            <w:pPr>
              <w:jc w:val="center"/>
              <w:ind w:right="240"/>
              <w:spacing w:after="0"/>
              <w:rPr>
                <w:sz w:val="20"/>
                <w:szCs w:val="20"/>
                <w:color w:val="auto"/>
              </w:rPr>
            </w:pPr>
            <w:r>
              <w:rPr>
                <w:rFonts w:ascii="Arial" w:cs="Arial" w:eastAsia="Arial" w:hAnsi="Arial"/>
                <w:sz w:val="14"/>
                <w:szCs w:val="14"/>
                <w:b w:val="1"/>
                <w:bCs w:val="1"/>
                <w:color w:val="auto"/>
                <w:w w:val="96"/>
              </w:rPr>
              <w:t>Amortized</w:t>
            </w:r>
          </w:p>
        </w:tc>
        <w:tc>
          <w:tcPr>
            <w:tcW w:w="20" w:type="dxa"/>
            <w:vAlign w:val="bottom"/>
          </w:tcPr>
          <w:p>
            <w:pPr>
              <w:spacing w:after="0"/>
              <w:rPr>
                <w:sz w:val="14"/>
                <w:szCs w:val="14"/>
                <w:color w:val="auto"/>
              </w:rPr>
            </w:pPr>
          </w:p>
        </w:tc>
        <w:tc>
          <w:tcPr>
            <w:tcW w:w="780" w:type="dxa"/>
            <w:vAlign w:val="bottom"/>
            <w:gridSpan w:val="3"/>
          </w:tcPr>
          <w:p>
            <w:pPr>
              <w:ind w:left="40"/>
              <w:spacing w:after="0"/>
              <w:rPr>
                <w:sz w:val="20"/>
                <w:szCs w:val="20"/>
                <w:color w:val="auto"/>
              </w:rPr>
            </w:pPr>
            <w:r>
              <w:rPr>
                <w:rFonts w:ascii="Arial" w:cs="Arial" w:eastAsia="Arial" w:hAnsi="Arial"/>
                <w:sz w:val="14"/>
                <w:szCs w:val="14"/>
                <w:b w:val="1"/>
                <w:bCs w:val="1"/>
                <w:color w:val="auto"/>
              </w:rPr>
              <w:t>Estimated</w:t>
            </w:r>
          </w:p>
        </w:tc>
      </w:tr>
      <w:tr>
        <w:trPr>
          <w:trHeight w:val="162"/>
        </w:trPr>
        <w:tc>
          <w:tcPr>
            <w:tcW w:w="20" w:type="dxa"/>
            <w:vAlign w:val="bottom"/>
          </w:tcPr>
          <w:p>
            <w:pPr>
              <w:spacing w:after="0"/>
              <w:rPr>
                <w:sz w:val="14"/>
                <w:szCs w:val="14"/>
                <w:color w:val="auto"/>
              </w:rPr>
            </w:pPr>
          </w:p>
        </w:tc>
        <w:tc>
          <w:tcPr>
            <w:tcW w:w="4880" w:type="dxa"/>
            <w:vAlign w:val="bottom"/>
          </w:tcPr>
          <w:p>
            <w:pPr>
              <w:spacing w:after="0"/>
              <w:rPr>
                <w:sz w:val="14"/>
                <w:szCs w:val="14"/>
                <w:color w:val="auto"/>
              </w:rPr>
            </w:pPr>
          </w:p>
        </w:tc>
        <w:tc>
          <w:tcPr>
            <w:tcW w:w="2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4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89"/>
              </w:rPr>
              <w:t>Cost</w:t>
            </w:r>
          </w:p>
        </w:tc>
        <w:tc>
          <w:tcPr>
            <w:tcW w:w="20" w:type="dxa"/>
            <w:vAlign w:val="bottom"/>
          </w:tcPr>
          <w:p>
            <w:pPr>
              <w:spacing w:after="0"/>
              <w:rPr>
                <w:sz w:val="14"/>
                <w:szCs w:val="14"/>
                <w:color w:val="auto"/>
              </w:rPr>
            </w:pPr>
          </w:p>
        </w:tc>
        <w:tc>
          <w:tcPr>
            <w:tcW w:w="780" w:type="dxa"/>
            <w:vAlign w:val="bottom"/>
            <w:gridSpan w:val="3"/>
          </w:tcPr>
          <w:p>
            <w:pPr>
              <w:ind w:left="20"/>
              <w:spacing w:after="0"/>
              <w:rPr>
                <w:sz w:val="20"/>
                <w:szCs w:val="20"/>
                <w:color w:val="auto"/>
              </w:rPr>
            </w:pPr>
            <w:r>
              <w:rPr>
                <w:rFonts w:ascii="Arial" w:cs="Arial" w:eastAsia="Arial" w:hAnsi="Arial"/>
                <w:sz w:val="14"/>
                <w:szCs w:val="14"/>
                <w:b w:val="1"/>
                <w:bCs w:val="1"/>
                <w:color w:val="auto"/>
              </w:rPr>
              <w:t>Fair Value</w:t>
            </w:r>
          </w:p>
        </w:tc>
      </w:tr>
      <w:tr>
        <w:trPr>
          <w:trHeight w:val="210"/>
        </w:trPr>
        <w:tc>
          <w:tcPr>
            <w:tcW w:w="20" w:type="dxa"/>
            <w:vAlign w:val="bottom"/>
          </w:tcPr>
          <w:p>
            <w:pPr>
              <w:spacing w:after="0"/>
              <w:rPr>
                <w:sz w:val="18"/>
                <w:szCs w:val="18"/>
                <w:color w:val="auto"/>
              </w:rPr>
            </w:pPr>
          </w:p>
        </w:tc>
        <w:tc>
          <w:tcPr>
            <w:tcW w:w="48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Due in one year or less</w:t>
            </w:r>
          </w:p>
        </w:tc>
        <w:tc>
          <w:tcPr>
            <w:tcW w:w="25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68,014</w:t>
            </w:r>
          </w:p>
        </w:tc>
        <w:tc>
          <w:tcPr>
            <w:tcW w:w="20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67,493</w:t>
            </w:r>
          </w:p>
        </w:tc>
        <w:tc>
          <w:tcPr>
            <w:tcW w:w="40" w:type="dxa"/>
            <w:vAlign w:val="bottom"/>
            <w:tcBorders>
              <w:top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88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2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62,916</w:t>
            </w: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61,442</w:t>
            </w:r>
          </w:p>
        </w:tc>
        <w:tc>
          <w:tcPr>
            <w:tcW w:w="4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88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25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263,086</w:t>
            </w: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263,086</w:t>
            </w:r>
          </w:p>
        </w:tc>
        <w:tc>
          <w:tcPr>
            <w:tcW w:w="40" w:type="dxa"/>
            <w:vAlign w:val="bottom"/>
            <w:shd w:val="clear" w:color="auto" w:fill="CCEEFF"/>
          </w:tcPr>
          <w:p>
            <w:pPr>
              <w:spacing w:after="0"/>
              <w:rPr>
                <w:sz w:val="18"/>
                <w:szCs w:val="18"/>
                <w:color w:val="auto"/>
              </w:rPr>
            </w:pPr>
          </w:p>
        </w:tc>
      </w:tr>
      <w:tr>
        <w:trPr>
          <w:trHeight w:val="210"/>
        </w:trPr>
        <w:tc>
          <w:tcPr>
            <w:tcW w:w="20" w:type="dxa"/>
            <w:vAlign w:val="bottom"/>
          </w:tcPr>
          <w:p>
            <w:pPr>
              <w:spacing w:after="0"/>
              <w:rPr>
                <w:sz w:val="18"/>
                <w:szCs w:val="18"/>
                <w:color w:val="auto"/>
              </w:rPr>
            </w:pPr>
          </w:p>
        </w:tc>
        <w:tc>
          <w:tcPr>
            <w:tcW w:w="4880" w:type="dxa"/>
            <w:vAlign w:val="bottom"/>
          </w:tcPr>
          <w:p>
            <w:pPr>
              <w:spacing w:after="0"/>
              <w:rPr>
                <w:sz w:val="18"/>
                <w:szCs w:val="18"/>
                <w:color w:val="auto"/>
              </w:rPr>
            </w:pPr>
          </w:p>
        </w:tc>
        <w:tc>
          <w:tcPr>
            <w:tcW w:w="258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2"/>
              </w:rPr>
              <w:t>394,016</w:t>
            </w:r>
          </w:p>
        </w:tc>
        <w:tc>
          <w:tcPr>
            <w:tcW w:w="20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2"/>
              </w:rPr>
              <w:t>392,021</w:t>
            </w:r>
          </w:p>
        </w:tc>
        <w:tc>
          <w:tcPr>
            <w:tcW w:w="40" w:type="dxa"/>
            <w:vAlign w:val="bottom"/>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4880" w:type="dxa"/>
            <w:vAlign w:val="bottom"/>
          </w:tcPr>
          <w:p>
            <w:pPr>
              <w:spacing w:after="0" w:line="20" w:lineRule="exact"/>
              <w:rPr>
                <w:sz w:val="1"/>
                <w:szCs w:val="1"/>
                <w:color w:val="auto"/>
              </w:rPr>
            </w:pPr>
          </w:p>
        </w:tc>
        <w:tc>
          <w:tcPr>
            <w:tcW w:w="25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18" w:lineRule="exact"/>
        <w:rPr>
          <w:sz w:val="20"/>
          <w:szCs w:val="20"/>
          <w:color w:val="auto"/>
        </w:rPr>
      </w:pPr>
    </w:p>
    <w:p>
      <w:pPr>
        <w:ind w:right="20" w:firstLine="243"/>
        <w:spacing w:after="0" w:line="271" w:lineRule="auto"/>
        <w:rPr>
          <w:sz w:val="20"/>
          <w:szCs w:val="20"/>
          <w:color w:val="auto"/>
        </w:rPr>
      </w:pPr>
      <w:r>
        <w:rPr>
          <w:rFonts w:ascii="Arial" w:cs="Arial" w:eastAsia="Arial" w:hAnsi="Arial"/>
          <w:sz w:val="17"/>
          <w:szCs w:val="17"/>
          <w:color w:val="auto"/>
        </w:rPr>
        <w:t>Included in the Company’s available-for-sale investments are fixed income securities. As market yields increase, those securities with a lower yield-at-cost show a mark-to-market unrealized loss. All unrealized losses are primarily due to changes in interest rates and bond yields. Investments are reviewed periodically to identify possible other-than-temporary impairment. When evaluating the investments, the Company reviews factors such as the length of time and extent to which fair value has been below cost basis and the Company’s ability and intent to hold the investment for a period of time which may be sufficient for anticipated recovery in market value. The Company has the intent and ability to hold these securities for a reasonable period of time sufficient for a forecasted recovery of fair value up to (or beyond) the initial cost of the investment. The Company expects to realize the full value of all of these investments upon maturity or sale. The following table shows the investments’ gross unrealized losses and fair value, aggregated by investment category and length of time that individual securities have been in a continuous unrealized loss position (in thousands):</w:t>
      </w:r>
    </w:p>
    <w:p>
      <w:pPr>
        <w:spacing w:after="0" w:line="200" w:lineRule="exact"/>
        <w:rPr>
          <w:sz w:val="20"/>
          <w:szCs w:val="20"/>
          <w:color w:val="auto"/>
        </w:rPr>
      </w:pPr>
    </w:p>
    <w:p>
      <w:pPr>
        <w:spacing w:after="0" w:line="38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900" w:type="dxa"/>
            <w:vAlign w:val="bottom"/>
          </w:tcPr>
          <w:p>
            <w:pPr>
              <w:spacing w:after="0"/>
              <w:rPr>
                <w:sz w:val="14"/>
                <w:szCs w:val="14"/>
                <w:color w:val="auto"/>
              </w:rPr>
            </w:pPr>
          </w:p>
        </w:tc>
        <w:tc>
          <w:tcPr>
            <w:tcW w:w="102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2560" w:type="dxa"/>
            <w:vAlign w:val="bottom"/>
            <w:tcBorders>
              <w:bottom w:val="single" w:sz="8" w:color="auto"/>
            </w:tcBorders>
            <w:gridSpan w:val="4"/>
          </w:tcPr>
          <w:p>
            <w:pPr>
              <w:ind w:left="660"/>
              <w:spacing w:after="0"/>
              <w:rPr>
                <w:sz w:val="20"/>
                <w:szCs w:val="20"/>
                <w:color w:val="auto"/>
              </w:rPr>
            </w:pPr>
            <w:r>
              <w:rPr>
                <w:rFonts w:ascii="Arial" w:cs="Arial" w:eastAsia="Arial" w:hAnsi="Arial"/>
                <w:sz w:val="14"/>
                <w:szCs w:val="14"/>
                <w:b w:val="1"/>
                <w:bCs w:val="1"/>
                <w:color w:val="auto"/>
              </w:rPr>
              <w:t>April 30, 2006</w:t>
            </w:r>
          </w:p>
        </w:tc>
        <w:tc>
          <w:tcPr>
            <w:tcW w:w="80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spacing w:after="0"/>
              <w:rPr>
                <w:sz w:val="14"/>
                <w:szCs w:val="14"/>
                <w:color w:val="auto"/>
              </w:rPr>
            </w:pPr>
          </w:p>
        </w:tc>
        <w:tc>
          <w:tcPr>
            <w:tcW w:w="80" w:type="dxa"/>
            <w:vAlign w:val="bottom"/>
          </w:tcPr>
          <w:p>
            <w:pPr>
              <w:spacing w:after="0"/>
              <w:rPr>
                <w:sz w:val="14"/>
                <w:szCs w:val="14"/>
                <w:color w:val="auto"/>
              </w:rPr>
            </w:pPr>
          </w:p>
        </w:tc>
      </w:tr>
      <w:tr>
        <w:trPr>
          <w:trHeight w:val="129"/>
        </w:trPr>
        <w:tc>
          <w:tcPr>
            <w:tcW w:w="3900" w:type="dxa"/>
            <w:vAlign w:val="bottom"/>
          </w:tcPr>
          <w:p>
            <w:pPr>
              <w:spacing w:after="0"/>
              <w:rPr>
                <w:sz w:val="11"/>
                <w:szCs w:val="11"/>
                <w:color w:val="auto"/>
              </w:rPr>
            </w:pPr>
          </w:p>
        </w:tc>
        <w:tc>
          <w:tcPr>
            <w:tcW w:w="2620" w:type="dxa"/>
            <w:vAlign w:val="bottom"/>
            <w:gridSpan w:val="4"/>
          </w:tcPr>
          <w:p>
            <w:pPr>
              <w:ind w:left="520"/>
              <w:spacing w:after="0" w:line="129" w:lineRule="exact"/>
              <w:rPr>
                <w:sz w:val="20"/>
                <w:szCs w:val="20"/>
                <w:color w:val="auto"/>
              </w:rPr>
            </w:pPr>
            <w:r>
              <w:rPr>
                <w:rFonts w:ascii="Arial" w:cs="Arial" w:eastAsia="Arial" w:hAnsi="Arial"/>
                <w:sz w:val="14"/>
                <w:szCs w:val="14"/>
                <w:b w:val="1"/>
                <w:bCs w:val="1"/>
                <w:color w:val="auto"/>
              </w:rPr>
              <w:t>Less than 12 months</w:t>
            </w:r>
          </w:p>
        </w:tc>
        <w:tc>
          <w:tcPr>
            <w:tcW w:w="2560" w:type="dxa"/>
            <w:vAlign w:val="bottom"/>
            <w:gridSpan w:val="4"/>
          </w:tcPr>
          <w:p>
            <w:pPr>
              <w:ind w:left="560"/>
              <w:spacing w:after="0" w:line="129" w:lineRule="exact"/>
              <w:rPr>
                <w:sz w:val="20"/>
                <w:szCs w:val="20"/>
                <w:color w:val="auto"/>
              </w:rPr>
            </w:pPr>
            <w:r>
              <w:rPr>
                <w:rFonts w:ascii="Arial" w:cs="Arial" w:eastAsia="Arial" w:hAnsi="Arial"/>
                <w:sz w:val="14"/>
                <w:szCs w:val="14"/>
                <w:b w:val="1"/>
                <w:bCs w:val="1"/>
                <w:color w:val="auto"/>
              </w:rPr>
              <w:t>12 months or more</w:t>
            </w:r>
          </w:p>
        </w:tc>
        <w:tc>
          <w:tcPr>
            <w:tcW w:w="800" w:type="dxa"/>
            <w:vAlign w:val="bottom"/>
          </w:tcPr>
          <w:p>
            <w:pPr>
              <w:spacing w:after="0"/>
              <w:rPr>
                <w:sz w:val="11"/>
                <w:szCs w:val="11"/>
                <w:color w:val="auto"/>
              </w:rPr>
            </w:pPr>
          </w:p>
        </w:tc>
        <w:tc>
          <w:tcPr>
            <w:tcW w:w="1460" w:type="dxa"/>
            <w:vAlign w:val="bottom"/>
            <w:gridSpan w:val="3"/>
          </w:tcPr>
          <w:p>
            <w:pPr>
              <w:ind w:left="160"/>
              <w:spacing w:after="0" w:line="129" w:lineRule="exact"/>
              <w:rPr>
                <w:sz w:val="20"/>
                <w:szCs w:val="20"/>
                <w:color w:val="auto"/>
              </w:rPr>
            </w:pPr>
            <w:r>
              <w:rPr>
                <w:rFonts w:ascii="Arial" w:cs="Arial" w:eastAsia="Arial" w:hAnsi="Arial"/>
                <w:sz w:val="14"/>
                <w:szCs w:val="14"/>
                <w:b w:val="1"/>
                <w:bCs w:val="1"/>
                <w:color w:val="auto"/>
              </w:rPr>
              <w:t>Total</w:t>
            </w:r>
          </w:p>
        </w:tc>
        <w:tc>
          <w:tcPr>
            <w:tcW w:w="80" w:type="dxa"/>
            <w:vAlign w:val="bottom"/>
          </w:tcPr>
          <w:p>
            <w:pPr>
              <w:spacing w:after="0"/>
              <w:rPr>
                <w:sz w:val="11"/>
                <w:szCs w:val="11"/>
                <w:color w:val="auto"/>
              </w:rPr>
            </w:pPr>
          </w:p>
        </w:tc>
      </w:tr>
      <w:tr>
        <w:trPr>
          <w:trHeight w:val="102"/>
        </w:trPr>
        <w:tc>
          <w:tcPr>
            <w:tcW w:w="3900" w:type="dxa"/>
            <w:vAlign w:val="bottom"/>
          </w:tcPr>
          <w:p>
            <w:pPr>
              <w:spacing w:after="0"/>
              <w:rPr>
                <w:sz w:val="8"/>
                <w:szCs w:val="8"/>
                <w:color w:val="auto"/>
              </w:rPr>
            </w:pPr>
          </w:p>
        </w:tc>
        <w:tc>
          <w:tcPr>
            <w:tcW w:w="1300" w:type="dxa"/>
            <w:vAlign w:val="bottom"/>
            <w:tcBorders>
              <w:top w:val="single" w:sz="8" w:color="auto"/>
            </w:tcBorders>
            <w:gridSpan w:val="2"/>
          </w:tcPr>
          <w:p>
            <w:pPr>
              <w:jc w:val="center"/>
              <w:ind w:right="280"/>
              <w:spacing w:after="0" w:line="102" w:lineRule="exact"/>
              <w:rPr>
                <w:sz w:val="20"/>
                <w:szCs w:val="20"/>
                <w:color w:val="auto"/>
              </w:rPr>
            </w:pPr>
            <w:r>
              <w:rPr>
                <w:rFonts w:ascii="Arial" w:cs="Arial" w:eastAsia="Arial" w:hAnsi="Arial"/>
                <w:sz w:val="11"/>
                <w:szCs w:val="11"/>
                <w:b w:val="1"/>
                <w:bCs w:val="1"/>
                <w:color w:val="auto"/>
              </w:rPr>
              <w:t>Fair</w:t>
            </w:r>
          </w:p>
        </w:tc>
        <w:tc>
          <w:tcPr>
            <w:tcW w:w="104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Unrealized</w:t>
            </w:r>
          </w:p>
        </w:tc>
        <w:tc>
          <w:tcPr>
            <w:tcW w:w="280" w:type="dxa"/>
            <w:vAlign w:val="bottom"/>
          </w:tcPr>
          <w:p>
            <w:pPr>
              <w:spacing w:after="0"/>
              <w:rPr>
                <w:sz w:val="8"/>
                <w:szCs w:val="8"/>
                <w:color w:val="auto"/>
              </w:rPr>
            </w:pPr>
          </w:p>
        </w:tc>
        <w:tc>
          <w:tcPr>
            <w:tcW w:w="1280" w:type="dxa"/>
            <w:vAlign w:val="bottom"/>
            <w:tcBorders>
              <w:top w:val="single" w:sz="8" w:color="auto"/>
            </w:tcBorders>
            <w:gridSpan w:val="2"/>
          </w:tcPr>
          <w:p>
            <w:pPr>
              <w:jc w:val="center"/>
              <w:ind w:right="300"/>
              <w:spacing w:after="0" w:line="102" w:lineRule="exact"/>
              <w:rPr>
                <w:sz w:val="20"/>
                <w:szCs w:val="20"/>
                <w:color w:val="auto"/>
              </w:rPr>
            </w:pPr>
            <w:r>
              <w:rPr>
                <w:rFonts w:ascii="Arial" w:cs="Arial" w:eastAsia="Arial" w:hAnsi="Arial"/>
                <w:sz w:val="11"/>
                <w:szCs w:val="11"/>
                <w:b w:val="1"/>
                <w:bCs w:val="1"/>
                <w:color w:val="auto"/>
              </w:rPr>
              <w:t>Fair</w:t>
            </w:r>
          </w:p>
        </w:tc>
        <w:tc>
          <w:tcPr>
            <w:tcW w:w="100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Unrealized</w:t>
            </w:r>
          </w:p>
        </w:tc>
        <w:tc>
          <w:tcPr>
            <w:tcW w:w="280" w:type="dxa"/>
            <w:vAlign w:val="bottom"/>
          </w:tcPr>
          <w:p>
            <w:pPr>
              <w:spacing w:after="0"/>
              <w:rPr>
                <w:sz w:val="8"/>
                <w:szCs w:val="8"/>
                <w:color w:val="auto"/>
              </w:rPr>
            </w:pPr>
          </w:p>
        </w:tc>
        <w:tc>
          <w:tcPr>
            <w:tcW w:w="800" w:type="dxa"/>
            <w:vAlign w:val="bottom"/>
            <w:tcBorders>
              <w:top w:val="single" w:sz="8" w:color="auto"/>
            </w:tcBorders>
          </w:tcPr>
          <w:p>
            <w:pPr>
              <w:jc w:val="center"/>
              <w:ind w:left="116"/>
              <w:spacing w:after="0" w:line="102" w:lineRule="exact"/>
              <w:rPr>
                <w:sz w:val="20"/>
                <w:szCs w:val="20"/>
                <w:color w:val="auto"/>
              </w:rPr>
            </w:pPr>
            <w:r>
              <w:rPr>
                <w:rFonts w:ascii="Arial" w:cs="Arial" w:eastAsia="Arial" w:hAnsi="Arial"/>
                <w:sz w:val="11"/>
                <w:szCs w:val="11"/>
                <w:b w:val="1"/>
                <w:bCs w:val="1"/>
                <w:color w:val="auto"/>
              </w:rPr>
              <w:t>Fair</w:t>
            </w:r>
          </w:p>
        </w:tc>
        <w:tc>
          <w:tcPr>
            <w:tcW w:w="180" w:type="dxa"/>
            <w:vAlign w:val="bottom"/>
            <w:tcBorders>
              <w:top w:val="single" w:sz="8" w:color="auto"/>
            </w:tcBorders>
          </w:tcPr>
          <w:p>
            <w:pPr>
              <w:spacing w:after="0"/>
              <w:rPr>
                <w:sz w:val="8"/>
                <w:szCs w:val="8"/>
                <w:color w:val="auto"/>
              </w:rPr>
            </w:pPr>
          </w:p>
        </w:tc>
        <w:tc>
          <w:tcPr>
            <w:tcW w:w="280" w:type="dxa"/>
            <w:vAlign w:val="bottom"/>
            <w:tcBorders>
              <w:top w:val="single" w:sz="8" w:color="auto"/>
            </w:tcBorders>
          </w:tcPr>
          <w:p>
            <w:pPr>
              <w:spacing w:after="0"/>
              <w:rPr>
                <w:sz w:val="8"/>
                <w:szCs w:val="8"/>
                <w:color w:val="auto"/>
              </w:rPr>
            </w:pPr>
          </w:p>
        </w:tc>
        <w:tc>
          <w:tcPr>
            <w:tcW w:w="100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Unrealized</w:t>
            </w:r>
          </w:p>
        </w:tc>
        <w:tc>
          <w:tcPr>
            <w:tcW w:w="80" w:type="dxa"/>
            <w:vAlign w:val="bottom"/>
          </w:tcPr>
          <w:p>
            <w:pPr>
              <w:spacing w:after="0"/>
              <w:rPr>
                <w:sz w:val="8"/>
                <w:szCs w:val="8"/>
                <w:color w:val="auto"/>
              </w:rPr>
            </w:pPr>
          </w:p>
        </w:tc>
      </w:tr>
      <w:tr>
        <w:trPr>
          <w:trHeight w:val="162"/>
        </w:trPr>
        <w:tc>
          <w:tcPr>
            <w:tcW w:w="3900" w:type="dxa"/>
            <w:vAlign w:val="bottom"/>
            <w:tcBorders>
              <w:bottom w:val="single" w:sz="8" w:color="CCEEFF"/>
            </w:tcBorders>
          </w:tcPr>
          <w:p>
            <w:pPr>
              <w:spacing w:after="0"/>
              <w:rPr>
                <w:sz w:val="14"/>
                <w:szCs w:val="14"/>
                <w:color w:val="auto"/>
              </w:rPr>
            </w:pPr>
          </w:p>
        </w:tc>
        <w:tc>
          <w:tcPr>
            <w:tcW w:w="10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Value</w:t>
            </w:r>
          </w:p>
        </w:tc>
        <w:tc>
          <w:tcPr>
            <w:tcW w:w="280" w:type="dxa"/>
            <w:vAlign w:val="bottom"/>
            <w:tcBorders>
              <w:bottom w:val="single" w:sz="8" w:color="CCEEFF"/>
            </w:tcBorders>
          </w:tcPr>
          <w:p>
            <w:pPr>
              <w:spacing w:after="0"/>
              <w:rPr>
                <w:sz w:val="14"/>
                <w:szCs w:val="14"/>
                <w:color w:val="auto"/>
              </w:rPr>
            </w:pPr>
          </w:p>
        </w:tc>
        <w:tc>
          <w:tcPr>
            <w:tcW w:w="10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2"/>
              </w:rPr>
              <w:t>Losses</w:t>
            </w:r>
          </w:p>
        </w:tc>
        <w:tc>
          <w:tcPr>
            <w:tcW w:w="280" w:type="dxa"/>
            <w:vAlign w:val="bottom"/>
            <w:tcBorders>
              <w:bottom w:val="single" w:sz="8" w:color="CCEEFF"/>
            </w:tcBorders>
          </w:tcPr>
          <w:p>
            <w:pPr>
              <w:spacing w:after="0"/>
              <w:rPr>
                <w:sz w:val="14"/>
                <w:szCs w:val="14"/>
                <w:color w:val="auto"/>
              </w:rPr>
            </w:pPr>
          </w:p>
        </w:tc>
        <w:tc>
          <w:tcPr>
            <w:tcW w:w="10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6"/>
              </w:rPr>
              <w:t>Value</w:t>
            </w:r>
          </w:p>
        </w:tc>
        <w:tc>
          <w:tcPr>
            <w:tcW w:w="260" w:type="dxa"/>
            <w:vAlign w:val="bottom"/>
            <w:tcBorders>
              <w:bottom w:val="single" w:sz="8" w:color="CCEEFF"/>
            </w:tcBorders>
          </w:tcPr>
          <w:p>
            <w:pPr>
              <w:spacing w:after="0"/>
              <w:rPr>
                <w:sz w:val="14"/>
                <w:szCs w:val="14"/>
                <w:color w:val="auto"/>
              </w:rPr>
            </w:pPr>
          </w:p>
        </w:tc>
        <w:tc>
          <w:tcPr>
            <w:tcW w:w="10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2"/>
              </w:rPr>
              <w:t>Losses</w:t>
            </w:r>
          </w:p>
        </w:tc>
        <w:tc>
          <w:tcPr>
            <w:tcW w:w="280" w:type="dxa"/>
            <w:vAlign w:val="bottom"/>
            <w:tcBorders>
              <w:bottom w:val="single" w:sz="8" w:color="CCEEFF"/>
            </w:tcBorders>
          </w:tcPr>
          <w:p>
            <w:pPr>
              <w:spacing w:after="0"/>
              <w:rPr>
                <w:sz w:val="14"/>
                <w:szCs w:val="14"/>
                <w:color w:val="auto"/>
              </w:rPr>
            </w:pPr>
          </w:p>
        </w:tc>
        <w:tc>
          <w:tcPr>
            <w:tcW w:w="800" w:type="dxa"/>
            <w:vAlign w:val="bottom"/>
            <w:tcBorders>
              <w:bottom w:val="single" w:sz="8" w:color="auto"/>
            </w:tcBorders>
          </w:tcPr>
          <w:p>
            <w:pPr>
              <w:jc w:val="center"/>
              <w:ind w:left="116"/>
              <w:spacing w:after="0"/>
              <w:rPr>
                <w:sz w:val="20"/>
                <w:szCs w:val="20"/>
                <w:color w:val="auto"/>
              </w:rPr>
            </w:pPr>
            <w:r>
              <w:rPr>
                <w:rFonts w:ascii="Arial" w:cs="Arial" w:eastAsia="Arial" w:hAnsi="Arial"/>
                <w:sz w:val="14"/>
                <w:szCs w:val="14"/>
                <w:b w:val="1"/>
                <w:bCs w:val="1"/>
                <w:color w:val="auto"/>
                <w:w w:val="90"/>
              </w:rPr>
              <w:t>Value</w:t>
            </w:r>
          </w:p>
        </w:tc>
        <w:tc>
          <w:tcPr>
            <w:tcW w:w="180" w:type="dxa"/>
            <w:vAlign w:val="bottom"/>
            <w:tcBorders>
              <w:bottom w:val="single" w:sz="8" w:color="auto"/>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10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2"/>
              </w:rPr>
              <w:t>Losses</w:t>
            </w:r>
          </w:p>
        </w:tc>
        <w:tc>
          <w:tcPr>
            <w:tcW w:w="80" w:type="dxa"/>
            <w:vAlign w:val="bottom"/>
            <w:tcBorders>
              <w:bottom w:val="single" w:sz="8" w:color="CCEEFF"/>
            </w:tcBorders>
          </w:tcPr>
          <w:p>
            <w:pPr>
              <w:spacing w:after="0"/>
              <w:rPr>
                <w:sz w:val="14"/>
                <w:szCs w:val="14"/>
                <w:color w:val="auto"/>
              </w:rPr>
            </w:pPr>
          </w:p>
        </w:tc>
      </w:tr>
    </w:tbl>
    <w:p>
      <w:pPr>
        <w:sectPr>
          <w:pgSz w:w="11900" w:h="16900" w:orient="portrait"/>
          <w:cols w:equalWidth="0" w:num="1">
            <w:col w:w="11420"/>
          </w:cols>
          <w:pgMar w:left="240" w:top="125" w:right="239" w:bottom="0" w:gutter="0" w:footer="0" w:header="0"/>
        </w:sectPr>
      </w:pPr>
    </w:p>
    <w:bookmarkStart w:id="6" w:name="page7"/>
    <w:bookmarkEnd w:id="6"/>
    <w:p>
      <w:pPr>
        <w:spacing w:after="0" w:line="62"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440" w:type="dxa"/>
            <w:vAlign w:val="bottom"/>
            <w:shd w:val="clear" w:color="auto" w:fill="CCEEFF"/>
          </w:tcPr>
          <w:p>
            <w:pPr>
              <w:jc w:val="right"/>
              <w:ind w:right="285"/>
              <w:spacing w:after="0"/>
              <w:rPr>
                <w:sz w:val="20"/>
                <w:szCs w:val="20"/>
                <w:color w:val="auto"/>
              </w:rPr>
            </w:pPr>
            <w:r>
              <w:rPr>
                <w:rFonts w:ascii="Arial" w:cs="Arial" w:eastAsia="Arial" w:hAnsi="Arial"/>
                <w:sz w:val="15"/>
                <w:szCs w:val="15"/>
                <w:color w:val="auto"/>
                <w:w w:val="71"/>
              </w:rPr>
              <w:t>$</w:t>
            </w:r>
          </w:p>
        </w:tc>
        <w:tc>
          <w:tcPr>
            <w:tcW w:w="240" w:type="dxa"/>
            <w:vAlign w:val="bottom"/>
            <w:shd w:val="clear" w:color="auto" w:fill="CCEEFF"/>
          </w:tcPr>
          <w:p>
            <w:pPr>
              <w:spacing w:after="0"/>
              <w:rPr>
                <w:sz w:val="18"/>
                <w:szCs w:val="18"/>
                <w:color w:val="auto"/>
              </w:rPr>
            </w:pPr>
          </w:p>
        </w:tc>
        <w:tc>
          <w:tcPr>
            <w:tcW w:w="340" w:type="dxa"/>
            <w:vAlign w:val="bottom"/>
            <w:shd w:val="clear" w:color="auto" w:fill="CCEEFF"/>
          </w:tcPr>
          <w:p>
            <w:pPr>
              <w:ind w:left="160"/>
              <w:spacing w:after="0"/>
              <w:rPr>
                <w:sz w:val="20"/>
                <w:szCs w:val="20"/>
                <w:color w:val="auto"/>
              </w:rPr>
            </w:pPr>
            <w:r>
              <w:rPr>
                <w:rFonts w:ascii="Arial" w:cs="Arial" w:eastAsia="Arial" w:hAnsi="Arial"/>
                <w:sz w:val="18"/>
                <w:szCs w:val="18"/>
                <w:color w:val="auto"/>
                <w:w w:val="88"/>
              </w:rPr>
              <w:t>—</w:t>
            </w:r>
          </w:p>
        </w:tc>
        <w:tc>
          <w:tcPr>
            <w:tcW w:w="580" w:type="dxa"/>
            <w:vAlign w:val="bottom"/>
            <w:gridSpan w:val="2"/>
            <w:shd w:val="clear" w:color="auto" w:fill="CCEEFF"/>
          </w:tcPr>
          <w:p>
            <w:pPr>
              <w:jc w:val="right"/>
              <w:ind w:right="11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260" w:type="dxa"/>
            <w:vAlign w:val="bottom"/>
            <w:gridSpan w:val="2"/>
            <w:shd w:val="clear" w:color="auto" w:fill="CCEEFF"/>
          </w:tcPr>
          <w:p>
            <w:pPr>
              <w:jc w:val="right"/>
              <w:ind w:right="25"/>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28,375</w:t>
            </w:r>
          </w:p>
        </w:tc>
        <w:tc>
          <w:tcPr>
            <w:tcW w:w="26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79"/>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(494)</w:t>
            </w:r>
          </w:p>
        </w:tc>
        <w:tc>
          <w:tcPr>
            <w:tcW w:w="260" w:type="dxa"/>
            <w:vAlign w:val="bottom"/>
            <w:gridSpan w:val="2"/>
            <w:shd w:val="clear" w:color="auto" w:fill="CCEEFF"/>
          </w:tcPr>
          <w:p>
            <w:pPr>
              <w:jc w:val="right"/>
              <w:ind w:right="45"/>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28,375</w:t>
            </w: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(494)</w:t>
            </w:r>
          </w:p>
        </w:tc>
      </w:tr>
      <w:tr>
        <w:trPr>
          <w:trHeight w:val="202"/>
        </w:trPr>
        <w:tc>
          <w:tcPr>
            <w:tcW w:w="3900" w:type="dxa"/>
            <w:vAlign w:val="bottom"/>
          </w:tcPr>
          <w:p>
            <w:pPr>
              <w:spacing w:after="0" w:line="201" w:lineRule="exact"/>
              <w:rPr>
                <w:sz w:val="20"/>
                <w:szCs w:val="20"/>
                <w:color w:val="auto"/>
              </w:rPr>
            </w:pPr>
            <w:r>
              <w:rPr>
                <w:rFonts w:ascii="Arial" w:cs="Arial" w:eastAsia="Arial" w:hAnsi="Arial"/>
                <w:sz w:val="18"/>
                <w:szCs w:val="18"/>
                <w:color w:val="auto"/>
              </w:rPr>
              <w:t>U.S. Federal, State, county and municipal debt</w:t>
            </w:r>
          </w:p>
        </w:tc>
        <w:tc>
          <w:tcPr>
            <w:tcW w:w="4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80" w:type="dxa"/>
            <w:vAlign w:val="bottom"/>
          </w:tcPr>
          <w:p>
            <w:pPr>
              <w:spacing w:after="0"/>
              <w:rPr>
                <w:sz w:val="17"/>
                <w:szCs w:val="17"/>
                <w:color w:val="auto"/>
              </w:rPr>
            </w:pPr>
          </w:p>
        </w:tc>
      </w:tr>
      <w:tr>
        <w:trPr>
          <w:trHeight w:val="230"/>
        </w:trPr>
        <w:tc>
          <w:tcPr>
            <w:tcW w:w="3900" w:type="dxa"/>
            <w:vAlign w:val="bottom"/>
          </w:tcPr>
          <w:p>
            <w:pPr>
              <w:ind w:left="180"/>
              <w:spacing w:after="0"/>
              <w:rPr>
                <w:sz w:val="20"/>
                <w:szCs w:val="20"/>
                <w:color w:val="auto"/>
              </w:rPr>
            </w:pPr>
            <w:r>
              <w:rPr>
                <w:rFonts w:ascii="Arial" w:cs="Arial" w:eastAsia="Arial" w:hAnsi="Arial"/>
                <w:sz w:val="18"/>
                <w:szCs w:val="18"/>
                <w:color w:val="auto"/>
              </w:rPr>
              <w:t>securities</w:t>
            </w:r>
          </w:p>
        </w:tc>
        <w:tc>
          <w:tcPr>
            <w:tcW w:w="4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340" w:type="dxa"/>
            <w:vAlign w:val="bottom"/>
          </w:tcPr>
          <w:p>
            <w:pPr>
              <w:ind w:left="160"/>
              <w:spacing w:after="0"/>
              <w:rPr>
                <w:sz w:val="20"/>
                <w:szCs w:val="20"/>
                <w:color w:val="auto"/>
              </w:rPr>
            </w:pPr>
            <w:r>
              <w:rPr>
                <w:rFonts w:ascii="Arial" w:cs="Arial" w:eastAsia="Arial" w:hAnsi="Arial"/>
                <w:sz w:val="18"/>
                <w:szCs w:val="18"/>
                <w:color w:val="auto"/>
                <w:w w:val="88"/>
              </w:rPr>
              <w:t>—</w:t>
            </w:r>
          </w:p>
        </w:tc>
        <w:tc>
          <w:tcPr>
            <w:tcW w:w="2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560" w:type="dxa"/>
            <w:vAlign w:val="bottom"/>
            <w:gridSpan w:val="2"/>
          </w:tcPr>
          <w:p>
            <w:pPr>
              <w:ind w:left="16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700" w:type="dxa"/>
            <w:vAlign w:val="bottom"/>
            <w:gridSpan w:val="3"/>
          </w:tcPr>
          <w:p>
            <w:pPr>
              <w:jc w:val="right"/>
              <w:spacing w:after="0"/>
              <w:rPr>
                <w:sz w:val="20"/>
                <w:szCs w:val="20"/>
                <w:color w:val="auto"/>
              </w:rPr>
            </w:pPr>
            <w:r>
              <w:rPr>
                <w:rFonts w:ascii="Arial" w:cs="Arial" w:eastAsia="Arial" w:hAnsi="Arial"/>
                <w:sz w:val="18"/>
                <w:szCs w:val="18"/>
                <w:color w:val="auto"/>
              </w:rPr>
              <w:t>102,555</w:t>
            </w:r>
          </w:p>
        </w:tc>
        <w:tc>
          <w:tcPr>
            <w:tcW w:w="26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00" w:type="dxa"/>
            <w:vAlign w:val="bottom"/>
            <w:gridSpan w:val="2"/>
          </w:tcPr>
          <w:p>
            <w:pPr>
              <w:jc w:val="right"/>
              <w:ind w:right="80"/>
              <w:spacing w:after="0"/>
              <w:rPr>
                <w:sz w:val="20"/>
                <w:szCs w:val="20"/>
                <w:color w:val="auto"/>
              </w:rPr>
            </w:pPr>
            <w:r>
              <w:rPr>
                <w:rFonts w:ascii="Arial" w:cs="Arial" w:eastAsia="Arial" w:hAnsi="Arial"/>
                <w:sz w:val="18"/>
                <w:szCs w:val="18"/>
                <w:color w:val="auto"/>
              </w:rPr>
              <w:t>(1,501)</w:t>
            </w:r>
          </w:p>
        </w:tc>
        <w:tc>
          <w:tcPr>
            <w:tcW w:w="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102,555</w:t>
            </w:r>
          </w:p>
        </w:tc>
        <w:tc>
          <w:tcPr>
            <w:tcW w:w="1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(1,501)</w:t>
            </w:r>
          </w:p>
        </w:tc>
      </w:tr>
      <w:tr>
        <w:trPr>
          <w:trHeight w:val="223"/>
        </w:trPr>
        <w:tc>
          <w:tcPr>
            <w:tcW w:w="3900" w:type="dxa"/>
            <w:vAlign w:val="bottom"/>
            <w:tcBorders>
              <w:top w:val="single" w:sz="8" w:color="CCEEFF"/>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Total temporarily impaired securities</w:t>
            </w:r>
          </w:p>
        </w:tc>
        <w:tc>
          <w:tcPr>
            <w:tcW w:w="440" w:type="dxa"/>
            <w:vAlign w:val="bottom"/>
            <w:tcBorders>
              <w:top w:val="single" w:sz="8" w:color="auto"/>
              <w:bottom w:val="single" w:sz="8" w:color="auto"/>
            </w:tcBorders>
            <w:shd w:val="clear" w:color="auto" w:fill="CCEEFF"/>
          </w:tcPr>
          <w:p>
            <w:pPr>
              <w:jc w:val="right"/>
              <w:ind w:right="285"/>
              <w:spacing w:after="0"/>
              <w:rPr>
                <w:sz w:val="20"/>
                <w:szCs w:val="20"/>
                <w:color w:val="auto"/>
              </w:rPr>
            </w:pPr>
            <w:r>
              <w:rPr>
                <w:rFonts w:ascii="Arial" w:cs="Arial" w:eastAsia="Arial" w:hAnsi="Arial"/>
                <w:sz w:val="15"/>
                <w:szCs w:val="15"/>
                <w:color w:val="auto"/>
                <w:w w:val="71"/>
              </w:rPr>
              <w:t>$</w:t>
            </w:r>
          </w:p>
        </w:tc>
        <w:tc>
          <w:tcPr>
            <w:tcW w:w="240" w:type="dxa"/>
            <w:vAlign w:val="bottom"/>
            <w:tcBorders>
              <w:top w:val="single" w:sz="8" w:color="auto"/>
              <w:bottom w:val="single" w:sz="8" w:color="auto"/>
            </w:tcBorders>
            <w:shd w:val="clear" w:color="auto" w:fill="CCEEFF"/>
          </w:tcPr>
          <w:p>
            <w:pPr>
              <w:spacing w:after="0"/>
              <w:rPr>
                <w:sz w:val="19"/>
                <w:szCs w:val="19"/>
                <w:color w:val="auto"/>
              </w:rPr>
            </w:pPr>
          </w:p>
        </w:tc>
        <w:tc>
          <w:tcPr>
            <w:tcW w:w="340" w:type="dxa"/>
            <w:vAlign w:val="bottom"/>
            <w:tcBorders>
              <w:top w:val="single" w:sz="8" w:color="auto"/>
              <w:bottom w:val="single" w:sz="8" w:color="auto"/>
            </w:tcBorders>
            <w:shd w:val="clear" w:color="auto" w:fill="CCEEFF"/>
          </w:tcPr>
          <w:p>
            <w:pPr>
              <w:ind w:left="160"/>
              <w:spacing w:after="0"/>
              <w:rPr>
                <w:sz w:val="20"/>
                <w:szCs w:val="20"/>
                <w:color w:val="auto"/>
              </w:rPr>
            </w:pPr>
            <w:r>
              <w:rPr>
                <w:rFonts w:ascii="Arial" w:cs="Arial" w:eastAsia="Arial" w:hAnsi="Arial"/>
                <w:sz w:val="18"/>
                <w:szCs w:val="18"/>
                <w:color w:val="auto"/>
                <w:w w:val="88"/>
              </w:rPr>
              <w:t>—</w:t>
            </w:r>
          </w:p>
        </w:tc>
        <w:tc>
          <w:tcPr>
            <w:tcW w:w="280" w:type="dxa"/>
            <w:vAlign w:val="bottom"/>
            <w:tcBorders>
              <w:top w:val="single" w:sz="8" w:color="CCEEFF"/>
              <w:bottom w:val="single" w:sz="8" w:color="CCEEFF"/>
            </w:tcBorders>
            <w:shd w:val="clear" w:color="auto" w:fill="CCEEFF"/>
          </w:tcPr>
          <w:p>
            <w:pPr>
              <w:spacing w:after="0"/>
              <w:rPr>
                <w:sz w:val="19"/>
                <w:szCs w:val="19"/>
                <w:color w:val="auto"/>
              </w:rPr>
            </w:pPr>
          </w:p>
        </w:tc>
        <w:tc>
          <w:tcPr>
            <w:tcW w:w="300" w:type="dxa"/>
            <w:vAlign w:val="bottom"/>
            <w:tcBorders>
              <w:top w:val="single" w:sz="8" w:color="auto"/>
              <w:bottom w:val="single" w:sz="8" w:color="auto"/>
            </w:tcBorders>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280" w:type="dxa"/>
            <w:vAlign w:val="bottom"/>
            <w:tcBorders>
              <w:top w:val="single" w:sz="8" w:color="auto"/>
              <w:bottom w:val="single" w:sz="8" w:color="auto"/>
            </w:tcBorders>
            <w:shd w:val="clear" w:color="auto" w:fill="CCEEFF"/>
          </w:tcPr>
          <w:p>
            <w:pPr>
              <w:spacing w:after="0"/>
              <w:rPr>
                <w:sz w:val="19"/>
                <w:szCs w:val="19"/>
                <w:color w:val="auto"/>
              </w:rPr>
            </w:pPr>
          </w:p>
        </w:tc>
        <w:tc>
          <w:tcPr>
            <w:tcW w:w="100" w:type="dxa"/>
            <w:vAlign w:val="bottom"/>
            <w:tcBorders>
              <w:top w:val="single" w:sz="8" w:color="auto"/>
              <w:bottom w:val="single" w:sz="8" w:color="auto"/>
            </w:tcBorders>
            <w:shd w:val="clear" w:color="auto" w:fill="CCEEFF"/>
          </w:tcPr>
          <w:p>
            <w:pPr>
              <w:spacing w:after="0"/>
              <w:rPr>
                <w:sz w:val="19"/>
                <w:szCs w:val="19"/>
                <w:color w:val="auto"/>
              </w:rPr>
            </w:pPr>
          </w:p>
        </w:tc>
        <w:tc>
          <w:tcPr>
            <w:tcW w:w="360" w:type="dxa"/>
            <w:vAlign w:val="bottom"/>
            <w:tcBorders>
              <w:top w:val="single" w:sz="8" w:color="auto"/>
              <w:bottom w:val="single" w:sz="8" w:color="auto"/>
            </w:tcBorders>
            <w:shd w:val="clear" w:color="auto" w:fill="CCEEFF"/>
          </w:tcPr>
          <w:p>
            <w:pPr>
              <w:ind w:left="160"/>
              <w:spacing w:after="0"/>
              <w:rPr>
                <w:sz w:val="20"/>
                <w:szCs w:val="20"/>
                <w:color w:val="auto"/>
              </w:rPr>
            </w:pPr>
            <w:r>
              <w:rPr>
                <w:rFonts w:ascii="Arial" w:cs="Arial" w:eastAsia="Arial" w:hAnsi="Arial"/>
                <w:sz w:val="18"/>
                <w:szCs w:val="18"/>
                <w:color w:val="auto"/>
                <w:w w:val="99"/>
              </w:rPr>
              <w:t>—</w:t>
            </w:r>
          </w:p>
        </w:tc>
        <w:tc>
          <w:tcPr>
            <w:tcW w:w="200" w:type="dxa"/>
            <w:vAlign w:val="bottom"/>
            <w:tcBorders>
              <w:top w:val="single" w:sz="8" w:color="CCEEFF"/>
              <w:bottom w:val="single" w:sz="8" w:color="CCEEFF"/>
            </w:tcBorders>
            <w:shd w:val="clear" w:color="auto" w:fill="CCEEFF"/>
          </w:tcPr>
          <w:p>
            <w:pPr>
              <w:spacing w:after="0"/>
              <w:rPr>
                <w:sz w:val="19"/>
                <w:szCs w:val="19"/>
                <w:color w:val="auto"/>
              </w:rPr>
            </w:pPr>
          </w:p>
        </w:tc>
        <w:tc>
          <w:tcPr>
            <w:tcW w:w="80" w:type="dxa"/>
            <w:vAlign w:val="bottom"/>
            <w:tcBorders>
              <w:top w:val="single" w:sz="8" w:color="CCEEFF"/>
              <w:bottom w:val="single" w:sz="8" w:color="CCEEFF"/>
            </w:tcBorders>
            <w:shd w:val="clear" w:color="auto" w:fill="CCEEFF"/>
          </w:tcPr>
          <w:p>
            <w:pPr>
              <w:spacing w:after="0"/>
              <w:rPr>
                <w:sz w:val="19"/>
                <w:szCs w:val="19"/>
                <w:color w:val="auto"/>
              </w:rPr>
            </w:pPr>
          </w:p>
        </w:tc>
        <w:tc>
          <w:tcPr>
            <w:tcW w:w="180" w:type="dxa"/>
            <w:vAlign w:val="bottom"/>
            <w:tcBorders>
              <w:top w:val="single" w:sz="8" w:color="auto"/>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140" w:type="dxa"/>
            <w:vAlign w:val="bottom"/>
            <w:tcBorders>
              <w:top w:val="single" w:sz="8" w:color="auto"/>
              <w:bottom w:val="single" w:sz="8" w:color="auto"/>
            </w:tcBorders>
            <w:shd w:val="clear" w:color="auto" w:fill="CCEEFF"/>
          </w:tcPr>
          <w:p>
            <w:pPr>
              <w:spacing w:after="0"/>
              <w:rPr>
                <w:sz w:val="19"/>
                <w:szCs w:val="19"/>
                <w:color w:val="auto"/>
              </w:rPr>
            </w:pPr>
          </w:p>
        </w:tc>
        <w:tc>
          <w:tcPr>
            <w:tcW w:w="700" w:type="dxa"/>
            <w:vAlign w:val="bottom"/>
            <w:tcBorders>
              <w:top w:val="single" w:sz="8" w:color="auto"/>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130,930</w:t>
            </w:r>
          </w:p>
        </w:tc>
        <w:tc>
          <w:tcPr>
            <w:tcW w:w="260" w:type="dxa"/>
            <w:vAlign w:val="bottom"/>
            <w:tcBorders>
              <w:top w:val="single" w:sz="8" w:color="CCEEFF"/>
              <w:bottom w:val="single" w:sz="8" w:color="CCEEFF"/>
            </w:tcBorders>
            <w:shd w:val="clear" w:color="auto" w:fill="CCEEFF"/>
          </w:tcPr>
          <w:p>
            <w:pPr>
              <w:spacing w:after="0"/>
              <w:rPr>
                <w:sz w:val="19"/>
                <w:szCs w:val="19"/>
                <w:color w:val="auto"/>
              </w:rPr>
            </w:pPr>
          </w:p>
        </w:tc>
        <w:tc>
          <w:tcPr>
            <w:tcW w:w="200" w:type="dxa"/>
            <w:vAlign w:val="bottom"/>
            <w:tcBorders>
              <w:top w:val="single" w:sz="8" w:color="auto"/>
              <w:bottom w:val="single" w:sz="8" w:color="auto"/>
            </w:tcBorders>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79"/>
              </w:rPr>
              <w:t>$</w:t>
            </w:r>
          </w:p>
        </w:tc>
        <w:tc>
          <w:tcPr>
            <w:tcW w:w="120" w:type="dxa"/>
            <w:vAlign w:val="bottom"/>
            <w:tcBorders>
              <w:top w:val="single" w:sz="8" w:color="auto"/>
              <w:bottom w:val="single" w:sz="8" w:color="auto"/>
            </w:tcBorders>
            <w:shd w:val="clear" w:color="auto" w:fill="CCEEFF"/>
          </w:tcPr>
          <w:p>
            <w:pPr>
              <w:spacing w:after="0"/>
              <w:rPr>
                <w:sz w:val="19"/>
                <w:szCs w:val="19"/>
                <w:color w:val="auto"/>
              </w:rPr>
            </w:pPr>
          </w:p>
        </w:tc>
        <w:tc>
          <w:tcPr>
            <w:tcW w:w="100" w:type="dxa"/>
            <w:vAlign w:val="bottom"/>
            <w:tcBorders>
              <w:top w:val="single" w:sz="8" w:color="auto"/>
              <w:bottom w:val="single" w:sz="8" w:color="auto"/>
            </w:tcBorders>
            <w:shd w:val="clear" w:color="auto" w:fill="CCEEFF"/>
          </w:tcPr>
          <w:p>
            <w:pPr>
              <w:spacing w:after="0"/>
              <w:rPr>
                <w:sz w:val="19"/>
                <w:szCs w:val="19"/>
                <w:color w:val="auto"/>
              </w:rPr>
            </w:pPr>
          </w:p>
        </w:tc>
        <w:tc>
          <w:tcPr>
            <w:tcW w:w="5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(1,995</w:t>
            </w:r>
          </w:p>
        </w:tc>
        <w:tc>
          <w:tcPr>
            <w:tcW w:w="220" w:type="dxa"/>
            <w:vAlign w:val="bottom"/>
            <w:tcBorders>
              <w:top w:val="single" w:sz="8" w:color="CCEEFF"/>
              <w:bottom w:val="single" w:sz="8" w:color="CCEEFF"/>
            </w:tcBorders>
            <w:shd w:val="clear" w:color="auto" w:fill="CCEEFF"/>
          </w:tcPr>
          <w:p>
            <w:pPr>
              <w:jc w:val="right"/>
              <w:ind w:right="80"/>
              <w:spacing w:after="0"/>
              <w:rPr>
                <w:sz w:val="20"/>
                <w:szCs w:val="20"/>
                <w:color w:val="auto"/>
              </w:rPr>
            </w:pPr>
            <w:r>
              <w:rPr>
                <w:rFonts w:ascii="Arial" w:cs="Arial" w:eastAsia="Arial" w:hAnsi="Arial"/>
                <w:sz w:val="16"/>
                <w:szCs w:val="16"/>
                <w:color w:val="auto"/>
                <w:w w:val="74"/>
              </w:rPr>
              <w:t>)</w:t>
            </w:r>
          </w:p>
        </w:tc>
        <w:tc>
          <w:tcPr>
            <w:tcW w:w="60" w:type="dxa"/>
            <w:vAlign w:val="bottom"/>
            <w:tcBorders>
              <w:top w:val="single" w:sz="8" w:color="CCEEFF"/>
              <w:bottom w:val="single" w:sz="8" w:color="CCEEFF"/>
            </w:tcBorders>
            <w:shd w:val="clear" w:color="auto" w:fill="CCEEFF"/>
          </w:tcPr>
          <w:p>
            <w:pPr>
              <w:spacing w:after="0"/>
              <w:rPr>
                <w:sz w:val="19"/>
                <w:szCs w:val="19"/>
                <w:color w:val="auto"/>
              </w:rPr>
            </w:pPr>
          </w:p>
        </w:tc>
        <w:tc>
          <w:tcPr>
            <w:tcW w:w="200" w:type="dxa"/>
            <w:vAlign w:val="bottom"/>
            <w:tcBorders>
              <w:top w:val="single" w:sz="8" w:color="auto"/>
              <w:bottom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140" w:type="dxa"/>
            <w:vAlign w:val="bottom"/>
            <w:tcBorders>
              <w:top w:val="single" w:sz="8" w:color="auto"/>
              <w:bottom w:val="single" w:sz="8" w:color="auto"/>
            </w:tcBorders>
            <w:shd w:val="clear" w:color="auto" w:fill="CCEEFF"/>
          </w:tcPr>
          <w:p>
            <w:pPr>
              <w:spacing w:after="0"/>
              <w:rPr>
                <w:sz w:val="19"/>
                <w:szCs w:val="19"/>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130,930</w:t>
            </w: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160" w:type="dxa"/>
            <w:vAlign w:val="bottom"/>
            <w:tcBorders>
              <w:top w:val="single" w:sz="8" w:color="CCEEFF"/>
              <w:bottom w:val="single" w:sz="8" w:color="CCEEFF"/>
            </w:tcBorders>
            <w:shd w:val="clear" w:color="auto" w:fill="CCEEFF"/>
          </w:tcPr>
          <w:p>
            <w:pPr>
              <w:spacing w:after="0"/>
              <w:rPr>
                <w:sz w:val="19"/>
                <w:szCs w:val="19"/>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0" w:type="dxa"/>
            <w:vAlign w:val="bottom"/>
            <w:tcBorders>
              <w:top w:val="single" w:sz="8" w:color="auto"/>
              <w:bottom w:val="single" w:sz="8" w:color="auto"/>
            </w:tcBorders>
            <w:shd w:val="clear" w:color="auto" w:fill="CCEEFF"/>
          </w:tcPr>
          <w:p>
            <w:pPr>
              <w:spacing w:after="0"/>
              <w:rPr>
                <w:sz w:val="19"/>
                <w:szCs w:val="19"/>
                <w:color w:val="auto"/>
              </w:rPr>
            </w:pP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(1,995</w:t>
            </w:r>
          </w:p>
        </w:tc>
        <w:tc>
          <w:tcPr>
            <w:tcW w:w="8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74"/>
              </w:rPr>
              <w:t>)</w:t>
            </w:r>
          </w:p>
        </w:tc>
      </w:tr>
      <w:tr>
        <w:trPr>
          <w:trHeight w:val="20"/>
        </w:trPr>
        <w:tc>
          <w:tcPr>
            <w:tcW w:w="3900" w:type="dxa"/>
            <w:vAlign w:val="bottom"/>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260" w:type="dxa"/>
            <w:vAlign w:val="bottom"/>
            <w:tcBorders>
              <w:bottom w:val="single" w:sz="8" w:color="auto"/>
            </w:tcBorders>
            <w:gridSpan w:val="2"/>
          </w:tcPr>
          <w:p>
            <w:pPr>
              <w:spacing w:after="0" w:line="20" w:lineRule="exact"/>
              <w:rPr>
                <w:sz w:val="1"/>
                <w:szCs w:val="1"/>
                <w:color w:val="auto"/>
              </w:rPr>
            </w:pPr>
          </w:p>
        </w:tc>
        <w:tc>
          <w:tcPr>
            <w:tcW w:w="680" w:type="dxa"/>
            <w:vAlign w:val="bottom"/>
            <w:tcBorders>
              <w:bottom w:val="single" w:sz="8" w:color="auto"/>
            </w:tcBorders>
            <w:gridSpan w:val="2"/>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r>
        <w:trPr>
          <w:trHeight w:val="548"/>
        </w:trPr>
        <w:tc>
          <w:tcPr>
            <w:tcW w:w="39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4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36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1880" w:type="dxa"/>
            <w:vAlign w:val="bottom"/>
            <w:tcBorders>
              <w:bottom w:val="single" w:sz="8" w:color="auto"/>
            </w:tcBorders>
            <w:gridSpan w:val="8"/>
          </w:tcPr>
          <w:p>
            <w:pPr>
              <w:jc w:val="right"/>
              <w:ind w:right="460"/>
              <w:spacing w:after="0"/>
              <w:rPr>
                <w:sz w:val="20"/>
                <w:szCs w:val="20"/>
                <w:color w:val="auto"/>
              </w:rPr>
            </w:pPr>
            <w:r>
              <w:rPr>
                <w:rFonts w:ascii="Arial" w:cs="Arial" w:eastAsia="Arial" w:hAnsi="Arial"/>
                <w:sz w:val="14"/>
                <w:szCs w:val="14"/>
                <w:b w:val="1"/>
                <w:bCs w:val="1"/>
                <w:color w:val="auto"/>
              </w:rPr>
              <w:t>January 31, 2006</w:t>
            </w:r>
          </w:p>
        </w:tc>
        <w:tc>
          <w:tcPr>
            <w:tcW w:w="6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64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800" w:type="dxa"/>
            <w:vAlign w:val="bottom"/>
            <w:tcBorders>
              <w:bottom w:val="single" w:sz="8" w:color="auto"/>
            </w:tcBorders>
          </w:tcPr>
          <w:p>
            <w:pPr>
              <w:spacing w:after="0"/>
              <w:rPr>
                <w:sz w:val="24"/>
                <w:szCs w:val="24"/>
                <w:color w:val="auto"/>
              </w:rPr>
            </w:pPr>
          </w:p>
        </w:tc>
        <w:tc>
          <w:tcPr>
            <w:tcW w:w="80" w:type="dxa"/>
            <w:vAlign w:val="bottom"/>
          </w:tcPr>
          <w:p>
            <w:pPr>
              <w:spacing w:after="0"/>
              <w:rPr>
                <w:sz w:val="24"/>
                <w:szCs w:val="24"/>
                <w:color w:val="auto"/>
              </w:rPr>
            </w:pPr>
          </w:p>
        </w:tc>
      </w:tr>
      <w:tr>
        <w:trPr>
          <w:trHeight w:val="129"/>
        </w:trPr>
        <w:tc>
          <w:tcPr>
            <w:tcW w:w="39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340" w:type="dxa"/>
            <w:vAlign w:val="bottom"/>
            <w:tcBorders>
              <w:bottom w:val="single" w:sz="8" w:color="auto"/>
            </w:tcBorders>
          </w:tcPr>
          <w:p>
            <w:pPr>
              <w:spacing w:after="0"/>
              <w:rPr>
                <w:sz w:val="11"/>
                <w:szCs w:val="11"/>
                <w:color w:val="auto"/>
              </w:rPr>
            </w:pPr>
          </w:p>
        </w:tc>
        <w:tc>
          <w:tcPr>
            <w:tcW w:w="1520" w:type="dxa"/>
            <w:vAlign w:val="bottom"/>
            <w:tcBorders>
              <w:bottom w:val="single" w:sz="8" w:color="auto"/>
            </w:tcBorders>
            <w:gridSpan w:val="6"/>
          </w:tcPr>
          <w:p>
            <w:pPr>
              <w:ind w:left="80"/>
              <w:spacing w:after="0" w:line="129" w:lineRule="exact"/>
              <w:rPr>
                <w:sz w:val="20"/>
                <w:szCs w:val="20"/>
                <w:color w:val="auto"/>
              </w:rPr>
            </w:pPr>
            <w:r>
              <w:rPr>
                <w:rFonts w:ascii="Arial" w:cs="Arial" w:eastAsia="Arial" w:hAnsi="Arial"/>
                <w:sz w:val="14"/>
                <w:szCs w:val="14"/>
                <w:b w:val="1"/>
                <w:bCs w:val="1"/>
                <w:color w:val="auto"/>
              </w:rPr>
              <w:t>Less than 12 months</w:t>
            </w:r>
          </w:p>
        </w:tc>
        <w:tc>
          <w:tcPr>
            <w:tcW w:w="80" w:type="dxa"/>
            <w:vAlign w:val="bottom"/>
            <w:tcBorders>
              <w:bottom w:val="single" w:sz="8" w:color="auto"/>
            </w:tcBorders>
          </w:tcPr>
          <w:p>
            <w:pPr>
              <w:spacing w:after="0"/>
              <w:rPr>
                <w:sz w:val="11"/>
                <w:szCs w:val="11"/>
                <w:color w:val="auto"/>
              </w:rPr>
            </w:pPr>
          </w:p>
        </w:tc>
        <w:tc>
          <w:tcPr>
            <w:tcW w:w="180" w:type="dxa"/>
            <w:vAlign w:val="bottom"/>
            <w:tcBorders>
              <w:bottom w:val="single" w:sz="8" w:color="auto"/>
            </w:tcBorders>
          </w:tcPr>
          <w:p>
            <w:pPr>
              <w:spacing w:after="0"/>
              <w:rPr>
                <w:sz w:val="11"/>
                <w:szCs w:val="11"/>
                <w:color w:val="auto"/>
              </w:rPr>
            </w:pPr>
          </w:p>
        </w:tc>
        <w:tc>
          <w:tcPr>
            <w:tcW w:w="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80" w:type="dxa"/>
            <w:vAlign w:val="bottom"/>
            <w:tcBorders>
              <w:bottom w:val="single" w:sz="8" w:color="auto"/>
            </w:tcBorders>
          </w:tcPr>
          <w:p>
            <w:pPr>
              <w:spacing w:after="0"/>
              <w:rPr>
                <w:sz w:val="11"/>
                <w:szCs w:val="11"/>
                <w:color w:val="auto"/>
              </w:rPr>
            </w:pPr>
          </w:p>
        </w:tc>
        <w:tc>
          <w:tcPr>
            <w:tcW w:w="1880" w:type="dxa"/>
            <w:vAlign w:val="bottom"/>
            <w:tcBorders>
              <w:bottom w:val="single" w:sz="8" w:color="auto"/>
            </w:tcBorders>
            <w:gridSpan w:val="8"/>
          </w:tcPr>
          <w:p>
            <w:pPr>
              <w:jc w:val="right"/>
              <w:ind w:right="380"/>
              <w:spacing w:after="0" w:line="129" w:lineRule="exact"/>
              <w:rPr>
                <w:sz w:val="20"/>
                <w:szCs w:val="20"/>
                <w:color w:val="auto"/>
              </w:rPr>
            </w:pPr>
            <w:r>
              <w:rPr>
                <w:rFonts w:ascii="Arial" w:cs="Arial" w:eastAsia="Arial" w:hAnsi="Arial"/>
                <w:sz w:val="14"/>
                <w:szCs w:val="14"/>
                <w:b w:val="1"/>
                <w:bCs w:val="1"/>
                <w:color w:val="auto"/>
              </w:rPr>
              <w:t>12 months or more</w:t>
            </w:r>
          </w:p>
        </w:tc>
        <w:tc>
          <w:tcPr>
            <w:tcW w:w="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40" w:type="dxa"/>
            <w:vAlign w:val="bottom"/>
            <w:tcBorders>
              <w:bottom w:val="single" w:sz="8" w:color="auto"/>
            </w:tcBorders>
          </w:tcPr>
          <w:p>
            <w:pPr>
              <w:spacing w:after="0"/>
              <w:rPr>
                <w:sz w:val="11"/>
                <w:szCs w:val="11"/>
                <w:color w:val="auto"/>
              </w:rPr>
            </w:pPr>
          </w:p>
        </w:tc>
        <w:tc>
          <w:tcPr>
            <w:tcW w:w="640" w:type="dxa"/>
            <w:vAlign w:val="bottom"/>
            <w:tcBorders>
              <w:bottom w:val="single" w:sz="8" w:color="auto"/>
            </w:tcBorders>
          </w:tcPr>
          <w:p>
            <w:pPr>
              <w:spacing w:after="0"/>
              <w:rPr>
                <w:sz w:val="11"/>
                <w:szCs w:val="11"/>
                <w:color w:val="auto"/>
              </w:rPr>
            </w:pPr>
          </w:p>
        </w:tc>
        <w:tc>
          <w:tcPr>
            <w:tcW w:w="480" w:type="dxa"/>
            <w:vAlign w:val="bottom"/>
            <w:tcBorders>
              <w:bottom w:val="single" w:sz="8" w:color="auto"/>
            </w:tcBorders>
            <w:gridSpan w:val="4"/>
          </w:tcPr>
          <w:p>
            <w:pPr>
              <w:jc w:val="right"/>
              <w:spacing w:after="0" w:line="129" w:lineRule="exact"/>
              <w:rPr>
                <w:sz w:val="20"/>
                <w:szCs w:val="20"/>
                <w:color w:val="auto"/>
              </w:rPr>
            </w:pPr>
            <w:r>
              <w:rPr>
                <w:rFonts w:ascii="Arial" w:cs="Arial" w:eastAsia="Arial" w:hAnsi="Arial"/>
                <w:sz w:val="14"/>
                <w:szCs w:val="14"/>
                <w:b w:val="1"/>
                <w:bCs w:val="1"/>
                <w:color w:val="auto"/>
              </w:rPr>
              <w:t>Total</w:t>
            </w:r>
          </w:p>
        </w:tc>
        <w:tc>
          <w:tcPr>
            <w:tcW w:w="800" w:type="dxa"/>
            <w:vAlign w:val="bottom"/>
            <w:tcBorders>
              <w:bottom w:val="single" w:sz="8" w:color="auto"/>
            </w:tcBorders>
          </w:tcPr>
          <w:p>
            <w:pPr>
              <w:spacing w:after="0"/>
              <w:rPr>
                <w:sz w:val="11"/>
                <w:szCs w:val="11"/>
                <w:color w:val="auto"/>
              </w:rPr>
            </w:pPr>
          </w:p>
        </w:tc>
        <w:tc>
          <w:tcPr>
            <w:tcW w:w="80" w:type="dxa"/>
            <w:vAlign w:val="bottom"/>
          </w:tcPr>
          <w:p>
            <w:pPr>
              <w:spacing w:after="0"/>
              <w:rPr>
                <w:sz w:val="11"/>
                <w:szCs w:val="11"/>
                <w:color w:val="auto"/>
              </w:rPr>
            </w:pPr>
          </w:p>
        </w:tc>
      </w:tr>
      <w:tr>
        <w:trPr>
          <w:trHeight w:val="102"/>
        </w:trPr>
        <w:tc>
          <w:tcPr>
            <w:tcW w:w="3900" w:type="dxa"/>
            <w:vAlign w:val="bottom"/>
          </w:tcPr>
          <w:p>
            <w:pPr>
              <w:spacing w:after="0"/>
              <w:rPr>
                <w:sz w:val="8"/>
                <w:szCs w:val="8"/>
                <w:color w:val="auto"/>
              </w:rPr>
            </w:pPr>
          </w:p>
        </w:tc>
        <w:tc>
          <w:tcPr>
            <w:tcW w:w="4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200" w:type="dxa"/>
            <w:vAlign w:val="bottom"/>
            <w:gridSpan w:val="4"/>
          </w:tcPr>
          <w:p>
            <w:pPr>
              <w:jc w:val="center"/>
              <w:ind w:right="300"/>
              <w:spacing w:after="0" w:line="102" w:lineRule="exact"/>
              <w:rPr>
                <w:sz w:val="20"/>
                <w:szCs w:val="20"/>
                <w:color w:val="auto"/>
              </w:rPr>
            </w:pPr>
            <w:r>
              <w:rPr>
                <w:rFonts w:ascii="Arial" w:cs="Arial" w:eastAsia="Arial" w:hAnsi="Arial"/>
                <w:sz w:val="11"/>
                <w:szCs w:val="11"/>
                <w:b w:val="1"/>
                <w:bCs w:val="1"/>
                <w:color w:val="auto"/>
              </w:rPr>
              <w:t>Fair</w:t>
            </w:r>
          </w:p>
        </w:tc>
        <w:tc>
          <w:tcPr>
            <w:tcW w:w="100" w:type="dxa"/>
            <w:vAlign w:val="bottom"/>
          </w:tcPr>
          <w:p>
            <w:pPr>
              <w:spacing w:after="0"/>
              <w:rPr>
                <w:sz w:val="8"/>
                <w:szCs w:val="8"/>
                <w:color w:val="auto"/>
              </w:rPr>
            </w:pPr>
          </w:p>
        </w:tc>
        <w:tc>
          <w:tcPr>
            <w:tcW w:w="820" w:type="dxa"/>
            <w:vAlign w:val="bottom"/>
            <w:gridSpan w:val="4"/>
          </w:tcPr>
          <w:p>
            <w:pPr>
              <w:ind w:left="20"/>
              <w:spacing w:after="0" w:line="102" w:lineRule="exact"/>
              <w:rPr>
                <w:sz w:val="20"/>
                <w:szCs w:val="20"/>
                <w:color w:val="auto"/>
              </w:rPr>
            </w:pPr>
            <w:r>
              <w:rPr>
                <w:rFonts w:ascii="Arial" w:cs="Arial" w:eastAsia="Arial" w:hAnsi="Arial"/>
                <w:sz w:val="11"/>
                <w:szCs w:val="11"/>
                <w:b w:val="1"/>
                <w:bCs w:val="1"/>
                <w:color w:val="auto"/>
              </w:rPr>
              <w:t>Unrealized</w:t>
            </w:r>
          </w:p>
        </w:tc>
        <w:tc>
          <w:tcPr>
            <w:tcW w:w="140" w:type="dxa"/>
            <w:vAlign w:val="bottom"/>
          </w:tcPr>
          <w:p>
            <w:pPr>
              <w:spacing w:after="0"/>
              <w:rPr>
                <w:sz w:val="8"/>
                <w:szCs w:val="8"/>
                <w:color w:val="auto"/>
              </w:rPr>
            </w:pPr>
          </w:p>
        </w:tc>
        <w:tc>
          <w:tcPr>
            <w:tcW w:w="120" w:type="dxa"/>
            <w:vAlign w:val="bottom"/>
          </w:tcPr>
          <w:p>
            <w:pPr>
              <w:spacing w:after="0"/>
              <w:rPr>
                <w:sz w:val="8"/>
                <w:szCs w:val="8"/>
                <w:color w:val="auto"/>
              </w:rPr>
            </w:pPr>
          </w:p>
        </w:tc>
        <w:tc>
          <w:tcPr>
            <w:tcW w:w="180" w:type="dxa"/>
            <w:vAlign w:val="bottom"/>
          </w:tcPr>
          <w:p>
            <w:pPr>
              <w:spacing w:after="0"/>
              <w:rPr>
                <w:sz w:val="8"/>
                <w:szCs w:val="8"/>
                <w:color w:val="auto"/>
              </w:rPr>
            </w:pPr>
          </w:p>
        </w:tc>
        <w:tc>
          <w:tcPr>
            <w:tcW w:w="660" w:type="dxa"/>
            <w:vAlign w:val="bottom"/>
            <w:gridSpan w:val="2"/>
          </w:tcPr>
          <w:p>
            <w:pPr>
              <w:jc w:val="center"/>
              <w:ind w:right="120"/>
              <w:spacing w:after="0" w:line="102" w:lineRule="exact"/>
              <w:rPr>
                <w:sz w:val="20"/>
                <w:szCs w:val="20"/>
                <w:color w:val="auto"/>
              </w:rPr>
            </w:pPr>
            <w:r>
              <w:rPr>
                <w:rFonts w:ascii="Arial" w:cs="Arial" w:eastAsia="Arial" w:hAnsi="Arial"/>
                <w:sz w:val="11"/>
                <w:szCs w:val="11"/>
                <w:b w:val="1"/>
                <w:bCs w:val="1"/>
                <w:color w:val="auto"/>
              </w:rPr>
              <w:t>Fair</w:t>
            </w:r>
          </w:p>
        </w:tc>
        <w:tc>
          <w:tcPr>
            <w:tcW w:w="60" w:type="dxa"/>
            <w:vAlign w:val="bottom"/>
          </w:tcPr>
          <w:p>
            <w:pPr>
              <w:spacing w:after="0"/>
              <w:rPr>
                <w:sz w:val="8"/>
                <w:szCs w:val="8"/>
                <w:color w:val="auto"/>
              </w:rPr>
            </w:pPr>
          </w:p>
        </w:tc>
        <w:tc>
          <w:tcPr>
            <w:tcW w:w="140" w:type="dxa"/>
            <w:vAlign w:val="bottom"/>
          </w:tcPr>
          <w:p>
            <w:pPr>
              <w:spacing w:after="0"/>
              <w:rPr>
                <w:sz w:val="8"/>
                <w:szCs w:val="8"/>
                <w:color w:val="auto"/>
              </w:rPr>
            </w:pPr>
          </w:p>
        </w:tc>
        <w:tc>
          <w:tcPr>
            <w:tcW w:w="120" w:type="dxa"/>
            <w:vAlign w:val="bottom"/>
          </w:tcPr>
          <w:p>
            <w:pPr>
              <w:spacing w:after="0"/>
              <w:rPr>
                <w:sz w:val="8"/>
                <w:szCs w:val="8"/>
                <w:color w:val="auto"/>
              </w:rPr>
            </w:pPr>
          </w:p>
        </w:tc>
        <w:tc>
          <w:tcPr>
            <w:tcW w:w="100" w:type="dxa"/>
            <w:vAlign w:val="bottom"/>
          </w:tcPr>
          <w:p>
            <w:pPr>
              <w:spacing w:after="0"/>
              <w:rPr>
                <w:sz w:val="8"/>
                <w:szCs w:val="8"/>
                <w:color w:val="auto"/>
              </w:rPr>
            </w:pPr>
          </w:p>
        </w:tc>
        <w:tc>
          <w:tcPr>
            <w:tcW w:w="800" w:type="dxa"/>
            <w:vAlign w:val="bottom"/>
            <w:gridSpan w:val="2"/>
          </w:tcPr>
          <w:p>
            <w:pPr>
              <w:jc w:val="right"/>
              <w:ind w:right="40"/>
              <w:spacing w:after="0" w:line="102" w:lineRule="exact"/>
              <w:rPr>
                <w:sz w:val="20"/>
                <w:szCs w:val="20"/>
                <w:color w:val="auto"/>
              </w:rPr>
            </w:pPr>
            <w:r>
              <w:rPr>
                <w:rFonts w:ascii="Arial" w:cs="Arial" w:eastAsia="Arial" w:hAnsi="Arial"/>
                <w:sz w:val="11"/>
                <w:szCs w:val="11"/>
                <w:b w:val="1"/>
                <w:bCs w:val="1"/>
                <w:color w:val="auto"/>
              </w:rPr>
              <w:t>Unrealized</w:t>
            </w:r>
          </w:p>
        </w:tc>
        <w:tc>
          <w:tcPr>
            <w:tcW w:w="60" w:type="dxa"/>
            <w:vAlign w:val="bottom"/>
          </w:tcPr>
          <w:p>
            <w:pPr>
              <w:spacing w:after="0"/>
              <w:rPr>
                <w:sz w:val="8"/>
                <w:szCs w:val="8"/>
                <w:color w:val="auto"/>
              </w:rPr>
            </w:pPr>
          </w:p>
        </w:tc>
        <w:tc>
          <w:tcPr>
            <w:tcW w:w="200" w:type="dxa"/>
            <w:vAlign w:val="bottom"/>
          </w:tcPr>
          <w:p>
            <w:pPr>
              <w:spacing w:after="0"/>
              <w:rPr>
                <w:sz w:val="8"/>
                <w:szCs w:val="8"/>
                <w:color w:val="auto"/>
              </w:rPr>
            </w:pPr>
          </w:p>
        </w:tc>
        <w:tc>
          <w:tcPr>
            <w:tcW w:w="140" w:type="dxa"/>
            <w:vAlign w:val="bottom"/>
          </w:tcPr>
          <w:p>
            <w:pPr>
              <w:spacing w:after="0"/>
              <w:rPr>
                <w:sz w:val="8"/>
                <w:szCs w:val="8"/>
                <w:color w:val="auto"/>
              </w:rPr>
            </w:pPr>
          </w:p>
        </w:tc>
        <w:tc>
          <w:tcPr>
            <w:tcW w:w="920" w:type="dxa"/>
            <w:vAlign w:val="bottom"/>
            <w:gridSpan w:val="3"/>
          </w:tcPr>
          <w:p>
            <w:pPr>
              <w:jc w:val="center"/>
              <w:ind w:right="300"/>
              <w:spacing w:after="0" w:line="102" w:lineRule="exact"/>
              <w:rPr>
                <w:sz w:val="20"/>
                <w:szCs w:val="20"/>
                <w:color w:val="auto"/>
              </w:rPr>
            </w:pPr>
            <w:r>
              <w:rPr>
                <w:rFonts w:ascii="Arial" w:cs="Arial" w:eastAsia="Arial" w:hAnsi="Arial"/>
                <w:sz w:val="11"/>
                <w:szCs w:val="11"/>
                <w:b w:val="1"/>
                <w:bCs w:val="1"/>
                <w:color w:val="auto"/>
              </w:rPr>
              <w:t>Fair</w:t>
            </w:r>
          </w:p>
        </w:tc>
        <w:tc>
          <w:tcPr>
            <w:tcW w:w="100" w:type="dxa"/>
            <w:vAlign w:val="bottom"/>
          </w:tcPr>
          <w:p>
            <w:pPr>
              <w:spacing w:after="0"/>
              <w:rPr>
                <w:sz w:val="8"/>
                <w:szCs w:val="8"/>
                <w:color w:val="auto"/>
              </w:rPr>
            </w:pPr>
          </w:p>
        </w:tc>
        <w:tc>
          <w:tcPr>
            <w:tcW w:w="100" w:type="dxa"/>
            <w:vAlign w:val="bottom"/>
          </w:tcPr>
          <w:p>
            <w:pPr>
              <w:spacing w:after="0"/>
              <w:rPr>
                <w:sz w:val="8"/>
                <w:szCs w:val="8"/>
                <w:color w:val="auto"/>
              </w:rPr>
            </w:pPr>
          </w:p>
        </w:tc>
        <w:tc>
          <w:tcPr>
            <w:tcW w:w="800" w:type="dxa"/>
            <w:vAlign w:val="bottom"/>
          </w:tcPr>
          <w:p>
            <w:pPr>
              <w:jc w:val="right"/>
              <w:ind w:right="36"/>
              <w:spacing w:after="0" w:line="102" w:lineRule="exact"/>
              <w:rPr>
                <w:sz w:val="20"/>
                <w:szCs w:val="20"/>
                <w:color w:val="auto"/>
              </w:rPr>
            </w:pPr>
            <w:r>
              <w:rPr>
                <w:rFonts w:ascii="Arial" w:cs="Arial" w:eastAsia="Arial" w:hAnsi="Arial"/>
                <w:sz w:val="11"/>
                <w:szCs w:val="11"/>
                <w:b w:val="1"/>
                <w:bCs w:val="1"/>
                <w:color w:val="auto"/>
              </w:rPr>
              <w:t>Unrealized</w:t>
            </w:r>
          </w:p>
        </w:tc>
        <w:tc>
          <w:tcPr>
            <w:tcW w:w="80" w:type="dxa"/>
            <w:vAlign w:val="bottom"/>
          </w:tcPr>
          <w:p>
            <w:pPr>
              <w:spacing w:after="0"/>
              <w:rPr>
                <w:sz w:val="8"/>
                <w:szCs w:val="8"/>
                <w:color w:val="auto"/>
              </w:rPr>
            </w:pPr>
          </w:p>
        </w:tc>
      </w:tr>
      <w:tr>
        <w:trPr>
          <w:trHeight w:val="162"/>
        </w:trPr>
        <w:tc>
          <w:tcPr>
            <w:tcW w:w="39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00" w:type="dxa"/>
            <w:vAlign w:val="bottom"/>
            <w:gridSpan w:val="4"/>
          </w:tcPr>
          <w:p>
            <w:pPr>
              <w:jc w:val="center"/>
              <w:ind w:right="300"/>
              <w:spacing w:after="0"/>
              <w:rPr>
                <w:sz w:val="20"/>
                <w:szCs w:val="20"/>
                <w:color w:val="auto"/>
              </w:rPr>
            </w:pPr>
            <w:r>
              <w:rPr>
                <w:rFonts w:ascii="Arial" w:cs="Arial" w:eastAsia="Arial" w:hAnsi="Arial"/>
                <w:sz w:val="14"/>
                <w:szCs w:val="14"/>
                <w:b w:val="1"/>
                <w:bCs w:val="1"/>
                <w:color w:val="auto"/>
                <w:w w:val="90"/>
              </w:rPr>
              <w:t>Value</w:t>
            </w:r>
          </w:p>
        </w:tc>
        <w:tc>
          <w:tcPr>
            <w:tcW w:w="100" w:type="dxa"/>
            <w:vAlign w:val="bottom"/>
          </w:tcPr>
          <w:p>
            <w:pPr>
              <w:spacing w:after="0"/>
              <w:rPr>
                <w:sz w:val="14"/>
                <w:szCs w:val="14"/>
                <w:color w:val="auto"/>
              </w:rPr>
            </w:pPr>
          </w:p>
        </w:tc>
        <w:tc>
          <w:tcPr>
            <w:tcW w:w="560" w:type="dxa"/>
            <w:vAlign w:val="bottom"/>
            <w:gridSpan w:val="2"/>
          </w:tcPr>
          <w:p>
            <w:pPr>
              <w:ind w:left="140"/>
              <w:spacing w:after="0"/>
              <w:rPr>
                <w:sz w:val="20"/>
                <w:szCs w:val="20"/>
                <w:color w:val="auto"/>
              </w:rPr>
            </w:pPr>
            <w:r>
              <w:rPr>
                <w:rFonts w:ascii="Arial" w:cs="Arial" w:eastAsia="Arial" w:hAnsi="Arial"/>
                <w:sz w:val="14"/>
                <w:szCs w:val="14"/>
                <w:b w:val="1"/>
                <w:bCs w:val="1"/>
                <w:color w:val="auto"/>
                <w:w w:val="82"/>
              </w:rPr>
              <w:t>Losses</w:t>
            </w:r>
          </w:p>
        </w:tc>
        <w:tc>
          <w:tcPr>
            <w:tcW w:w="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6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96"/>
              </w:rPr>
              <w:t>Value</w:t>
            </w:r>
          </w:p>
        </w:tc>
        <w:tc>
          <w:tcPr>
            <w:tcW w:w="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rPr>
              <w:t>Losses</w:t>
            </w:r>
          </w:p>
        </w:tc>
        <w:tc>
          <w:tcPr>
            <w:tcW w:w="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20" w:type="dxa"/>
            <w:vAlign w:val="bottom"/>
            <w:gridSpan w:val="3"/>
          </w:tcPr>
          <w:p>
            <w:pPr>
              <w:jc w:val="center"/>
              <w:ind w:right="300"/>
              <w:spacing w:after="0"/>
              <w:rPr>
                <w:sz w:val="20"/>
                <w:szCs w:val="20"/>
                <w:color w:val="auto"/>
              </w:rPr>
            </w:pPr>
            <w:r>
              <w:rPr>
                <w:rFonts w:ascii="Arial" w:cs="Arial" w:eastAsia="Arial" w:hAnsi="Arial"/>
                <w:sz w:val="14"/>
                <w:szCs w:val="14"/>
                <w:b w:val="1"/>
                <w:bCs w:val="1"/>
                <w:color w:val="auto"/>
                <w:w w:val="90"/>
              </w:rPr>
              <w:t>Value</w:t>
            </w: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gridSpan w:val="2"/>
          </w:tcPr>
          <w:p>
            <w:pPr>
              <w:jc w:val="right"/>
              <w:ind w:right="260"/>
              <w:spacing w:after="0"/>
              <w:rPr>
                <w:sz w:val="20"/>
                <w:szCs w:val="20"/>
                <w:color w:val="auto"/>
              </w:rPr>
            </w:pPr>
            <w:r>
              <w:rPr>
                <w:rFonts w:ascii="Arial" w:cs="Arial" w:eastAsia="Arial" w:hAnsi="Arial"/>
                <w:sz w:val="14"/>
                <w:szCs w:val="14"/>
                <w:b w:val="1"/>
                <w:bCs w:val="1"/>
                <w:color w:val="auto"/>
              </w:rPr>
              <w:t>Losses</w:t>
            </w:r>
          </w:p>
        </w:tc>
      </w:tr>
      <w:tr>
        <w:trPr>
          <w:trHeight w:val="210"/>
        </w:trPr>
        <w:tc>
          <w:tcPr>
            <w:tcW w:w="39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44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spacing w:after="0"/>
              <w:rPr>
                <w:sz w:val="18"/>
                <w:szCs w:val="18"/>
                <w:color w:val="auto"/>
              </w:rPr>
            </w:pPr>
          </w:p>
        </w:tc>
        <w:tc>
          <w:tcPr>
            <w:tcW w:w="340" w:type="dxa"/>
            <w:vAlign w:val="bottom"/>
            <w:tcBorders>
              <w:top w:val="single" w:sz="8" w:color="auto"/>
            </w:tcBorders>
            <w:shd w:val="clear" w:color="auto" w:fill="CCEEFF"/>
          </w:tcPr>
          <w:p>
            <w:pPr>
              <w:jc w:val="right"/>
              <w:ind w:right="182"/>
              <w:spacing w:after="0"/>
              <w:rPr>
                <w:sz w:val="20"/>
                <w:szCs w:val="20"/>
                <w:color w:val="auto"/>
              </w:rPr>
            </w:pPr>
            <w:r>
              <w:rPr>
                <w:rFonts w:ascii="Arial" w:cs="Arial" w:eastAsia="Arial" w:hAnsi="Arial"/>
                <w:sz w:val="15"/>
                <w:szCs w:val="15"/>
                <w:color w:val="auto"/>
                <w:w w:val="71"/>
              </w:rPr>
              <w:t>$</w:t>
            </w:r>
          </w:p>
        </w:tc>
        <w:tc>
          <w:tcPr>
            <w:tcW w:w="280" w:type="dxa"/>
            <w:vAlign w:val="bottom"/>
            <w:tcBorders>
              <w:top w:val="single" w:sz="8" w:color="auto"/>
            </w:tcBorders>
            <w:shd w:val="clear" w:color="auto" w:fill="CCEEFF"/>
          </w:tcPr>
          <w:p>
            <w:pPr>
              <w:spacing w:after="0"/>
              <w:rPr>
                <w:sz w:val="18"/>
                <w:szCs w:val="18"/>
                <w:color w:val="auto"/>
              </w:rPr>
            </w:pPr>
          </w:p>
        </w:tc>
        <w:tc>
          <w:tcPr>
            <w:tcW w:w="3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36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26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33,661</w:t>
            </w:r>
          </w:p>
        </w:tc>
        <w:tc>
          <w:tcPr>
            <w:tcW w:w="1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(551)</w:t>
            </w:r>
          </w:p>
        </w:tc>
        <w:tc>
          <w:tcPr>
            <w:tcW w:w="260" w:type="dxa"/>
            <w:vAlign w:val="bottom"/>
            <w:tcBorders>
              <w:top w:val="single" w:sz="8" w:color="CCEEFF"/>
            </w:tcBorders>
            <w:gridSpan w:val="2"/>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33,661</w:t>
            </w:r>
          </w:p>
        </w:tc>
        <w:tc>
          <w:tcPr>
            <w:tcW w:w="1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(551)</w:t>
            </w:r>
          </w:p>
        </w:tc>
        <w:tc>
          <w:tcPr>
            <w:tcW w:w="80" w:type="dxa"/>
            <w:vAlign w:val="bottom"/>
            <w:tcBorders>
              <w:top w:val="single" w:sz="8" w:color="CCEEFF"/>
            </w:tcBorders>
            <w:shd w:val="clear" w:color="auto" w:fill="CCEEFF"/>
          </w:tcPr>
          <w:p>
            <w:pPr>
              <w:spacing w:after="0"/>
              <w:rPr>
                <w:sz w:val="18"/>
                <w:szCs w:val="18"/>
                <w:color w:val="auto"/>
              </w:rPr>
            </w:pPr>
          </w:p>
        </w:tc>
      </w:tr>
      <w:tr>
        <w:trPr>
          <w:trHeight w:val="216"/>
        </w:trPr>
        <w:tc>
          <w:tcPr>
            <w:tcW w:w="4340" w:type="dxa"/>
            <w:vAlign w:val="bottom"/>
            <w:gridSpan w:val="2"/>
          </w:tcPr>
          <w:p>
            <w:pPr>
              <w:spacing w:after="0"/>
              <w:rPr>
                <w:sz w:val="20"/>
                <w:szCs w:val="20"/>
                <w:color w:val="auto"/>
              </w:rPr>
            </w:pPr>
            <w:r>
              <w:rPr>
                <w:rFonts w:ascii="Arial" w:cs="Arial" w:eastAsia="Arial" w:hAnsi="Arial"/>
                <w:sz w:val="18"/>
                <w:szCs w:val="18"/>
                <w:color w:val="auto"/>
                <w:w w:val="95"/>
              </w:rPr>
              <w:t>U.S. Federal, State, county and municipal debt securities</w:t>
            </w:r>
          </w:p>
        </w:tc>
        <w:tc>
          <w:tcPr>
            <w:tcW w:w="2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5,023</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gridSpan w:val="3"/>
          </w:tcPr>
          <w:p>
            <w:pPr>
              <w:jc w:val="right"/>
              <w:spacing w:after="0"/>
              <w:rPr>
                <w:sz w:val="20"/>
                <w:szCs w:val="20"/>
                <w:color w:val="auto"/>
              </w:rPr>
            </w:pPr>
            <w:r>
              <w:rPr>
                <w:rFonts w:ascii="Arial" w:cs="Arial" w:eastAsia="Arial" w:hAnsi="Arial"/>
                <w:sz w:val="18"/>
                <w:szCs w:val="18"/>
                <w:color w:val="auto"/>
                <w:w w:val="93"/>
              </w:rPr>
              <w:t>(24)</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20" w:type="dxa"/>
            <w:vAlign w:val="bottom"/>
            <w:gridSpan w:val="3"/>
          </w:tcPr>
          <w:p>
            <w:pPr>
              <w:jc w:val="right"/>
              <w:spacing w:after="0"/>
              <w:rPr>
                <w:sz w:val="20"/>
                <w:szCs w:val="20"/>
                <w:color w:val="auto"/>
              </w:rPr>
            </w:pPr>
            <w:r>
              <w:rPr>
                <w:rFonts w:ascii="Arial" w:cs="Arial" w:eastAsia="Arial" w:hAnsi="Arial"/>
                <w:sz w:val="18"/>
                <w:szCs w:val="18"/>
                <w:color w:val="auto"/>
              </w:rPr>
              <w:t>102,393</w:t>
            </w: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4"/>
          </w:tcPr>
          <w:p>
            <w:pPr>
              <w:jc w:val="right"/>
              <w:ind w:right="125"/>
              <w:spacing w:after="0"/>
              <w:rPr>
                <w:sz w:val="20"/>
                <w:szCs w:val="20"/>
                <w:color w:val="auto"/>
              </w:rPr>
            </w:pPr>
            <w:r>
              <w:rPr>
                <w:rFonts w:ascii="Arial" w:cs="Arial" w:eastAsia="Arial" w:hAnsi="Arial"/>
                <w:sz w:val="18"/>
                <w:szCs w:val="18"/>
                <w:color w:val="auto"/>
              </w:rPr>
              <w:t>(1,568)</w:t>
            </w:r>
          </w:p>
        </w:tc>
        <w:tc>
          <w:tcPr>
            <w:tcW w:w="140" w:type="dxa"/>
            <w:vAlign w:val="bottom"/>
          </w:tcPr>
          <w:p>
            <w:pPr>
              <w:spacing w:after="0"/>
              <w:rPr>
                <w:sz w:val="18"/>
                <w:szCs w:val="18"/>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107,416</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(1,592)</w:t>
            </w:r>
          </w:p>
        </w:tc>
      </w:tr>
      <w:tr>
        <w:trPr>
          <w:trHeight w:val="223"/>
        </w:trPr>
        <w:tc>
          <w:tcPr>
            <w:tcW w:w="3900" w:type="dxa"/>
            <w:vAlign w:val="bottom"/>
            <w:tcBorders>
              <w:top w:val="single" w:sz="8" w:color="CCEEFF"/>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Total temporarily impaired securities</w:t>
            </w:r>
          </w:p>
        </w:tc>
        <w:tc>
          <w:tcPr>
            <w:tcW w:w="440" w:type="dxa"/>
            <w:vAlign w:val="bottom"/>
            <w:tcBorders>
              <w:top w:val="single" w:sz="8" w:color="CCEEFF"/>
              <w:bottom w:val="single" w:sz="8" w:color="CCEEFF"/>
            </w:tcBorders>
            <w:shd w:val="clear" w:color="auto" w:fill="CCEEFF"/>
          </w:tcPr>
          <w:p>
            <w:pPr>
              <w:spacing w:after="0"/>
              <w:rPr>
                <w:sz w:val="19"/>
                <w:szCs w:val="19"/>
                <w:color w:val="auto"/>
              </w:rPr>
            </w:pPr>
          </w:p>
        </w:tc>
        <w:tc>
          <w:tcPr>
            <w:tcW w:w="240" w:type="dxa"/>
            <w:vAlign w:val="bottom"/>
            <w:tcBorders>
              <w:top w:val="single" w:sz="8" w:color="CCEEFF"/>
              <w:bottom w:val="single" w:sz="8" w:color="CCEEFF"/>
            </w:tcBorders>
            <w:shd w:val="clear" w:color="auto" w:fill="CCEEFF"/>
          </w:tcPr>
          <w:p>
            <w:pPr>
              <w:spacing w:after="0"/>
              <w:rPr>
                <w:sz w:val="19"/>
                <w:szCs w:val="19"/>
                <w:color w:val="auto"/>
              </w:rPr>
            </w:pPr>
          </w:p>
        </w:tc>
        <w:tc>
          <w:tcPr>
            <w:tcW w:w="340" w:type="dxa"/>
            <w:vAlign w:val="bottom"/>
            <w:tcBorders>
              <w:top w:val="single" w:sz="8" w:color="auto"/>
              <w:bottom w:val="single" w:sz="8" w:color="auto"/>
            </w:tcBorders>
            <w:shd w:val="clear" w:color="auto" w:fill="CCEEFF"/>
          </w:tcPr>
          <w:p>
            <w:pPr>
              <w:jc w:val="right"/>
              <w:ind w:right="182"/>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5,053</w:t>
            </w:r>
          </w:p>
        </w:tc>
        <w:tc>
          <w:tcPr>
            <w:tcW w:w="280" w:type="dxa"/>
            <w:vAlign w:val="bottom"/>
            <w:tcBorders>
              <w:top w:val="single" w:sz="8" w:color="CCEEFF"/>
              <w:bottom w:val="single" w:sz="8" w:color="CCEEFF"/>
            </w:tcBorders>
            <w:shd w:val="clear" w:color="auto" w:fill="CCEEFF"/>
          </w:tcPr>
          <w:p>
            <w:pPr>
              <w:spacing w:after="0"/>
              <w:rPr>
                <w:sz w:val="19"/>
                <w:szCs w:val="19"/>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360" w:type="dxa"/>
            <w:vAlign w:val="bottom"/>
            <w:tcBorders>
              <w:top w:val="single" w:sz="8" w:color="auto"/>
              <w:bottom w:val="single" w:sz="8" w:color="auto"/>
            </w:tcBorders>
            <w:shd w:val="clear" w:color="auto" w:fill="CCEEFF"/>
          </w:tcPr>
          <w:p>
            <w:pPr>
              <w:spacing w:after="0"/>
              <w:rPr>
                <w:sz w:val="19"/>
                <w:szCs w:val="19"/>
                <w:color w:val="auto"/>
              </w:rPr>
            </w:pPr>
          </w:p>
        </w:tc>
        <w:tc>
          <w:tcPr>
            <w:tcW w:w="200" w:type="dxa"/>
            <w:vAlign w:val="bottom"/>
            <w:tcBorders>
              <w:top w:val="single" w:sz="8" w:color="auto"/>
              <w:bottom w:val="single" w:sz="8" w:color="auto"/>
            </w:tcBorders>
            <w:shd w:val="clear" w:color="auto" w:fill="CCEEFF"/>
          </w:tcPr>
          <w:p>
            <w:pPr>
              <w:spacing w:after="0"/>
              <w:rPr>
                <w:sz w:val="19"/>
                <w:szCs w:val="19"/>
                <w:color w:val="auto"/>
              </w:rPr>
            </w:pPr>
          </w:p>
        </w:tc>
        <w:tc>
          <w:tcPr>
            <w:tcW w:w="26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4"/>
              </w:rPr>
              <w:t>(24</w:t>
            </w:r>
          </w:p>
        </w:tc>
        <w:tc>
          <w:tcPr>
            <w:tcW w:w="14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74"/>
              </w:rPr>
              <w:t>)</w:t>
            </w: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136,054</w:t>
            </w:r>
          </w:p>
        </w:tc>
        <w:tc>
          <w:tcPr>
            <w:tcW w:w="14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(2,119</w:t>
            </w:r>
          </w:p>
        </w:tc>
        <w:tc>
          <w:tcPr>
            <w:tcW w:w="260" w:type="dxa"/>
            <w:vAlign w:val="bottom"/>
            <w:tcBorders>
              <w:top w:val="single" w:sz="8" w:color="CCEEFF"/>
              <w:bottom w:val="single" w:sz="8" w:color="CCEEFF"/>
            </w:tcBorders>
            <w:gridSpan w:val="2"/>
            <w:shd w:val="clear" w:color="auto" w:fill="CCEEFF"/>
          </w:tcPr>
          <w:p>
            <w:pPr>
              <w:jc w:val="right"/>
              <w:ind w:right="125"/>
              <w:spacing w:after="0"/>
              <w:rPr>
                <w:sz w:val="20"/>
                <w:szCs w:val="20"/>
                <w:color w:val="auto"/>
              </w:rPr>
            </w:pPr>
            <w:r>
              <w:rPr>
                <w:rFonts w:ascii="Arial" w:cs="Arial" w:eastAsia="Arial" w:hAnsi="Arial"/>
                <w:sz w:val="16"/>
                <w:szCs w:val="16"/>
                <w:color w:val="auto"/>
                <w:w w:val="74"/>
              </w:rPr>
              <w:t>)</w:t>
            </w: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141,077</w:t>
            </w:r>
          </w:p>
        </w:tc>
        <w:tc>
          <w:tcPr>
            <w:tcW w:w="160" w:type="dxa"/>
            <w:vAlign w:val="bottom"/>
            <w:tcBorders>
              <w:top w:val="single" w:sz="8" w:color="CCEEFF"/>
              <w:bottom w:val="single" w:sz="8" w:color="CCEEFF"/>
            </w:tcBorders>
            <w:shd w:val="clear" w:color="auto" w:fill="CCEEFF"/>
          </w:tcPr>
          <w:p>
            <w:pPr>
              <w:spacing w:after="0"/>
              <w:rPr>
                <w:sz w:val="19"/>
                <w:szCs w:val="19"/>
                <w:color w:val="auto"/>
              </w:rPr>
            </w:pPr>
          </w:p>
        </w:tc>
        <w:tc>
          <w:tcPr>
            <w:tcW w:w="100" w:type="dxa"/>
            <w:vAlign w:val="bottom"/>
            <w:tcBorders>
              <w:top w:val="single" w:sz="8" w:color="CCEEFF"/>
              <w:bottom w:val="single" w:sz="8" w:color="CCEEFF"/>
            </w:tcBorders>
            <w:shd w:val="clear" w:color="auto" w:fill="CCEEFF"/>
          </w:tcPr>
          <w:p>
            <w:pPr>
              <w:spacing w:after="0"/>
              <w:rPr>
                <w:sz w:val="19"/>
                <w:szCs w:val="19"/>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(2,143</w:t>
            </w:r>
          </w:p>
        </w:tc>
        <w:tc>
          <w:tcPr>
            <w:tcW w:w="8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74"/>
              </w:rPr>
              <w:t>)</w:t>
            </w:r>
          </w:p>
        </w:tc>
      </w:tr>
      <w:tr>
        <w:trPr>
          <w:trHeight w:val="20"/>
        </w:trPr>
        <w:tc>
          <w:tcPr>
            <w:tcW w:w="39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14"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Inventories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The components of inventory are presented in the following table (in thousands):</w:t>
      </w: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tbl>
      <w:tblPr>
        <w:tblLayout w:type="fixed"/>
        <w:tblInd w:w="1100" w:type="dxa"/>
        <w:tblCellMar>
          <w:top w:w="0" w:type="dxa"/>
          <w:left w:w="0" w:type="dxa"/>
          <w:bottom w:w="0" w:type="dxa"/>
          <w:right w:w="0" w:type="dxa"/>
        </w:tblCellMar>
      </w:tblPr>
      <w:tr>
        <w:trPr>
          <w:trHeight w:val="161"/>
        </w:trPr>
        <w:tc>
          <w:tcPr>
            <w:tcW w:w="2880" w:type="dxa"/>
            <w:vAlign w:val="bottom"/>
          </w:tcPr>
          <w:p>
            <w:pPr>
              <w:spacing w:after="0"/>
              <w:rPr>
                <w:sz w:val="14"/>
                <w:szCs w:val="14"/>
                <w:color w:val="auto"/>
              </w:rPr>
            </w:pPr>
          </w:p>
        </w:tc>
        <w:tc>
          <w:tcPr>
            <w:tcW w:w="45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gridSpan w:val="2"/>
          </w:tcPr>
          <w:p>
            <w:pPr>
              <w:spacing w:after="0"/>
              <w:rPr>
                <w:sz w:val="20"/>
                <w:szCs w:val="20"/>
                <w:color w:val="auto"/>
              </w:rPr>
            </w:pPr>
            <w:r>
              <w:rPr>
                <w:rFonts w:ascii="Arial" w:cs="Arial" w:eastAsia="Arial" w:hAnsi="Arial"/>
                <w:sz w:val="14"/>
                <w:szCs w:val="14"/>
                <w:b w:val="1"/>
                <w:bCs w:val="1"/>
                <w:color w:val="auto"/>
              </w:rPr>
              <w:t>April 30,</w:t>
            </w:r>
          </w:p>
        </w:tc>
        <w:tc>
          <w:tcPr>
            <w:tcW w:w="840" w:type="dxa"/>
            <w:vAlign w:val="bottom"/>
            <w:gridSpan w:val="3"/>
          </w:tcPr>
          <w:p>
            <w:pPr>
              <w:ind w:left="40"/>
              <w:spacing w:after="0"/>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61"/>
        </w:trPr>
        <w:tc>
          <w:tcPr>
            <w:tcW w:w="2880" w:type="dxa"/>
            <w:vAlign w:val="bottom"/>
            <w:tcBorders>
              <w:bottom w:val="single" w:sz="8" w:color="CCEEFF"/>
            </w:tcBorders>
          </w:tcPr>
          <w:p>
            <w:pPr>
              <w:spacing w:after="0"/>
              <w:rPr>
                <w:sz w:val="14"/>
                <w:szCs w:val="14"/>
                <w:color w:val="auto"/>
              </w:rPr>
            </w:pPr>
          </w:p>
        </w:tc>
        <w:tc>
          <w:tcPr>
            <w:tcW w:w="45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right"/>
              <w:ind w:right="178"/>
              <w:spacing w:after="0"/>
              <w:rPr>
                <w:sz w:val="20"/>
                <w:szCs w:val="20"/>
                <w:color w:val="auto"/>
              </w:rPr>
            </w:pPr>
            <w:r>
              <w:rPr>
                <w:rFonts w:ascii="Arial" w:cs="Arial" w:eastAsia="Arial" w:hAnsi="Arial"/>
                <w:sz w:val="14"/>
                <w:szCs w:val="14"/>
                <w:b w:val="1"/>
                <w:bCs w:val="1"/>
                <w:color w:val="auto"/>
              </w:rPr>
              <w:t>2006</w:t>
            </w:r>
          </w:p>
        </w:tc>
        <w:tc>
          <w:tcPr>
            <w:tcW w:w="20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96"/>
              <w:spacing w:after="0"/>
              <w:rPr>
                <w:sz w:val="20"/>
                <w:szCs w:val="20"/>
                <w:color w:val="auto"/>
              </w:rPr>
            </w:pPr>
            <w:r>
              <w:rPr>
                <w:rFonts w:ascii="Arial" w:cs="Arial" w:eastAsia="Arial" w:hAnsi="Arial"/>
                <w:sz w:val="14"/>
                <w:szCs w:val="14"/>
                <w:b w:val="1"/>
                <w:bCs w:val="1"/>
                <w:color w:val="auto"/>
              </w:rPr>
              <w:t>2006</w:t>
            </w:r>
          </w:p>
        </w:tc>
        <w:tc>
          <w:tcPr>
            <w:tcW w:w="4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880" w:type="dxa"/>
            <w:vAlign w:val="bottom"/>
            <w:shd w:val="clear" w:color="auto" w:fill="CCEEFF"/>
          </w:tcPr>
          <w:p>
            <w:pPr>
              <w:spacing w:after="0"/>
              <w:rPr>
                <w:sz w:val="20"/>
                <w:szCs w:val="20"/>
                <w:color w:val="auto"/>
              </w:rPr>
            </w:pPr>
            <w:r>
              <w:rPr>
                <w:rFonts w:ascii="Arial" w:cs="Arial" w:eastAsia="Arial" w:hAnsi="Arial"/>
                <w:sz w:val="18"/>
                <w:szCs w:val="18"/>
                <w:color w:val="auto"/>
              </w:rPr>
              <w:t>Work-in-process</w:t>
            </w:r>
          </w:p>
        </w:tc>
        <w:tc>
          <w:tcPr>
            <w:tcW w:w="45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102,252</w:t>
            </w: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96,110</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8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Finished goods</w:t>
            </w:r>
          </w:p>
        </w:tc>
        <w:tc>
          <w:tcPr>
            <w:tcW w:w="452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8"/>
              </w:rPr>
              <w:t>102,587</w:t>
            </w:r>
          </w:p>
        </w:tc>
        <w:tc>
          <w:tcPr>
            <w:tcW w:w="200" w:type="dxa"/>
            <w:vAlign w:val="bottom"/>
            <w:tcBorders>
              <w:bottom w:val="single" w:sz="8" w:color="CCEEFF"/>
            </w:tcBorders>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2"/>
              </w:rPr>
              <w:t>115,264</w:t>
            </w:r>
          </w:p>
        </w:tc>
        <w:tc>
          <w:tcPr>
            <w:tcW w:w="4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880" w:type="dxa"/>
            <w:vAlign w:val="bottom"/>
            <w:tcBorders>
              <w:bottom w:val="single" w:sz="8" w:color="CCEEFF"/>
            </w:tcBorders>
            <w:shd w:val="clear" w:color="auto" w:fill="CCEEFF"/>
          </w:tcPr>
          <w:p>
            <w:pPr>
              <w:spacing w:after="0"/>
              <w:rPr>
                <w:sz w:val="18"/>
                <w:szCs w:val="18"/>
                <w:color w:val="auto"/>
              </w:rPr>
            </w:pPr>
          </w:p>
        </w:tc>
        <w:tc>
          <w:tcPr>
            <w:tcW w:w="452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204,839</w:t>
            </w:r>
          </w:p>
        </w:tc>
        <w:tc>
          <w:tcPr>
            <w:tcW w:w="200" w:type="dxa"/>
            <w:vAlign w:val="bottom"/>
            <w:tcBorders>
              <w:bottom w:val="single" w:sz="8" w:color="CCEEFF"/>
            </w:tcBorders>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211,374</w:t>
            </w:r>
          </w:p>
        </w:tc>
        <w:tc>
          <w:tcPr>
            <w:tcW w:w="4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880" w:type="dxa"/>
            <w:vAlign w:val="bottom"/>
          </w:tcPr>
          <w:p>
            <w:pPr>
              <w:spacing w:after="0" w:line="20" w:lineRule="exact"/>
              <w:rPr>
                <w:sz w:val="1"/>
                <w:szCs w:val="1"/>
                <w:color w:val="auto"/>
              </w:rPr>
            </w:pPr>
          </w:p>
        </w:tc>
        <w:tc>
          <w:tcPr>
            <w:tcW w:w="4520" w:type="dxa"/>
            <w:vAlign w:val="bottom"/>
            <w:vMerge w:val="restart"/>
          </w:tcPr>
          <w:p>
            <w:pPr>
              <w:jc w:val="right"/>
              <w:ind w:right="2650"/>
              <w:spacing w:after="0"/>
              <w:rPr>
                <w:sz w:val="20"/>
                <w:szCs w:val="20"/>
                <w:color w:val="auto"/>
              </w:rPr>
            </w:pPr>
            <w:r>
              <w:rPr>
                <w:rFonts w:ascii="Arial" w:cs="Arial" w:eastAsia="Arial" w:hAnsi="Arial"/>
                <w:sz w:val="18"/>
                <w:szCs w:val="18"/>
                <w:color w:val="auto"/>
              </w:rPr>
              <w:t>9</w:t>
            </w:r>
          </w:p>
        </w:tc>
        <w:tc>
          <w:tcPr>
            <w:tcW w:w="10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45"/>
        </w:trPr>
        <w:tc>
          <w:tcPr>
            <w:tcW w:w="2880" w:type="dxa"/>
            <w:vAlign w:val="bottom"/>
          </w:tcPr>
          <w:p>
            <w:pPr>
              <w:spacing w:after="0"/>
              <w:rPr>
                <w:sz w:val="24"/>
                <w:szCs w:val="24"/>
                <w:color w:val="auto"/>
              </w:rPr>
            </w:pPr>
          </w:p>
        </w:tc>
        <w:tc>
          <w:tcPr>
            <w:tcW w:w="452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Prepaid expenses and other current assets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The following table presents details of prepaid expenses and other current assets (in thousands):</w:t>
      </w: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tbl>
      <w:tblPr>
        <w:tblLayout w:type="fixed"/>
        <w:tblInd w:w="260" w:type="dxa"/>
        <w:tblCellMar>
          <w:top w:w="0" w:type="dxa"/>
          <w:left w:w="0" w:type="dxa"/>
          <w:bottom w:w="0" w:type="dxa"/>
          <w:right w:w="0" w:type="dxa"/>
        </w:tblCellMar>
      </w:tblPr>
      <w:tr>
        <w:trPr>
          <w:trHeight w:val="161"/>
        </w:trPr>
        <w:tc>
          <w:tcPr>
            <w:tcW w:w="7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40" w:type="dxa"/>
            <w:vAlign w:val="bottom"/>
            <w:gridSpan w:val="3"/>
          </w:tcPr>
          <w:p>
            <w:pPr>
              <w:jc w:val="right"/>
              <w:ind w:right="280"/>
              <w:spacing w:after="0"/>
              <w:rPr>
                <w:sz w:val="20"/>
                <w:szCs w:val="20"/>
                <w:color w:val="auto"/>
              </w:rPr>
            </w:pPr>
            <w:r>
              <w:rPr>
                <w:rFonts w:ascii="Arial" w:cs="Arial" w:eastAsia="Arial" w:hAnsi="Arial"/>
                <w:sz w:val="14"/>
                <w:szCs w:val="14"/>
                <w:b w:val="1"/>
                <w:bCs w:val="1"/>
                <w:color w:val="auto"/>
                <w:w w:val="97"/>
              </w:rPr>
              <w:t>April 30,</w:t>
            </w:r>
          </w:p>
        </w:tc>
        <w:tc>
          <w:tcPr>
            <w:tcW w:w="40" w:type="dxa"/>
            <w:vAlign w:val="bottom"/>
          </w:tcPr>
          <w:p>
            <w:pPr>
              <w:spacing w:after="0"/>
              <w:rPr>
                <w:sz w:val="14"/>
                <w:szCs w:val="14"/>
                <w:color w:val="auto"/>
              </w:rPr>
            </w:pPr>
          </w:p>
        </w:tc>
        <w:tc>
          <w:tcPr>
            <w:tcW w:w="960" w:type="dxa"/>
            <w:vAlign w:val="bottom"/>
            <w:gridSpan w:val="5"/>
          </w:tcPr>
          <w:p>
            <w:pPr>
              <w:ind w:left="40"/>
              <w:spacing w:after="0"/>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61"/>
        </w:trPr>
        <w:tc>
          <w:tcPr>
            <w:tcW w:w="7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900" w:type="dxa"/>
            <w:vAlign w:val="bottom"/>
            <w:tcBorders>
              <w:bottom w:val="single" w:sz="8" w:color="CCEEFF"/>
            </w:tcBorders>
          </w:tcPr>
          <w:p>
            <w:pPr>
              <w:spacing w:after="0"/>
              <w:rPr>
                <w:sz w:val="14"/>
                <w:szCs w:val="14"/>
                <w:color w:val="auto"/>
              </w:rPr>
            </w:pPr>
          </w:p>
        </w:tc>
        <w:tc>
          <w:tcPr>
            <w:tcW w:w="88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88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76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88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2006</w:t>
            </w:r>
          </w:p>
        </w:tc>
        <w:tc>
          <w:tcPr>
            <w:tcW w:w="40" w:type="dxa"/>
            <w:vAlign w:val="bottom"/>
            <w:tcBorders>
              <w:bottom w:val="single" w:sz="8" w:color="auto"/>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2006</w:t>
            </w:r>
          </w:p>
        </w:tc>
        <w:tc>
          <w:tcPr>
            <w:tcW w:w="80" w:type="dxa"/>
            <w:vAlign w:val="bottom"/>
            <w:tcBorders>
              <w:bottom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900" w:type="dxa"/>
            <w:vAlign w:val="bottom"/>
            <w:shd w:val="clear" w:color="auto" w:fill="CCEEFF"/>
          </w:tcPr>
          <w:p>
            <w:pPr>
              <w:spacing w:after="0"/>
              <w:rPr>
                <w:sz w:val="20"/>
                <w:szCs w:val="20"/>
                <w:color w:val="auto"/>
              </w:rPr>
            </w:pPr>
            <w:r>
              <w:rPr>
                <w:rFonts w:ascii="Arial" w:cs="Arial" w:eastAsia="Arial" w:hAnsi="Arial"/>
                <w:sz w:val="18"/>
                <w:szCs w:val="18"/>
                <w:color w:val="auto"/>
              </w:rPr>
              <w:t>Prepayments for foundry capacity</w:t>
            </w:r>
          </w:p>
        </w:tc>
        <w:tc>
          <w:tcPr>
            <w:tcW w:w="8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56,900</w:t>
            </w:r>
          </w:p>
        </w:tc>
        <w:tc>
          <w:tcPr>
            <w:tcW w:w="1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720" w:type="dxa"/>
            <w:vAlign w:val="bottom"/>
            <w:tcBorders>
              <w:right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62,120</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900" w:type="dxa"/>
            <w:vAlign w:val="bottom"/>
          </w:tcPr>
          <w:p>
            <w:pPr>
              <w:spacing w:after="0"/>
              <w:rPr>
                <w:sz w:val="20"/>
                <w:szCs w:val="20"/>
                <w:color w:val="auto"/>
              </w:rPr>
            </w:pPr>
            <w:r>
              <w:rPr>
                <w:rFonts w:ascii="Arial" w:cs="Arial" w:eastAsia="Arial" w:hAnsi="Arial"/>
                <w:sz w:val="18"/>
                <w:szCs w:val="18"/>
                <w:color w:val="auto"/>
              </w:rPr>
              <w:t>Receivable from foundry</w:t>
            </w:r>
          </w:p>
        </w:tc>
        <w:tc>
          <w:tcPr>
            <w:tcW w:w="8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20"/>
              <w:spacing w:after="0"/>
              <w:rPr>
                <w:sz w:val="20"/>
                <w:szCs w:val="20"/>
                <w:color w:val="auto"/>
              </w:rPr>
            </w:pPr>
            <w:r>
              <w:rPr>
                <w:rFonts w:ascii="Arial" w:cs="Arial" w:eastAsia="Arial" w:hAnsi="Arial"/>
                <w:sz w:val="18"/>
                <w:szCs w:val="18"/>
                <w:color w:val="auto"/>
              </w:rPr>
              <w:t>26,339</w:t>
            </w: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gridSpan w:val="2"/>
          </w:tcPr>
          <w:p>
            <w:pPr>
              <w:jc w:val="right"/>
              <w:ind w:right="60"/>
              <w:spacing w:after="0"/>
              <w:rPr>
                <w:sz w:val="20"/>
                <w:szCs w:val="20"/>
                <w:color w:val="auto"/>
              </w:rPr>
            </w:pPr>
            <w:r>
              <w:rPr>
                <w:rFonts w:ascii="Arial" w:cs="Arial" w:eastAsia="Arial" w:hAnsi="Arial"/>
                <w:sz w:val="18"/>
                <w:szCs w:val="18"/>
                <w:color w:val="auto"/>
              </w:rPr>
              <w:t>19,512</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90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8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80" w:type="dxa"/>
            <w:vAlign w:val="bottom"/>
            <w:tcBorders>
              <w:bottom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33,615</w:t>
            </w:r>
          </w:p>
        </w:tc>
        <w:tc>
          <w:tcPr>
            <w:tcW w:w="1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right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22,675</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90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Borders>
              <w:bottom w:val="single" w:sz="8" w:color="auto"/>
            </w:tcBorders>
            <w:gridSpan w:val="3"/>
          </w:tcPr>
          <w:p>
            <w:pPr>
              <w:jc w:val="right"/>
              <w:ind w:right="20"/>
              <w:spacing w:after="0"/>
              <w:rPr>
                <w:sz w:val="20"/>
                <w:szCs w:val="20"/>
                <w:color w:val="auto"/>
              </w:rPr>
            </w:pPr>
            <w:r>
              <w:rPr>
                <w:rFonts w:ascii="Arial" w:cs="Arial" w:eastAsia="Arial" w:hAnsi="Arial"/>
                <w:sz w:val="18"/>
                <w:szCs w:val="18"/>
                <w:color w:val="auto"/>
                <w:w w:val="92"/>
              </w:rPr>
              <w:t>$ 116,854</w:t>
            </w: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720" w:type="dxa"/>
            <w:vAlign w:val="bottom"/>
            <w:tcBorders>
              <w:bottom w:val="single" w:sz="8" w:color="auto"/>
            </w:tcBorders>
            <w:gridSpan w:val="2"/>
          </w:tcPr>
          <w:p>
            <w:pPr>
              <w:jc w:val="right"/>
              <w:ind w:right="60"/>
              <w:spacing w:after="0"/>
              <w:rPr>
                <w:sz w:val="20"/>
                <w:szCs w:val="20"/>
                <w:color w:val="auto"/>
              </w:rPr>
            </w:pPr>
            <w:r>
              <w:rPr>
                <w:rFonts w:ascii="Arial" w:cs="Arial" w:eastAsia="Arial" w:hAnsi="Arial"/>
                <w:sz w:val="18"/>
                <w:szCs w:val="18"/>
                <w:color w:val="auto"/>
                <w:w w:val="98"/>
              </w:rPr>
              <w:t>104,307</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740" w:type="dxa"/>
            <w:vAlign w:val="bottom"/>
            <w:gridSpan w:val="3"/>
            <w:vMerge w:val="restart"/>
          </w:tcPr>
          <w:p>
            <w:pPr>
              <w:spacing w:after="0"/>
              <w:rPr>
                <w:sz w:val="20"/>
                <w:szCs w:val="20"/>
                <w:color w:val="auto"/>
              </w:rPr>
            </w:pPr>
            <w:r>
              <w:rPr>
                <w:rFonts w:ascii="Arial" w:cs="Arial" w:eastAsia="Arial" w:hAnsi="Arial"/>
                <w:sz w:val="18"/>
                <w:szCs w:val="18"/>
                <w:b w:val="1"/>
                <w:bCs w:val="1"/>
                <w:color w:val="auto"/>
              </w:rPr>
              <w:t>Property and equipment</w:t>
            </w:r>
          </w:p>
        </w:tc>
        <w:tc>
          <w:tcPr>
            <w:tcW w:w="8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29"/>
        </w:trPr>
        <w:tc>
          <w:tcPr>
            <w:tcW w:w="3740" w:type="dxa"/>
            <w:vAlign w:val="bottom"/>
            <w:gridSpan w:val="3"/>
            <w:vMerge w:val="continue"/>
          </w:tcPr>
          <w:p>
            <w:pPr>
              <w:spacing w:after="0"/>
              <w:rPr>
                <w:sz w:val="24"/>
                <w:szCs w:val="24"/>
                <w:color w:val="auto"/>
              </w:rPr>
            </w:pPr>
          </w:p>
        </w:tc>
        <w:tc>
          <w:tcPr>
            <w:tcW w:w="8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56"/>
        </w:trPr>
        <w:tc>
          <w:tcPr>
            <w:tcW w:w="7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9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940" w:type="dxa"/>
            <w:vAlign w:val="bottom"/>
            <w:gridSpan w:val="4"/>
          </w:tcPr>
          <w:p>
            <w:pPr>
              <w:jc w:val="center"/>
              <w:ind w:right="260"/>
              <w:spacing w:after="0"/>
              <w:rPr>
                <w:sz w:val="20"/>
                <w:szCs w:val="20"/>
                <w:color w:val="auto"/>
              </w:rPr>
            </w:pPr>
            <w:r>
              <w:rPr>
                <w:rFonts w:ascii="Arial" w:cs="Arial" w:eastAsia="Arial" w:hAnsi="Arial"/>
                <w:sz w:val="14"/>
                <w:szCs w:val="14"/>
                <w:b w:val="1"/>
                <w:bCs w:val="1"/>
                <w:color w:val="auto"/>
              </w:rPr>
              <w:t>April 30,</w:t>
            </w:r>
          </w:p>
        </w:tc>
        <w:tc>
          <w:tcPr>
            <w:tcW w:w="1000" w:type="dxa"/>
            <w:vAlign w:val="bottom"/>
            <w:gridSpan w:val="6"/>
          </w:tcPr>
          <w:p>
            <w:pPr>
              <w:ind w:left="20"/>
              <w:spacing w:after="0"/>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62"/>
        </w:trPr>
        <w:tc>
          <w:tcPr>
            <w:tcW w:w="7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900" w:type="dxa"/>
            <w:vAlign w:val="bottom"/>
            <w:tcBorders>
              <w:bottom w:val="single" w:sz="8" w:color="CCEEFF"/>
            </w:tcBorders>
          </w:tcPr>
          <w:p>
            <w:pPr>
              <w:spacing w:after="0"/>
              <w:rPr>
                <w:sz w:val="14"/>
                <w:szCs w:val="14"/>
                <w:color w:val="auto"/>
              </w:rPr>
            </w:pPr>
          </w:p>
        </w:tc>
        <w:tc>
          <w:tcPr>
            <w:tcW w:w="88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88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76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88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ind w:right="74"/>
              <w:spacing w:after="0"/>
              <w:rPr>
                <w:sz w:val="20"/>
                <w:szCs w:val="20"/>
                <w:color w:val="auto"/>
              </w:rPr>
            </w:pPr>
            <w:r>
              <w:rPr>
                <w:rFonts w:ascii="Arial" w:cs="Arial" w:eastAsia="Arial" w:hAnsi="Arial"/>
                <w:sz w:val="14"/>
                <w:szCs w:val="14"/>
                <w:b w:val="1"/>
                <w:bCs w:val="1"/>
                <w:color w:val="auto"/>
                <w:w w:val="89"/>
              </w:rPr>
              <w:t>2006</w:t>
            </w:r>
          </w:p>
        </w:tc>
        <w:tc>
          <w:tcPr>
            <w:tcW w:w="4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75"/>
              <w:spacing w:after="0"/>
              <w:rPr>
                <w:sz w:val="20"/>
                <w:szCs w:val="20"/>
                <w:color w:val="auto"/>
              </w:rPr>
            </w:pPr>
            <w:r>
              <w:rPr>
                <w:rFonts w:ascii="Arial" w:cs="Arial" w:eastAsia="Arial" w:hAnsi="Arial"/>
                <w:sz w:val="14"/>
                <w:szCs w:val="14"/>
                <w:b w:val="1"/>
                <w:bCs w:val="1"/>
                <w:color w:val="auto"/>
              </w:rPr>
              <w:t>2006</w:t>
            </w:r>
          </w:p>
        </w:tc>
        <w:tc>
          <w:tcPr>
            <w:tcW w:w="80" w:type="dxa"/>
            <w:vAlign w:val="bottom"/>
            <w:tcBorders>
              <w:bottom w:val="single" w:sz="8" w:color="CCEEFF"/>
            </w:tcBorders>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7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780" w:type="dxa"/>
            <w:vAlign w:val="bottom"/>
            <w:gridSpan w:val="2"/>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Property and equipment (in thousands):</w:t>
            </w:r>
          </w:p>
        </w:tc>
        <w:tc>
          <w:tcPr>
            <w:tcW w:w="22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80" w:type="dxa"/>
            <w:vAlign w:val="bottom"/>
            <w:tcBorders>
              <w:right w:val="single" w:sz="8" w:color="CCEEFF"/>
            </w:tcBorders>
            <w:shd w:val="clear" w:color="auto" w:fill="CCEEFF"/>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900" w:type="dxa"/>
            <w:vAlign w:val="bottom"/>
          </w:tcPr>
          <w:p>
            <w:pPr>
              <w:ind w:left="180"/>
              <w:spacing w:after="0"/>
              <w:rPr>
                <w:sz w:val="20"/>
                <w:szCs w:val="20"/>
                <w:color w:val="auto"/>
              </w:rPr>
            </w:pPr>
            <w:r>
              <w:rPr>
                <w:rFonts w:ascii="Arial" w:cs="Arial" w:eastAsia="Arial" w:hAnsi="Arial"/>
                <w:sz w:val="18"/>
                <w:szCs w:val="18"/>
                <w:color w:val="auto"/>
              </w:rPr>
              <w:t>Machinery and equipment</w:t>
            </w:r>
          </w:p>
        </w:tc>
        <w:tc>
          <w:tcPr>
            <w:tcW w:w="8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080" w:type="dxa"/>
            <w:vAlign w:val="bottom"/>
            <w:gridSpan w:val="5"/>
          </w:tcPr>
          <w:p>
            <w:pPr>
              <w:jc w:val="right"/>
              <w:spacing w:after="0"/>
              <w:rPr>
                <w:sz w:val="20"/>
                <w:szCs w:val="20"/>
                <w:color w:val="auto"/>
              </w:rPr>
            </w:pPr>
            <w:r>
              <w:rPr>
                <w:rFonts w:ascii="Arial" w:cs="Arial" w:eastAsia="Arial" w:hAnsi="Arial"/>
                <w:sz w:val="18"/>
                <w:szCs w:val="18"/>
                <w:color w:val="auto"/>
              </w:rPr>
              <w:t>$ 155,722</w:t>
            </w: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0" w:type="dxa"/>
            <w:vAlign w:val="bottom"/>
            <w:gridSpan w:val="2"/>
          </w:tcPr>
          <w:p>
            <w:pPr>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2"/>
              </w:rPr>
              <w:t>142,320</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9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Computer software</w:t>
            </w:r>
          </w:p>
        </w:tc>
        <w:tc>
          <w:tcPr>
            <w:tcW w:w="8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112,785</w:t>
            </w:r>
          </w:p>
        </w:tc>
        <w:tc>
          <w:tcPr>
            <w:tcW w:w="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108,032</w:t>
            </w:r>
          </w:p>
        </w:tc>
        <w:tc>
          <w:tcPr>
            <w:tcW w:w="80" w:type="dxa"/>
            <w:vAlign w:val="bottom"/>
            <w:tcBorders>
              <w:right w:val="single" w:sz="8" w:color="CCEEFF"/>
            </w:tcBorders>
            <w:shd w:val="clear" w:color="auto" w:fill="CCEEFF"/>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900" w:type="dxa"/>
            <w:vAlign w:val="bottom"/>
          </w:tcPr>
          <w:p>
            <w:pPr>
              <w:ind w:left="180"/>
              <w:spacing w:after="0"/>
              <w:rPr>
                <w:sz w:val="20"/>
                <w:szCs w:val="20"/>
                <w:color w:val="auto"/>
              </w:rPr>
            </w:pPr>
            <w:r>
              <w:rPr>
                <w:rFonts w:ascii="Arial" w:cs="Arial" w:eastAsia="Arial" w:hAnsi="Arial"/>
                <w:sz w:val="18"/>
                <w:szCs w:val="18"/>
                <w:color w:val="auto"/>
              </w:rPr>
              <w:t>Furniture and fixtures</w:t>
            </w:r>
          </w:p>
        </w:tc>
        <w:tc>
          <w:tcPr>
            <w:tcW w:w="8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11,526</w:t>
            </w: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10,588</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9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Leasehold improvements</w:t>
            </w:r>
          </w:p>
        </w:tc>
        <w:tc>
          <w:tcPr>
            <w:tcW w:w="8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9,535</w:t>
            </w:r>
          </w:p>
        </w:tc>
        <w:tc>
          <w:tcPr>
            <w:tcW w:w="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9,292</w:t>
            </w:r>
          </w:p>
        </w:tc>
        <w:tc>
          <w:tcPr>
            <w:tcW w:w="80" w:type="dxa"/>
            <w:vAlign w:val="bottom"/>
            <w:tcBorders>
              <w:right w:val="single" w:sz="8" w:color="CCEEFF"/>
            </w:tcBorders>
            <w:shd w:val="clear" w:color="auto" w:fill="CCEEFF"/>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900" w:type="dxa"/>
            <w:vAlign w:val="bottom"/>
          </w:tcPr>
          <w:p>
            <w:pPr>
              <w:ind w:left="180"/>
              <w:spacing w:after="0"/>
              <w:rPr>
                <w:sz w:val="20"/>
                <w:szCs w:val="20"/>
                <w:color w:val="auto"/>
              </w:rPr>
            </w:pPr>
            <w:r>
              <w:rPr>
                <w:rFonts w:ascii="Arial" w:cs="Arial" w:eastAsia="Arial" w:hAnsi="Arial"/>
                <w:sz w:val="18"/>
                <w:szCs w:val="18"/>
                <w:color w:val="auto"/>
              </w:rPr>
              <w:t>Buildings</w:t>
            </w:r>
          </w:p>
        </w:tc>
        <w:tc>
          <w:tcPr>
            <w:tcW w:w="8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8,727</w:t>
            </w: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8,727</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9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Building improvements</w:t>
            </w:r>
          </w:p>
        </w:tc>
        <w:tc>
          <w:tcPr>
            <w:tcW w:w="8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25,768</w:t>
            </w:r>
          </w:p>
        </w:tc>
        <w:tc>
          <w:tcPr>
            <w:tcW w:w="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24,747</w:t>
            </w:r>
          </w:p>
        </w:tc>
        <w:tc>
          <w:tcPr>
            <w:tcW w:w="80" w:type="dxa"/>
            <w:vAlign w:val="bottom"/>
            <w:tcBorders>
              <w:right w:val="single" w:sz="8" w:color="CCEEFF"/>
            </w:tcBorders>
            <w:shd w:val="clear" w:color="auto" w:fill="CCEEFF"/>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900" w:type="dxa"/>
            <w:vAlign w:val="bottom"/>
          </w:tcPr>
          <w:p>
            <w:pPr>
              <w:ind w:left="180"/>
              <w:spacing w:after="0"/>
              <w:rPr>
                <w:sz w:val="20"/>
                <w:szCs w:val="20"/>
                <w:color w:val="auto"/>
              </w:rPr>
            </w:pPr>
            <w:r>
              <w:rPr>
                <w:rFonts w:ascii="Arial" w:cs="Arial" w:eastAsia="Arial" w:hAnsi="Arial"/>
                <w:sz w:val="18"/>
                <w:szCs w:val="18"/>
                <w:color w:val="auto"/>
              </w:rPr>
              <w:t>Land</w:t>
            </w:r>
          </w:p>
        </w:tc>
        <w:tc>
          <w:tcPr>
            <w:tcW w:w="8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51,500</w:t>
            </w: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51,500</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9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Construction in progress</w:t>
            </w:r>
          </w:p>
        </w:tc>
        <w:tc>
          <w:tcPr>
            <w:tcW w:w="8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tcBorders>
              <w:bottom w:val="single" w:sz="8" w:color="auto"/>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68,106</w:t>
            </w:r>
          </w:p>
        </w:tc>
        <w:tc>
          <w:tcPr>
            <w:tcW w:w="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0" w:type="dxa"/>
            <w:vAlign w:val="bottom"/>
            <w:tcBorders>
              <w:bottom w:val="single" w:sz="8" w:color="auto"/>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56,311</w:t>
            </w:r>
          </w:p>
        </w:tc>
        <w:tc>
          <w:tcPr>
            <w:tcW w:w="80" w:type="dxa"/>
            <w:vAlign w:val="bottom"/>
            <w:tcBorders>
              <w:right w:val="single" w:sz="8" w:color="CCEEFF"/>
            </w:tcBorders>
            <w:shd w:val="clear" w:color="auto" w:fill="CCEEFF"/>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90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2"/>
              </w:rPr>
              <w:t>443,669</w:t>
            </w: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2"/>
              </w:rPr>
              <w:t>411,517</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7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w w:val="91"/>
              </w:rPr>
              <w:t>Less: Accumulated depreciation and amortization</w:t>
            </w:r>
          </w:p>
        </w:tc>
        <w:tc>
          <w:tcPr>
            <w:tcW w:w="22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280" w:type="dxa"/>
            <w:vAlign w:val="bottom"/>
            <w:gridSpan w:val="7"/>
            <w:shd w:val="clear" w:color="auto" w:fill="CCEEFF"/>
          </w:tcPr>
          <w:p>
            <w:pPr>
              <w:jc w:val="right"/>
              <w:ind w:right="140"/>
              <w:spacing w:after="0"/>
              <w:rPr>
                <w:sz w:val="20"/>
                <w:szCs w:val="20"/>
                <w:color w:val="auto"/>
              </w:rPr>
            </w:pPr>
            <w:r>
              <w:rPr>
                <w:rFonts w:ascii="Arial" w:cs="Arial" w:eastAsia="Arial" w:hAnsi="Arial"/>
                <w:sz w:val="18"/>
                <w:szCs w:val="18"/>
                <w:color w:val="auto"/>
              </w:rPr>
              <w:t>(164,271)</w:t>
            </w:r>
          </w:p>
        </w:tc>
        <w:tc>
          <w:tcPr>
            <w:tcW w:w="880" w:type="dxa"/>
            <w:vAlign w:val="bottom"/>
            <w:tcBorders>
              <w:right w:val="single" w:sz="8" w:color="CCEEFF"/>
            </w:tcBorders>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(150,596)</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90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Borders>
              <w:top w:val="single" w:sz="8" w:color="auto"/>
              <w:bottom w:val="single" w:sz="8" w:color="auto"/>
            </w:tcBorders>
            <w:gridSpan w:val="3"/>
          </w:tcPr>
          <w:p>
            <w:pPr>
              <w:jc w:val="right"/>
              <w:spacing w:after="0"/>
              <w:rPr>
                <w:sz w:val="20"/>
                <w:szCs w:val="20"/>
                <w:color w:val="auto"/>
              </w:rPr>
            </w:pPr>
            <w:r>
              <w:rPr>
                <w:rFonts w:ascii="Arial" w:cs="Arial" w:eastAsia="Arial" w:hAnsi="Arial"/>
                <w:sz w:val="18"/>
                <w:szCs w:val="18"/>
                <w:color w:val="auto"/>
                <w:w w:val="92"/>
              </w:rPr>
              <w:t>$ 279,398</w:t>
            </w: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0" w:type="dxa"/>
            <w:vAlign w:val="bottom"/>
            <w:tcBorders>
              <w:top w:val="single" w:sz="8" w:color="auto"/>
              <w:bottom w:val="single" w:sz="8" w:color="auto"/>
            </w:tcBorders>
            <w:gridSpan w:val="2"/>
          </w:tcPr>
          <w:p>
            <w:pPr>
              <w:spacing w:after="0"/>
              <w:rPr>
                <w:sz w:val="20"/>
                <w:szCs w:val="20"/>
                <w:color w:val="auto"/>
              </w:rPr>
            </w:pPr>
            <w:r>
              <w:rPr>
                <w:rFonts w:ascii="Arial" w:cs="Arial" w:eastAsia="Arial" w:hAnsi="Arial"/>
                <w:sz w:val="18"/>
                <w:szCs w:val="18"/>
                <w:color w:val="auto"/>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260,921</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740" w:type="dxa"/>
            <w:vAlign w:val="bottom"/>
            <w:gridSpan w:val="3"/>
            <w:vMerge w:val="restart"/>
          </w:tcPr>
          <w:p>
            <w:pPr>
              <w:spacing w:after="0"/>
              <w:rPr>
                <w:sz w:val="20"/>
                <w:szCs w:val="20"/>
                <w:color w:val="auto"/>
              </w:rPr>
            </w:pPr>
            <w:r>
              <w:rPr>
                <w:rFonts w:ascii="Arial" w:cs="Arial" w:eastAsia="Arial" w:hAnsi="Arial"/>
                <w:sz w:val="18"/>
                <w:szCs w:val="18"/>
                <w:b w:val="1"/>
                <w:bCs w:val="1"/>
                <w:color w:val="auto"/>
              </w:rPr>
              <w:t xml:space="preserve">Goodwill </w:t>
            </w:r>
            <w:r>
              <w:rPr>
                <w:rFonts w:ascii="Arial" w:cs="Arial" w:eastAsia="Arial" w:hAnsi="Arial"/>
                <w:sz w:val="17"/>
                <w:szCs w:val="17"/>
                <w:b w:val="1"/>
                <w:bCs w:val="1"/>
                <w:color w:val="auto"/>
              </w:rPr>
              <w:t>and purchased intangible assets</w:t>
            </w:r>
          </w:p>
        </w:tc>
        <w:tc>
          <w:tcPr>
            <w:tcW w:w="8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29"/>
        </w:trPr>
        <w:tc>
          <w:tcPr>
            <w:tcW w:w="3740" w:type="dxa"/>
            <w:vAlign w:val="bottom"/>
            <w:gridSpan w:val="3"/>
            <w:vMerge w:val="continue"/>
          </w:tcPr>
          <w:p>
            <w:pPr>
              <w:spacing w:after="0"/>
              <w:rPr>
                <w:sz w:val="24"/>
                <w:szCs w:val="24"/>
                <w:color w:val="auto"/>
              </w:rPr>
            </w:pPr>
          </w:p>
        </w:tc>
        <w:tc>
          <w:tcPr>
            <w:tcW w:w="8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7020" w:type="dxa"/>
            <w:vAlign w:val="bottom"/>
            <w:gridSpan w:val="11"/>
          </w:tcPr>
          <w:p>
            <w:pPr>
              <w:spacing w:after="0"/>
              <w:rPr>
                <w:sz w:val="20"/>
                <w:szCs w:val="20"/>
                <w:color w:val="auto"/>
              </w:rPr>
            </w:pPr>
            <w:r>
              <w:rPr>
                <w:rFonts w:ascii="Arial" w:cs="Arial" w:eastAsia="Arial" w:hAnsi="Arial"/>
                <w:sz w:val="18"/>
                <w:szCs w:val="18"/>
                <w:color w:val="auto"/>
              </w:rPr>
              <w:t>The carrying amount of the goodwill and intangible assets are as follows (in thousands):</w:t>
            </w:r>
          </w:p>
        </w:tc>
        <w:tc>
          <w:tcPr>
            <w:tcW w:w="8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83"/>
        </w:trPr>
        <w:tc>
          <w:tcPr>
            <w:tcW w:w="7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900" w:type="dxa"/>
            <w:vAlign w:val="bottom"/>
          </w:tcPr>
          <w:p>
            <w:pPr>
              <w:spacing w:after="0"/>
              <w:rPr>
                <w:sz w:val="24"/>
                <w:szCs w:val="24"/>
                <w:color w:val="auto"/>
              </w:rPr>
            </w:pPr>
          </w:p>
        </w:tc>
        <w:tc>
          <w:tcPr>
            <w:tcW w:w="880" w:type="dxa"/>
            <w:vAlign w:val="bottom"/>
            <w:tcBorders>
              <w:bottom w:val="single" w:sz="8" w:color="auto"/>
            </w:tcBorders>
          </w:tcPr>
          <w:p>
            <w:pPr>
              <w:spacing w:after="0"/>
              <w:rPr>
                <w:sz w:val="24"/>
                <w:szCs w:val="24"/>
                <w:color w:val="auto"/>
              </w:rPr>
            </w:pPr>
          </w:p>
        </w:tc>
        <w:tc>
          <w:tcPr>
            <w:tcW w:w="1280" w:type="dxa"/>
            <w:vAlign w:val="bottom"/>
            <w:tcBorders>
              <w:bottom w:val="single" w:sz="8" w:color="auto"/>
            </w:tcBorders>
            <w:gridSpan w:val="3"/>
          </w:tcPr>
          <w:p>
            <w:pPr>
              <w:jc w:val="right"/>
              <w:ind w:right="20"/>
              <w:spacing w:after="0"/>
              <w:rPr>
                <w:sz w:val="20"/>
                <w:szCs w:val="20"/>
                <w:color w:val="auto"/>
              </w:rPr>
            </w:pPr>
            <w:r>
              <w:rPr>
                <w:rFonts w:ascii="Arial" w:cs="Arial" w:eastAsia="Arial" w:hAnsi="Arial"/>
                <w:sz w:val="14"/>
                <w:szCs w:val="14"/>
                <w:b w:val="1"/>
                <w:bCs w:val="1"/>
                <w:color w:val="auto"/>
                <w:w w:val="95"/>
              </w:rPr>
              <w:t>As of April 30, 2006</w:t>
            </w:r>
          </w:p>
        </w:tc>
        <w:tc>
          <w:tcPr>
            <w:tcW w:w="4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760" w:type="dxa"/>
            <w:vAlign w:val="bottom"/>
            <w:tcBorders>
              <w:bottom w:val="single" w:sz="8" w:color="auto"/>
            </w:tcBorders>
          </w:tcPr>
          <w:p>
            <w:pPr>
              <w:spacing w:after="0"/>
              <w:rPr>
                <w:sz w:val="24"/>
                <w:szCs w:val="24"/>
                <w:color w:val="auto"/>
              </w:rPr>
            </w:pPr>
          </w:p>
        </w:tc>
        <w:tc>
          <w:tcPr>
            <w:tcW w:w="200" w:type="dxa"/>
            <w:vAlign w:val="bottom"/>
          </w:tcPr>
          <w:p>
            <w:pPr>
              <w:spacing w:after="0"/>
              <w:rPr>
                <w:sz w:val="24"/>
                <w:szCs w:val="24"/>
                <w:color w:val="auto"/>
              </w:rPr>
            </w:pPr>
          </w:p>
        </w:tc>
        <w:tc>
          <w:tcPr>
            <w:tcW w:w="2320" w:type="dxa"/>
            <w:vAlign w:val="bottom"/>
            <w:tcBorders>
              <w:bottom w:val="single" w:sz="8" w:color="auto"/>
            </w:tcBorders>
            <w:gridSpan w:val="10"/>
          </w:tcPr>
          <w:p>
            <w:pPr>
              <w:jc w:val="center"/>
              <w:ind w:left="725"/>
              <w:spacing w:after="0"/>
              <w:rPr>
                <w:sz w:val="20"/>
                <w:szCs w:val="20"/>
                <w:color w:val="auto"/>
              </w:rPr>
            </w:pPr>
            <w:r>
              <w:rPr>
                <w:rFonts w:ascii="Arial" w:cs="Arial" w:eastAsia="Arial" w:hAnsi="Arial"/>
                <w:sz w:val="14"/>
                <w:szCs w:val="14"/>
                <w:b w:val="1"/>
                <w:bCs w:val="1"/>
                <w:color w:val="auto"/>
                <w:w w:val="92"/>
              </w:rPr>
              <w:t>As of January 31, 2006</w:t>
            </w:r>
          </w:p>
        </w:tc>
        <w:tc>
          <w:tcPr>
            <w:tcW w:w="64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2"/>
        </w:trPr>
        <w:tc>
          <w:tcPr>
            <w:tcW w:w="720" w:type="dxa"/>
            <w:vAlign w:val="bottom"/>
          </w:tcPr>
          <w:p>
            <w:pPr>
              <w:spacing w:after="0"/>
              <w:rPr>
                <w:sz w:val="8"/>
                <w:szCs w:val="8"/>
                <w:color w:val="auto"/>
              </w:rPr>
            </w:pPr>
          </w:p>
        </w:tc>
        <w:tc>
          <w:tcPr>
            <w:tcW w:w="120" w:type="dxa"/>
            <w:vAlign w:val="bottom"/>
          </w:tcPr>
          <w:p>
            <w:pPr>
              <w:spacing w:after="0"/>
              <w:rPr>
                <w:sz w:val="8"/>
                <w:szCs w:val="8"/>
                <w:color w:val="auto"/>
              </w:rPr>
            </w:pPr>
          </w:p>
        </w:tc>
        <w:tc>
          <w:tcPr>
            <w:tcW w:w="2900" w:type="dxa"/>
            <w:vAlign w:val="bottom"/>
          </w:tcPr>
          <w:p>
            <w:pPr>
              <w:spacing w:after="0"/>
              <w:rPr>
                <w:sz w:val="8"/>
                <w:szCs w:val="8"/>
                <w:color w:val="auto"/>
              </w:rPr>
            </w:pPr>
          </w:p>
        </w:tc>
        <w:tc>
          <w:tcPr>
            <w:tcW w:w="880" w:type="dxa"/>
            <w:vAlign w:val="bottom"/>
          </w:tcPr>
          <w:p>
            <w:pPr>
              <w:jc w:val="center"/>
              <w:spacing w:after="0" w:line="102" w:lineRule="exact"/>
              <w:rPr>
                <w:sz w:val="20"/>
                <w:szCs w:val="20"/>
                <w:color w:val="auto"/>
              </w:rPr>
            </w:pPr>
            <w:r>
              <w:rPr>
                <w:rFonts w:ascii="Arial" w:cs="Arial" w:eastAsia="Arial" w:hAnsi="Arial"/>
                <w:sz w:val="11"/>
                <w:szCs w:val="11"/>
                <w:b w:val="1"/>
                <w:bCs w:val="1"/>
                <w:color w:val="auto"/>
              </w:rPr>
              <w:t>Gross</w:t>
            </w:r>
          </w:p>
        </w:tc>
        <w:tc>
          <w:tcPr>
            <w:tcW w:w="220" w:type="dxa"/>
            <w:vAlign w:val="bottom"/>
          </w:tcPr>
          <w:p>
            <w:pPr>
              <w:spacing w:after="0"/>
              <w:rPr>
                <w:sz w:val="8"/>
                <w:szCs w:val="8"/>
                <w:color w:val="auto"/>
              </w:rPr>
            </w:pPr>
          </w:p>
        </w:tc>
        <w:tc>
          <w:tcPr>
            <w:tcW w:w="1060" w:type="dxa"/>
            <w:vAlign w:val="bottom"/>
            <w:gridSpan w:val="2"/>
            <w:vMerge w:val="restart"/>
          </w:tcPr>
          <w:p>
            <w:pPr>
              <w:jc w:val="right"/>
              <w:ind w:right="240"/>
              <w:spacing w:after="0"/>
              <w:rPr>
                <w:sz w:val="20"/>
                <w:szCs w:val="20"/>
                <w:color w:val="auto"/>
              </w:rPr>
            </w:pPr>
            <w:r>
              <w:rPr>
                <w:rFonts w:ascii="Arial" w:cs="Arial" w:eastAsia="Arial" w:hAnsi="Arial"/>
                <w:sz w:val="14"/>
                <w:szCs w:val="14"/>
                <w:b w:val="1"/>
                <w:bCs w:val="1"/>
                <w:color w:val="auto"/>
                <w:w w:val="90"/>
              </w:rPr>
              <w:t>Accumulated</w:t>
            </w:r>
          </w:p>
        </w:tc>
        <w:tc>
          <w:tcPr>
            <w:tcW w:w="40" w:type="dxa"/>
            <w:vAlign w:val="bottom"/>
          </w:tcPr>
          <w:p>
            <w:pPr>
              <w:spacing w:after="0"/>
              <w:rPr>
                <w:sz w:val="8"/>
                <w:szCs w:val="8"/>
                <w:color w:val="auto"/>
              </w:rPr>
            </w:pPr>
          </w:p>
        </w:tc>
        <w:tc>
          <w:tcPr>
            <w:tcW w:w="120" w:type="dxa"/>
            <w:vAlign w:val="bottom"/>
          </w:tcPr>
          <w:p>
            <w:pPr>
              <w:spacing w:after="0"/>
              <w:rPr>
                <w:sz w:val="8"/>
                <w:szCs w:val="8"/>
                <w:color w:val="auto"/>
              </w:rPr>
            </w:pPr>
          </w:p>
        </w:tc>
        <w:tc>
          <w:tcPr>
            <w:tcW w:w="760" w:type="dxa"/>
            <w:vAlign w:val="bottom"/>
          </w:tcPr>
          <w:p>
            <w:pPr>
              <w:jc w:val="center"/>
              <w:ind w:right="64"/>
              <w:spacing w:after="0" w:line="102" w:lineRule="exact"/>
              <w:rPr>
                <w:sz w:val="20"/>
                <w:szCs w:val="20"/>
                <w:color w:val="auto"/>
              </w:rPr>
            </w:pPr>
            <w:r>
              <w:rPr>
                <w:rFonts w:ascii="Arial" w:cs="Arial" w:eastAsia="Arial" w:hAnsi="Arial"/>
                <w:sz w:val="11"/>
                <w:szCs w:val="11"/>
                <w:b w:val="1"/>
                <w:bCs w:val="1"/>
                <w:color w:val="auto"/>
              </w:rPr>
              <w:t>Net</w:t>
            </w:r>
          </w:p>
        </w:tc>
        <w:tc>
          <w:tcPr>
            <w:tcW w:w="200" w:type="dxa"/>
            <w:vAlign w:val="bottom"/>
          </w:tcPr>
          <w:p>
            <w:pPr>
              <w:spacing w:after="0"/>
              <w:rPr>
                <w:sz w:val="8"/>
                <w:szCs w:val="8"/>
                <w:color w:val="auto"/>
              </w:rPr>
            </w:pPr>
          </w:p>
        </w:tc>
        <w:tc>
          <w:tcPr>
            <w:tcW w:w="880" w:type="dxa"/>
            <w:vAlign w:val="bottom"/>
          </w:tcPr>
          <w:p>
            <w:pPr>
              <w:jc w:val="center"/>
              <w:spacing w:after="0" w:line="102" w:lineRule="exact"/>
              <w:rPr>
                <w:sz w:val="20"/>
                <w:szCs w:val="20"/>
                <w:color w:val="auto"/>
              </w:rPr>
            </w:pPr>
            <w:r>
              <w:rPr>
                <w:rFonts w:ascii="Arial" w:cs="Arial" w:eastAsia="Arial" w:hAnsi="Arial"/>
                <w:sz w:val="11"/>
                <w:szCs w:val="11"/>
                <w:b w:val="1"/>
                <w:bCs w:val="1"/>
                <w:color w:val="auto"/>
              </w:rPr>
              <w:t>Gross</w:t>
            </w:r>
          </w:p>
        </w:tc>
        <w:tc>
          <w:tcPr>
            <w:tcW w:w="220" w:type="dxa"/>
            <w:vAlign w:val="bottom"/>
          </w:tcPr>
          <w:p>
            <w:pPr>
              <w:spacing w:after="0"/>
              <w:rPr>
                <w:sz w:val="8"/>
                <w:szCs w:val="8"/>
                <w:color w:val="auto"/>
              </w:rPr>
            </w:pPr>
          </w:p>
        </w:tc>
        <w:tc>
          <w:tcPr>
            <w:tcW w:w="1060" w:type="dxa"/>
            <w:vAlign w:val="bottom"/>
            <w:gridSpan w:val="6"/>
            <w:vMerge w:val="restart"/>
          </w:tcPr>
          <w:p>
            <w:pPr>
              <w:jc w:val="center"/>
              <w:ind w:right="180"/>
              <w:spacing w:after="0"/>
              <w:rPr>
                <w:sz w:val="20"/>
                <w:szCs w:val="20"/>
                <w:color w:val="auto"/>
              </w:rPr>
            </w:pPr>
            <w:r>
              <w:rPr>
                <w:rFonts w:ascii="Arial" w:cs="Arial" w:eastAsia="Arial" w:hAnsi="Arial"/>
                <w:sz w:val="14"/>
                <w:szCs w:val="14"/>
                <w:b w:val="1"/>
                <w:bCs w:val="1"/>
                <w:color w:val="auto"/>
                <w:w w:val="86"/>
              </w:rPr>
              <w:t>Accumulated</w:t>
            </w:r>
          </w:p>
        </w:tc>
        <w:tc>
          <w:tcPr>
            <w:tcW w:w="40" w:type="dxa"/>
            <w:vAlign w:val="bottom"/>
          </w:tcPr>
          <w:p>
            <w:pPr>
              <w:spacing w:after="0"/>
              <w:rPr>
                <w:sz w:val="8"/>
                <w:szCs w:val="8"/>
                <w:color w:val="auto"/>
              </w:rPr>
            </w:pPr>
          </w:p>
        </w:tc>
        <w:tc>
          <w:tcPr>
            <w:tcW w:w="120" w:type="dxa"/>
            <w:vAlign w:val="bottom"/>
          </w:tcPr>
          <w:p>
            <w:pPr>
              <w:spacing w:after="0"/>
              <w:rPr>
                <w:sz w:val="8"/>
                <w:szCs w:val="8"/>
                <w:color w:val="auto"/>
              </w:rPr>
            </w:pPr>
          </w:p>
        </w:tc>
        <w:tc>
          <w:tcPr>
            <w:tcW w:w="800" w:type="dxa"/>
            <w:vAlign w:val="bottom"/>
            <w:gridSpan w:val="3"/>
          </w:tcPr>
          <w:p>
            <w:pPr>
              <w:jc w:val="center"/>
              <w:ind w:right="140"/>
              <w:spacing w:after="0" w:line="102" w:lineRule="exact"/>
              <w:rPr>
                <w:sz w:val="20"/>
                <w:szCs w:val="20"/>
                <w:color w:val="auto"/>
              </w:rPr>
            </w:pPr>
            <w:r>
              <w:rPr>
                <w:rFonts w:ascii="Arial" w:cs="Arial" w:eastAsia="Arial" w:hAnsi="Arial"/>
                <w:sz w:val="11"/>
                <w:szCs w:val="11"/>
                <w:b w:val="1"/>
                <w:bCs w:val="1"/>
                <w:color w:val="auto"/>
              </w:rPr>
              <w:t>Net</w:t>
            </w: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900" w:type="dxa"/>
            <w:vAlign w:val="bottom"/>
          </w:tcPr>
          <w:p>
            <w:pPr>
              <w:spacing w:after="0"/>
              <w:rPr>
                <w:sz w:val="11"/>
                <w:szCs w:val="11"/>
                <w:color w:val="auto"/>
              </w:rPr>
            </w:pPr>
          </w:p>
        </w:tc>
        <w:tc>
          <w:tcPr>
            <w:tcW w:w="88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7"/>
              </w:rPr>
              <w:t>Carrying</w:t>
            </w:r>
          </w:p>
        </w:tc>
        <w:tc>
          <w:tcPr>
            <w:tcW w:w="220" w:type="dxa"/>
            <w:vAlign w:val="bottom"/>
          </w:tcPr>
          <w:p>
            <w:pPr>
              <w:spacing w:after="0"/>
              <w:rPr>
                <w:sz w:val="11"/>
                <w:szCs w:val="11"/>
                <w:color w:val="auto"/>
              </w:rPr>
            </w:pPr>
          </w:p>
        </w:tc>
        <w:tc>
          <w:tcPr>
            <w:tcW w:w="1060" w:type="dxa"/>
            <w:vAlign w:val="bottom"/>
            <w:gridSpan w:val="2"/>
            <w:vMerge w:val="continue"/>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60" w:type="dxa"/>
            <w:vAlign w:val="bottom"/>
            <w:gridSpan w:val="2"/>
          </w:tcPr>
          <w:p>
            <w:pPr>
              <w:jc w:val="center"/>
              <w:ind w:right="340"/>
              <w:spacing w:after="0" w:line="135" w:lineRule="exact"/>
              <w:rPr>
                <w:sz w:val="20"/>
                <w:szCs w:val="20"/>
                <w:color w:val="auto"/>
              </w:rPr>
            </w:pPr>
            <w:r>
              <w:rPr>
                <w:rFonts w:ascii="Arial" w:cs="Arial" w:eastAsia="Arial" w:hAnsi="Arial"/>
                <w:sz w:val="14"/>
                <w:szCs w:val="14"/>
                <w:b w:val="1"/>
                <w:bCs w:val="1"/>
                <w:color w:val="auto"/>
              </w:rPr>
              <w:t>Carrying</w:t>
            </w:r>
          </w:p>
        </w:tc>
        <w:tc>
          <w:tcPr>
            <w:tcW w:w="88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7"/>
              </w:rPr>
              <w:t>Carrying</w:t>
            </w:r>
          </w:p>
        </w:tc>
        <w:tc>
          <w:tcPr>
            <w:tcW w:w="220" w:type="dxa"/>
            <w:vAlign w:val="bottom"/>
          </w:tcPr>
          <w:p>
            <w:pPr>
              <w:spacing w:after="0"/>
              <w:rPr>
                <w:sz w:val="11"/>
                <w:szCs w:val="11"/>
                <w:color w:val="auto"/>
              </w:rPr>
            </w:pPr>
          </w:p>
        </w:tc>
        <w:tc>
          <w:tcPr>
            <w:tcW w:w="1060" w:type="dxa"/>
            <w:vAlign w:val="bottom"/>
            <w:gridSpan w:val="6"/>
            <w:vMerge w:val="continue"/>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40" w:type="dxa"/>
            <w:vAlign w:val="bottom"/>
            <w:gridSpan w:val="4"/>
          </w:tcPr>
          <w:p>
            <w:pPr>
              <w:jc w:val="center"/>
              <w:ind w:right="160"/>
              <w:spacing w:after="0" w:line="135" w:lineRule="exact"/>
              <w:rPr>
                <w:sz w:val="20"/>
                <w:szCs w:val="20"/>
                <w:color w:val="auto"/>
              </w:rPr>
            </w:pPr>
            <w:r>
              <w:rPr>
                <w:rFonts w:ascii="Arial" w:cs="Arial" w:eastAsia="Arial" w:hAnsi="Arial"/>
                <w:sz w:val="14"/>
                <w:szCs w:val="14"/>
                <w:b w:val="1"/>
                <w:bCs w:val="1"/>
                <w:color w:val="auto"/>
                <w:w w:val="97"/>
              </w:rPr>
              <w:t>Carrying</w:t>
            </w:r>
          </w:p>
        </w:tc>
        <w:tc>
          <w:tcPr>
            <w:tcW w:w="0" w:type="dxa"/>
            <w:vAlign w:val="bottom"/>
          </w:tcPr>
          <w:p>
            <w:pPr>
              <w:spacing w:after="0"/>
              <w:rPr>
                <w:sz w:val="1"/>
                <w:szCs w:val="1"/>
                <w:color w:val="auto"/>
              </w:rPr>
            </w:pPr>
          </w:p>
        </w:tc>
      </w:tr>
      <w:tr>
        <w:trPr>
          <w:trHeight w:val="162"/>
        </w:trPr>
        <w:tc>
          <w:tcPr>
            <w:tcW w:w="7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900" w:type="dxa"/>
            <w:vAlign w:val="bottom"/>
          </w:tcPr>
          <w:p>
            <w:pPr>
              <w:spacing w:after="0"/>
              <w:rPr>
                <w:sz w:val="14"/>
                <w:szCs w:val="14"/>
                <w:color w:val="auto"/>
              </w:rPr>
            </w:pPr>
          </w:p>
        </w:tc>
        <w:tc>
          <w:tcPr>
            <w:tcW w:w="880" w:type="dxa"/>
            <w:vAlign w:val="bottom"/>
          </w:tcPr>
          <w:p>
            <w:pPr>
              <w:jc w:val="center"/>
              <w:spacing w:after="0"/>
              <w:rPr>
                <w:sz w:val="20"/>
                <w:szCs w:val="20"/>
                <w:color w:val="auto"/>
              </w:rPr>
            </w:pPr>
            <w:r>
              <w:rPr>
                <w:rFonts w:ascii="Arial" w:cs="Arial" w:eastAsia="Arial" w:hAnsi="Arial"/>
                <w:sz w:val="14"/>
                <w:szCs w:val="14"/>
                <w:b w:val="1"/>
                <w:bCs w:val="1"/>
                <w:color w:val="auto"/>
                <w:w w:val="98"/>
              </w:rPr>
              <w:t>Amount</w:t>
            </w:r>
          </w:p>
        </w:tc>
        <w:tc>
          <w:tcPr>
            <w:tcW w:w="220" w:type="dxa"/>
            <w:vAlign w:val="bottom"/>
          </w:tcPr>
          <w:p>
            <w:pPr>
              <w:spacing w:after="0"/>
              <w:rPr>
                <w:sz w:val="14"/>
                <w:szCs w:val="14"/>
                <w:color w:val="auto"/>
              </w:rPr>
            </w:pPr>
          </w:p>
        </w:tc>
        <w:tc>
          <w:tcPr>
            <w:tcW w:w="106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w w:val="93"/>
              </w:rPr>
              <w:t>Amortization</w:t>
            </w: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6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4"/>
              </w:rPr>
              <w:t>Amount</w:t>
            </w:r>
          </w:p>
        </w:tc>
        <w:tc>
          <w:tcPr>
            <w:tcW w:w="880" w:type="dxa"/>
            <w:vAlign w:val="bottom"/>
          </w:tcPr>
          <w:p>
            <w:pPr>
              <w:jc w:val="center"/>
              <w:spacing w:after="0"/>
              <w:rPr>
                <w:sz w:val="20"/>
                <w:szCs w:val="20"/>
                <w:color w:val="auto"/>
              </w:rPr>
            </w:pPr>
            <w:r>
              <w:rPr>
                <w:rFonts w:ascii="Arial" w:cs="Arial" w:eastAsia="Arial" w:hAnsi="Arial"/>
                <w:sz w:val="14"/>
                <w:szCs w:val="14"/>
                <w:b w:val="1"/>
                <w:bCs w:val="1"/>
                <w:color w:val="auto"/>
                <w:w w:val="98"/>
              </w:rPr>
              <w:t>Amount</w:t>
            </w:r>
          </w:p>
        </w:tc>
        <w:tc>
          <w:tcPr>
            <w:tcW w:w="220" w:type="dxa"/>
            <w:vAlign w:val="bottom"/>
          </w:tcPr>
          <w:p>
            <w:pPr>
              <w:spacing w:after="0"/>
              <w:rPr>
                <w:sz w:val="14"/>
                <w:szCs w:val="14"/>
                <w:color w:val="auto"/>
              </w:rPr>
            </w:pPr>
          </w:p>
        </w:tc>
        <w:tc>
          <w:tcPr>
            <w:tcW w:w="1060" w:type="dxa"/>
            <w:vAlign w:val="bottom"/>
            <w:gridSpan w:val="6"/>
          </w:tcPr>
          <w:p>
            <w:pPr>
              <w:jc w:val="center"/>
              <w:ind w:right="180"/>
              <w:spacing w:after="0"/>
              <w:rPr>
                <w:sz w:val="20"/>
                <w:szCs w:val="20"/>
                <w:color w:val="auto"/>
              </w:rPr>
            </w:pPr>
            <w:r>
              <w:rPr>
                <w:rFonts w:ascii="Arial" w:cs="Arial" w:eastAsia="Arial" w:hAnsi="Arial"/>
                <w:sz w:val="14"/>
                <w:szCs w:val="14"/>
                <w:b w:val="1"/>
                <w:bCs w:val="1"/>
                <w:color w:val="auto"/>
                <w:w w:val="88"/>
              </w:rPr>
              <w:t>Amortization</w:t>
            </w: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40" w:type="dxa"/>
            <w:vAlign w:val="bottom"/>
            <w:gridSpan w:val="4"/>
          </w:tcPr>
          <w:p>
            <w:pPr>
              <w:jc w:val="center"/>
              <w:ind w:right="180"/>
              <w:spacing w:after="0"/>
              <w:rPr>
                <w:sz w:val="20"/>
                <w:szCs w:val="20"/>
                <w:color w:val="auto"/>
              </w:rPr>
            </w:pPr>
            <w:r>
              <w:rPr>
                <w:rFonts w:ascii="Arial" w:cs="Arial" w:eastAsia="Arial" w:hAnsi="Arial"/>
                <w:sz w:val="14"/>
                <w:szCs w:val="14"/>
                <w:b w:val="1"/>
                <w:bCs w:val="1"/>
                <w:color w:val="auto"/>
                <w:w w:val="94"/>
              </w:rPr>
              <w:t>Amount</w:t>
            </w:r>
          </w:p>
        </w:tc>
        <w:tc>
          <w:tcPr>
            <w:tcW w:w="0" w:type="dxa"/>
            <w:vAlign w:val="bottom"/>
          </w:tcPr>
          <w:p>
            <w:pPr>
              <w:spacing w:after="0"/>
              <w:rPr>
                <w:sz w:val="1"/>
                <w:szCs w:val="1"/>
                <w:color w:val="auto"/>
              </w:rPr>
            </w:pPr>
          </w:p>
        </w:tc>
      </w:tr>
      <w:tr>
        <w:trPr>
          <w:trHeight w:val="210"/>
        </w:trPr>
        <w:tc>
          <w:tcPr>
            <w:tcW w:w="720" w:type="dxa"/>
            <w:vAlign w:val="bottom"/>
          </w:tcPr>
          <w:p>
            <w:pPr>
              <w:spacing w:after="0"/>
              <w:rPr>
                <w:sz w:val="18"/>
                <w:szCs w:val="18"/>
                <w:color w:val="auto"/>
              </w:rPr>
            </w:pPr>
          </w:p>
        </w:tc>
        <w:tc>
          <w:tcPr>
            <w:tcW w:w="3020" w:type="dxa"/>
            <w:vAlign w:val="bottom"/>
            <w:tcBorders>
              <w:top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Purchased technology</w:t>
            </w: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  449,315</w:t>
            </w:r>
          </w:p>
        </w:tc>
        <w:tc>
          <w:tcPr>
            <w:tcW w:w="220" w:type="dxa"/>
            <w:vAlign w:val="bottom"/>
            <w:tcBorders>
              <w:top w:val="single" w:sz="8" w:color="CCEEFF"/>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8"/>
              </w:rPr>
              <w:t>$  (411,868)</w:t>
            </w:r>
          </w:p>
        </w:tc>
        <w:tc>
          <w:tcPr>
            <w:tcW w:w="18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37,447</w:t>
            </w:r>
          </w:p>
        </w:tc>
        <w:tc>
          <w:tcPr>
            <w:tcW w:w="200" w:type="dxa"/>
            <w:vAlign w:val="bottom"/>
            <w:tcBorders>
              <w:top w:val="single" w:sz="8" w:color="CCEEFF"/>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  437,415</w:t>
            </w:r>
          </w:p>
        </w:tc>
        <w:tc>
          <w:tcPr>
            <w:tcW w:w="2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0" w:type="dxa"/>
            <w:vAlign w:val="bottom"/>
            <w:tcBorders>
              <w:top w:val="single" w:sz="8" w:color="auto"/>
            </w:tcBorders>
            <w:shd w:val="clear" w:color="auto" w:fill="CCEEFF"/>
          </w:tcPr>
          <w:p>
            <w:pPr>
              <w:spacing w:after="0"/>
              <w:rPr>
                <w:sz w:val="18"/>
                <w:szCs w:val="18"/>
                <w:color w:val="auto"/>
              </w:rPr>
            </w:pPr>
          </w:p>
        </w:tc>
        <w:tc>
          <w:tcPr>
            <w:tcW w:w="68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5"/>
              </w:rPr>
              <w:t>(400,980)</w:t>
            </w:r>
          </w:p>
        </w:tc>
        <w:tc>
          <w:tcPr>
            <w:tcW w:w="16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800" w:type="dxa"/>
            <w:vAlign w:val="bottom"/>
            <w:tcBorders>
              <w:top w:val="single" w:sz="8" w:color="auto"/>
            </w:tcBorders>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36,435</w:t>
            </w:r>
          </w:p>
        </w:tc>
        <w:tc>
          <w:tcPr>
            <w:tcW w:w="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3020" w:type="dxa"/>
            <w:vAlign w:val="bottom"/>
            <w:gridSpan w:val="2"/>
          </w:tcPr>
          <w:p>
            <w:pPr>
              <w:spacing w:after="0"/>
              <w:rPr>
                <w:sz w:val="20"/>
                <w:szCs w:val="20"/>
                <w:color w:val="auto"/>
              </w:rPr>
            </w:pPr>
            <w:r>
              <w:rPr>
                <w:rFonts w:ascii="Arial" w:cs="Arial" w:eastAsia="Arial" w:hAnsi="Arial"/>
                <w:sz w:val="18"/>
                <w:szCs w:val="18"/>
                <w:color w:val="auto"/>
              </w:rPr>
              <w:t>Core technology</w:t>
            </w:r>
          </w:p>
        </w:tc>
        <w:tc>
          <w:tcPr>
            <w:tcW w:w="880" w:type="dxa"/>
            <w:vAlign w:val="bottom"/>
          </w:tcPr>
          <w:p>
            <w:pPr>
              <w:jc w:val="right"/>
              <w:spacing w:after="0"/>
              <w:rPr>
                <w:sz w:val="20"/>
                <w:szCs w:val="20"/>
                <w:color w:val="auto"/>
              </w:rPr>
            </w:pPr>
            <w:r>
              <w:rPr>
                <w:rFonts w:ascii="Arial" w:cs="Arial" w:eastAsia="Arial" w:hAnsi="Arial"/>
                <w:sz w:val="18"/>
                <w:szCs w:val="18"/>
                <w:color w:val="auto"/>
              </w:rPr>
              <w:t>30,500</w:t>
            </w:r>
          </w:p>
        </w:tc>
        <w:tc>
          <w:tcPr>
            <w:tcW w:w="1280" w:type="dxa"/>
            <w:vAlign w:val="bottom"/>
            <w:gridSpan w:val="3"/>
          </w:tcPr>
          <w:p>
            <w:pPr>
              <w:jc w:val="right"/>
              <w:ind w:right="120"/>
              <w:spacing w:after="0"/>
              <w:rPr>
                <w:sz w:val="20"/>
                <w:szCs w:val="20"/>
                <w:color w:val="auto"/>
              </w:rPr>
            </w:pPr>
            <w:r>
              <w:rPr>
                <w:rFonts w:ascii="Arial" w:cs="Arial" w:eastAsia="Arial" w:hAnsi="Arial"/>
                <w:sz w:val="18"/>
                <w:szCs w:val="18"/>
                <w:color w:val="auto"/>
              </w:rPr>
              <w:t>(4,428)</w:t>
            </w: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26,072</w:t>
            </w:r>
          </w:p>
        </w:tc>
        <w:tc>
          <w:tcPr>
            <w:tcW w:w="20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26,400</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3"/>
          </w:tcPr>
          <w:p>
            <w:pPr>
              <w:jc w:val="right"/>
              <w:ind w:right="100"/>
              <w:spacing w:after="0"/>
              <w:rPr>
                <w:sz w:val="20"/>
                <w:szCs w:val="20"/>
                <w:color w:val="auto"/>
              </w:rPr>
            </w:pPr>
            <w:r>
              <w:rPr>
                <w:rFonts w:ascii="Arial" w:cs="Arial" w:eastAsia="Arial" w:hAnsi="Arial"/>
                <w:sz w:val="18"/>
                <w:szCs w:val="18"/>
                <w:color w:val="auto"/>
              </w:rPr>
              <w:t>(2,031)</w:t>
            </w: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3"/>
          </w:tcPr>
          <w:p>
            <w:pPr>
              <w:jc w:val="right"/>
              <w:ind w:right="20"/>
              <w:spacing w:after="0"/>
              <w:rPr>
                <w:sz w:val="20"/>
                <w:szCs w:val="20"/>
                <w:color w:val="auto"/>
              </w:rPr>
            </w:pPr>
            <w:r>
              <w:rPr>
                <w:rFonts w:ascii="Arial" w:cs="Arial" w:eastAsia="Arial" w:hAnsi="Arial"/>
                <w:sz w:val="18"/>
                <w:szCs w:val="18"/>
                <w:color w:val="auto"/>
              </w:rPr>
              <w:t>24,369</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24"/>
        </w:trPr>
        <w:tc>
          <w:tcPr>
            <w:tcW w:w="720" w:type="dxa"/>
            <w:vAlign w:val="bottom"/>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2900" w:type="dxa"/>
            <w:vAlign w:val="bottom"/>
            <w:shd w:val="clear" w:color="auto" w:fill="CCEEFF"/>
          </w:tcPr>
          <w:p>
            <w:pPr>
              <w:spacing w:after="0"/>
              <w:rPr>
                <w:sz w:val="10"/>
                <w:szCs w:val="10"/>
                <w:color w:val="auto"/>
              </w:rPr>
            </w:pPr>
          </w:p>
        </w:tc>
        <w:tc>
          <w:tcPr>
            <w:tcW w:w="880" w:type="dxa"/>
            <w:vAlign w:val="bottom"/>
            <w:shd w:val="clear" w:color="auto" w:fill="CCEEFF"/>
          </w:tcPr>
          <w:p>
            <w:pPr>
              <w:spacing w:after="0"/>
              <w:rPr>
                <w:sz w:val="10"/>
                <w:szCs w:val="10"/>
                <w:color w:val="auto"/>
              </w:rPr>
            </w:pPr>
          </w:p>
        </w:tc>
        <w:tc>
          <w:tcPr>
            <w:tcW w:w="220" w:type="dxa"/>
            <w:vAlign w:val="bottom"/>
            <w:shd w:val="clear" w:color="auto" w:fill="CCEEFF"/>
          </w:tcPr>
          <w:p>
            <w:pPr>
              <w:spacing w:after="0"/>
              <w:rPr>
                <w:sz w:val="10"/>
                <w:szCs w:val="10"/>
                <w:color w:val="auto"/>
              </w:rPr>
            </w:pPr>
          </w:p>
        </w:tc>
        <w:tc>
          <w:tcPr>
            <w:tcW w:w="880" w:type="dxa"/>
            <w:vAlign w:val="bottom"/>
            <w:shd w:val="clear" w:color="auto" w:fill="CCEEFF"/>
          </w:tcPr>
          <w:p>
            <w:pPr>
              <w:spacing w:after="0"/>
              <w:rPr>
                <w:sz w:val="10"/>
                <w:szCs w:val="10"/>
                <w:color w:val="auto"/>
              </w:rPr>
            </w:pPr>
          </w:p>
        </w:tc>
        <w:tc>
          <w:tcPr>
            <w:tcW w:w="180" w:type="dxa"/>
            <w:vAlign w:val="bottom"/>
            <w:shd w:val="clear" w:color="auto" w:fill="CCEEFF"/>
          </w:tcPr>
          <w:p>
            <w:pPr>
              <w:spacing w:after="0"/>
              <w:rPr>
                <w:sz w:val="10"/>
                <w:szCs w:val="10"/>
                <w:color w:val="auto"/>
              </w:rPr>
            </w:pPr>
          </w:p>
        </w:tc>
        <w:tc>
          <w:tcPr>
            <w:tcW w:w="4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760" w:type="dxa"/>
            <w:vAlign w:val="bottom"/>
            <w:shd w:val="clear" w:color="auto" w:fill="CCEEFF"/>
          </w:tcPr>
          <w:p>
            <w:pPr>
              <w:spacing w:after="0"/>
              <w:rPr>
                <w:sz w:val="10"/>
                <w:szCs w:val="10"/>
                <w:color w:val="auto"/>
              </w:rPr>
            </w:pPr>
          </w:p>
        </w:tc>
        <w:tc>
          <w:tcPr>
            <w:tcW w:w="200" w:type="dxa"/>
            <w:vAlign w:val="bottom"/>
            <w:shd w:val="clear" w:color="auto" w:fill="CCEEFF"/>
          </w:tcPr>
          <w:p>
            <w:pPr>
              <w:spacing w:after="0"/>
              <w:rPr>
                <w:sz w:val="10"/>
                <w:szCs w:val="10"/>
                <w:color w:val="auto"/>
              </w:rPr>
            </w:pPr>
          </w:p>
        </w:tc>
        <w:tc>
          <w:tcPr>
            <w:tcW w:w="880" w:type="dxa"/>
            <w:vAlign w:val="bottom"/>
            <w:shd w:val="clear" w:color="auto" w:fill="CCEEFF"/>
          </w:tcPr>
          <w:p>
            <w:pPr>
              <w:spacing w:after="0"/>
              <w:rPr>
                <w:sz w:val="10"/>
                <w:szCs w:val="10"/>
                <w:color w:val="auto"/>
              </w:rPr>
            </w:pPr>
          </w:p>
        </w:tc>
        <w:tc>
          <w:tcPr>
            <w:tcW w:w="22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4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640" w:type="dxa"/>
            <w:vAlign w:val="bottom"/>
            <w:shd w:val="clear" w:color="auto" w:fill="CCEEFF"/>
          </w:tcPr>
          <w:p>
            <w:pPr>
              <w:spacing w:after="0"/>
              <w:rPr>
                <w:sz w:val="10"/>
                <w:szCs w:val="10"/>
                <w:color w:val="auto"/>
              </w:rPr>
            </w:pPr>
          </w:p>
        </w:tc>
        <w:tc>
          <w:tcPr>
            <w:tcW w:w="40" w:type="dxa"/>
            <w:vAlign w:val="bottom"/>
            <w:shd w:val="clear" w:color="auto" w:fill="CCEEFF"/>
          </w:tcPr>
          <w:p>
            <w:pPr>
              <w:spacing w:after="0"/>
              <w:rPr>
                <w:sz w:val="10"/>
                <w:szCs w:val="10"/>
                <w:color w:val="auto"/>
              </w:rPr>
            </w:pPr>
          </w:p>
        </w:tc>
        <w:tc>
          <w:tcPr>
            <w:tcW w:w="160" w:type="dxa"/>
            <w:vAlign w:val="bottom"/>
            <w:shd w:val="clear" w:color="auto" w:fill="CCEEFF"/>
          </w:tcPr>
          <w:p>
            <w:pPr>
              <w:spacing w:after="0"/>
              <w:rPr>
                <w:sz w:val="10"/>
                <w:szCs w:val="10"/>
                <w:color w:val="auto"/>
              </w:rPr>
            </w:pPr>
          </w:p>
        </w:tc>
        <w:tc>
          <w:tcPr>
            <w:tcW w:w="4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40" w:type="dxa"/>
            <w:vAlign w:val="bottom"/>
            <w:shd w:val="clear" w:color="auto" w:fill="CCEEFF"/>
          </w:tcPr>
          <w:p>
            <w:pPr>
              <w:spacing w:after="0"/>
              <w:rPr>
                <w:sz w:val="10"/>
                <w:szCs w:val="10"/>
                <w:color w:val="auto"/>
              </w:rPr>
            </w:pPr>
          </w:p>
        </w:tc>
        <w:tc>
          <w:tcPr>
            <w:tcW w:w="80" w:type="dxa"/>
            <w:vAlign w:val="bottom"/>
            <w:tcBorders>
              <w:right w:val="single" w:sz="8" w:color="CCEEFF"/>
            </w:tcBorders>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4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bl>
    <w:p>
      <w:pPr>
        <w:sectPr>
          <w:pgSz w:w="11900" w:h="16900" w:orient="portrait"/>
          <w:cols w:equalWidth="0" w:num="1">
            <w:col w:w="11420"/>
          </w:cols>
          <w:pgMar w:left="240" w:top="140" w:right="239" w:bottom="0" w:gutter="0" w:footer="0" w:header="0"/>
        </w:sectPr>
      </w:pPr>
    </w:p>
    <w:bookmarkStart w:id="7" w:name="page8"/>
    <w:bookmarkEnd w:id="7"/>
    <w:p>
      <w:pPr>
        <w:spacing w:after="0" w:line="62" w:lineRule="exact"/>
        <w:rPr>
          <w:sz w:val="20"/>
          <w:szCs w:val="20"/>
          <w:color w:val="auto"/>
        </w:rPr>
      </w:pPr>
    </w:p>
    <w:tbl>
      <w:tblPr>
        <w:tblLayout w:type="fixed"/>
        <w:tblInd w:w="980" w:type="dxa"/>
        <w:tblCellMar>
          <w:top w:w="0" w:type="dxa"/>
          <w:left w:w="0" w:type="dxa"/>
          <w:bottom w:w="0" w:type="dxa"/>
          <w:right w:w="0" w:type="dxa"/>
        </w:tblCellMar>
      </w:tblPr>
      <w:tr>
        <w:trPr>
          <w:trHeight w:val="216"/>
        </w:trPr>
        <w:tc>
          <w:tcPr>
            <w:tcW w:w="3020" w:type="dxa"/>
            <w:vAlign w:val="bottom"/>
            <w:shd w:val="clear" w:color="auto" w:fill="CCEEFF"/>
          </w:tcPr>
          <w:p>
            <w:pPr>
              <w:spacing w:after="0"/>
              <w:rPr>
                <w:sz w:val="20"/>
                <w:szCs w:val="20"/>
                <w:color w:val="auto"/>
              </w:rPr>
            </w:pPr>
            <w:r>
              <w:rPr>
                <w:rFonts w:ascii="Arial" w:cs="Arial" w:eastAsia="Arial" w:hAnsi="Arial"/>
                <w:sz w:val="18"/>
                <w:szCs w:val="18"/>
                <w:color w:val="auto"/>
              </w:rPr>
              <w:t>Trade name</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w:t>
            </w:r>
          </w:p>
        </w:tc>
        <w:tc>
          <w:tcPr>
            <w:tcW w:w="2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(100)</w:t>
            </w:r>
          </w:p>
        </w:tc>
        <w:tc>
          <w:tcPr>
            <w:tcW w:w="8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w:t>
            </w:r>
          </w:p>
        </w:tc>
        <w:tc>
          <w:tcPr>
            <w:tcW w:w="13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(100)</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r>
      <w:tr>
        <w:trPr>
          <w:trHeight w:val="216"/>
        </w:trPr>
        <w:tc>
          <w:tcPr>
            <w:tcW w:w="3020" w:type="dxa"/>
            <w:vAlign w:val="bottom"/>
          </w:tcPr>
          <w:p>
            <w:pPr>
              <w:spacing w:after="0"/>
              <w:rPr>
                <w:sz w:val="20"/>
                <w:szCs w:val="20"/>
                <w:color w:val="auto"/>
              </w:rPr>
            </w:pPr>
            <w:r>
              <w:rPr>
                <w:rFonts w:ascii="Arial" w:cs="Arial" w:eastAsia="Arial" w:hAnsi="Arial"/>
                <w:sz w:val="18"/>
                <w:szCs w:val="18"/>
                <w:color w:val="auto"/>
              </w:rPr>
              <w:t>Supply contract</w:t>
            </w:r>
          </w:p>
        </w:tc>
        <w:tc>
          <w:tcPr>
            <w:tcW w:w="880" w:type="dxa"/>
            <w:vAlign w:val="bottom"/>
          </w:tcPr>
          <w:p>
            <w:pPr>
              <w:jc w:val="right"/>
              <w:spacing w:after="0"/>
              <w:rPr>
                <w:sz w:val="20"/>
                <w:szCs w:val="20"/>
                <w:color w:val="auto"/>
              </w:rPr>
            </w:pPr>
            <w:r>
              <w:rPr>
                <w:rFonts w:ascii="Arial" w:cs="Arial" w:eastAsia="Arial" w:hAnsi="Arial"/>
                <w:sz w:val="18"/>
                <w:szCs w:val="18"/>
                <w:color w:val="auto"/>
              </w:rPr>
              <w:t>900</w:t>
            </w:r>
          </w:p>
        </w:tc>
        <w:tc>
          <w:tcPr>
            <w:tcW w:w="220" w:type="dxa"/>
            <w:vAlign w:val="bottom"/>
          </w:tcPr>
          <w:p>
            <w:pPr>
              <w:spacing w:after="0"/>
              <w:rPr>
                <w:sz w:val="18"/>
                <w:szCs w:val="18"/>
                <w:color w:val="auto"/>
              </w:rPr>
            </w:pP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(43)</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857</w:t>
            </w:r>
          </w:p>
        </w:tc>
        <w:tc>
          <w:tcPr>
            <w:tcW w:w="20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1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r>
      <w:tr>
        <w:trPr>
          <w:trHeight w:val="216"/>
        </w:trPr>
        <w:tc>
          <w:tcPr>
            <w:tcW w:w="3020" w:type="dxa"/>
            <w:vAlign w:val="bottom"/>
            <w:shd w:val="clear" w:color="auto" w:fill="CCEEFF"/>
          </w:tcPr>
          <w:p>
            <w:pPr>
              <w:spacing w:after="0"/>
              <w:rPr>
                <w:sz w:val="20"/>
                <w:szCs w:val="20"/>
                <w:color w:val="auto"/>
              </w:rPr>
            </w:pPr>
            <w:r>
              <w:rPr>
                <w:rFonts w:ascii="Arial" w:cs="Arial" w:eastAsia="Arial" w:hAnsi="Arial"/>
                <w:sz w:val="18"/>
                <w:szCs w:val="18"/>
                <w:color w:val="auto"/>
              </w:rPr>
              <w:t>Customer contracts</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68,300</w:t>
            </w:r>
          </w:p>
        </w:tc>
        <w:tc>
          <w:tcPr>
            <w:tcW w:w="2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(7,297)</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61,003</w:t>
            </w:r>
          </w:p>
        </w:tc>
        <w:tc>
          <w:tcPr>
            <w:tcW w:w="20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54,400</w:t>
            </w:r>
          </w:p>
        </w:tc>
        <w:tc>
          <w:tcPr>
            <w:tcW w:w="13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(3,231)</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51,169</w:t>
            </w:r>
          </w:p>
        </w:tc>
        <w:tc>
          <w:tcPr>
            <w:tcW w:w="40" w:type="dxa"/>
            <w:vAlign w:val="bottom"/>
            <w:shd w:val="clear" w:color="auto" w:fill="CCEEFF"/>
          </w:tcPr>
          <w:p>
            <w:pPr>
              <w:spacing w:after="0"/>
              <w:rPr>
                <w:sz w:val="18"/>
                <w:szCs w:val="18"/>
                <w:color w:val="auto"/>
              </w:rPr>
            </w:pPr>
          </w:p>
        </w:tc>
      </w:tr>
      <w:tr>
        <w:trPr>
          <w:trHeight w:val="210"/>
        </w:trPr>
        <w:tc>
          <w:tcPr>
            <w:tcW w:w="3020" w:type="dxa"/>
            <w:vAlign w:val="bottom"/>
          </w:tcPr>
          <w:p>
            <w:pPr>
              <w:ind w:left="180"/>
              <w:spacing w:after="0"/>
              <w:rPr>
                <w:sz w:val="20"/>
                <w:szCs w:val="20"/>
                <w:color w:val="auto"/>
              </w:rPr>
            </w:pPr>
            <w:r>
              <w:rPr>
                <w:rFonts w:ascii="Arial" w:cs="Arial" w:eastAsia="Arial" w:hAnsi="Arial"/>
                <w:sz w:val="18"/>
                <w:szCs w:val="18"/>
                <w:color w:val="auto"/>
              </w:rPr>
              <w:t>Total identified intangible assets</w:t>
            </w:r>
          </w:p>
        </w:tc>
        <w:tc>
          <w:tcPr>
            <w:tcW w:w="8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549,115</w:t>
            </w:r>
          </w:p>
        </w:tc>
        <w:tc>
          <w:tcPr>
            <w:tcW w:w="220" w:type="dxa"/>
            <w:vAlign w:val="bottom"/>
          </w:tcPr>
          <w:p>
            <w:pPr>
              <w:spacing w:after="0"/>
              <w:rPr>
                <w:sz w:val="18"/>
                <w:szCs w:val="18"/>
                <w:color w:val="auto"/>
              </w:rPr>
            </w:pPr>
          </w:p>
        </w:tc>
        <w:tc>
          <w:tcPr>
            <w:tcW w:w="8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(423,736)</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125,379</w:t>
            </w:r>
          </w:p>
        </w:tc>
        <w:tc>
          <w:tcPr>
            <w:tcW w:w="200" w:type="dxa"/>
            <w:vAlign w:val="bottom"/>
          </w:tcPr>
          <w:p>
            <w:pPr>
              <w:spacing w:after="0"/>
              <w:rPr>
                <w:sz w:val="18"/>
                <w:szCs w:val="18"/>
                <w:color w:val="auto"/>
              </w:rPr>
            </w:pPr>
          </w:p>
        </w:tc>
        <w:tc>
          <w:tcPr>
            <w:tcW w:w="8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518,315</w:t>
            </w:r>
          </w:p>
        </w:tc>
        <w:tc>
          <w:tcPr>
            <w:tcW w:w="220" w:type="dxa"/>
            <w:vAlign w:val="bottom"/>
          </w:tcPr>
          <w:p>
            <w:pPr>
              <w:spacing w:after="0"/>
              <w:rPr>
                <w:sz w:val="18"/>
                <w:szCs w:val="18"/>
                <w:color w:val="auto"/>
              </w:rPr>
            </w:pPr>
          </w:p>
        </w:tc>
        <w:tc>
          <w:tcPr>
            <w:tcW w:w="9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(406,342)</w:t>
            </w:r>
          </w:p>
        </w:tc>
        <w:tc>
          <w:tcPr>
            <w:tcW w:w="200" w:type="dxa"/>
            <w:vAlign w:val="bottom"/>
          </w:tcPr>
          <w:p>
            <w:pPr>
              <w:spacing w:after="0"/>
              <w:rPr>
                <w:sz w:val="18"/>
                <w:szCs w:val="18"/>
                <w:color w:val="auto"/>
              </w:rPr>
            </w:pP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111,973</w:t>
            </w:r>
          </w:p>
        </w:tc>
        <w:tc>
          <w:tcPr>
            <w:tcW w:w="40" w:type="dxa"/>
            <w:vAlign w:val="bottom"/>
          </w:tcPr>
          <w:p>
            <w:pPr>
              <w:spacing w:after="0"/>
              <w:rPr>
                <w:sz w:val="18"/>
                <w:szCs w:val="18"/>
                <w:color w:val="auto"/>
              </w:rPr>
            </w:pPr>
          </w:p>
        </w:tc>
      </w:tr>
      <w:tr>
        <w:trPr>
          <w:trHeight w:val="216"/>
        </w:trPr>
        <w:tc>
          <w:tcPr>
            <w:tcW w:w="302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1,906,115</w:t>
            </w:r>
          </w:p>
        </w:tc>
        <w:tc>
          <w:tcPr>
            <w:tcW w:w="2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(347,906)</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1,558,209</w:t>
            </w:r>
          </w:p>
        </w:tc>
        <w:tc>
          <w:tcPr>
            <w:tcW w:w="20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1,906,115</w:t>
            </w:r>
          </w:p>
        </w:tc>
        <w:tc>
          <w:tcPr>
            <w:tcW w:w="13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(347,906)</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1,558,209</w:t>
            </w:r>
          </w:p>
        </w:tc>
        <w:tc>
          <w:tcPr>
            <w:tcW w:w="40" w:type="dxa"/>
            <w:vAlign w:val="bottom"/>
            <w:shd w:val="clear" w:color="auto" w:fill="CCEEFF"/>
          </w:tcPr>
          <w:p>
            <w:pPr>
              <w:spacing w:after="0"/>
              <w:rPr>
                <w:sz w:val="18"/>
                <w:szCs w:val="18"/>
                <w:color w:val="auto"/>
              </w:rPr>
            </w:pPr>
          </w:p>
        </w:tc>
      </w:tr>
      <w:tr>
        <w:trPr>
          <w:trHeight w:val="223"/>
        </w:trPr>
        <w:tc>
          <w:tcPr>
            <w:tcW w:w="3020" w:type="dxa"/>
            <w:vAlign w:val="bottom"/>
          </w:tcPr>
          <w:p>
            <w:pPr>
              <w:ind w:left="180"/>
              <w:spacing w:after="0"/>
              <w:rPr>
                <w:sz w:val="20"/>
                <w:szCs w:val="20"/>
                <w:color w:val="auto"/>
              </w:rPr>
            </w:pPr>
            <w:r>
              <w:rPr>
                <w:rFonts w:ascii="Arial" w:cs="Arial" w:eastAsia="Arial" w:hAnsi="Arial"/>
                <w:sz w:val="18"/>
                <w:szCs w:val="18"/>
                <w:color w:val="auto"/>
              </w:rPr>
              <w:t>Total intangible assets</w:t>
            </w: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0"/>
              </w:rPr>
              <w:t>$ 2,455,230</w:t>
            </w:r>
          </w:p>
        </w:tc>
        <w:tc>
          <w:tcPr>
            <w:tcW w:w="220" w:type="dxa"/>
            <w:vAlign w:val="bottom"/>
          </w:tcPr>
          <w:p>
            <w:pPr>
              <w:spacing w:after="0"/>
              <w:rPr>
                <w:sz w:val="19"/>
                <w:szCs w:val="19"/>
                <w:color w:val="auto"/>
              </w:rPr>
            </w:pP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  (771,642</w:t>
            </w:r>
          </w:p>
        </w:tc>
        <w:tc>
          <w:tcPr>
            <w:tcW w:w="140" w:type="dxa"/>
            <w:vAlign w:val="bottom"/>
          </w:tcPr>
          <w:p>
            <w:pPr>
              <w:jc w:val="right"/>
              <w:spacing w:after="0"/>
              <w:rPr>
                <w:sz w:val="20"/>
                <w:szCs w:val="20"/>
                <w:color w:val="auto"/>
              </w:rPr>
            </w:pPr>
            <w:r>
              <w:rPr>
                <w:rFonts w:ascii="Arial" w:cs="Arial" w:eastAsia="Arial" w:hAnsi="Arial"/>
                <w:sz w:val="16"/>
                <w:szCs w:val="16"/>
                <w:color w:val="auto"/>
                <w:w w:val="74"/>
              </w:rPr>
              <w:t>)</w:t>
            </w:r>
          </w:p>
        </w:tc>
        <w:tc>
          <w:tcPr>
            <w:tcW w:w="80" w:type="dxa"/>
            <w:vAlign w:val="bottom"/>
          </w:tcPr>
          <w:p>
            <w:pPr>
              <w:spacing w:after="0"/>
              <w:rPr>
                <w:sz w:val="19"/>
                <w:szCs w:val="19"/>
                <w:color w:val="auto"/>
              </w:rPr>
            </w:pP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8"/>
              </w:rPr>
              <w:t>$ 1,683,588</w:t>
            </w:r>
          </w:p>
        </w:tc>
        <w:tc>
          <w:tcPr>
            <w:tcW w:w="200" w:type="dxa"/>
            <w:vAlign w:val="bottom"/>
          </w:tcPr>
          <w:p>
            <w:pPr>
              <w:spacing w:after="0"/>
              <w:rPr>
                <w:sz w:val="19"/>
                <w:szCs w:val="19"/>
                <w:color w:val="auto"/>
              </w:rPr>
            </w:pP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0"/>
              </w:rPr>
              <w:t>$ 2,424,430</w:t>
            </w:r>
          </w:p>
        </w:tc>
        <w:tc>
          <w:tcPr>
            <w:tcW w:w="220" w:type="dxa"/>
            <w:vAlign w:val="bottom"/>
          </w:tcPr>
          <w:p>
            <w:pPr>
              <w:spacing w:after="0"/>
              <w:rPr>
                <w:sz w:val="19"/>
                <w:szCs w:val="19"/>
                <w:color w:val="auto"/>
              </w:rPr>
            </w:pP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4"/>
              </w:rPr>
              <w:t>$  (754,248</w:t>
            </w:r>
          </w:p>
        </w:tc>
        <w:tc>
          <w:tcPr>
            <w:tcW w:w="200" w:type="dxa"/>
            <w:vAlign w:val="bottom"/>
          </w:tcPr>
          <w:p>
            <w:pPr>
              <w:jc w:val="right"/>
              <w:ind w:right="60"/>
              <w:spacing w:after="0"/>
              <w:rPr>
                <w:sz w:val="20"/>
                <w:szCs w:val="20"/>
                <w:color w:val="auto"/>
              </w:rPr>
            </w:pPr>
            <w:r>
              <w:rPr>
                <w:rFonts w:ascii="Arial" w:cs="Arial" w:eastAsia="Arial" w:hAnsi="Arial"/>
                <w:sz w:val="16"/>
                <w:szCs w:val="16"/>
                <w:color w:val="auto"/>
                <w:w w:val="74"/>
              </w:rPr>
              <w:t>)</w:t>
            </w: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$ 1,670,182</w:t>
            </w:r>
          </w:p>
        </w:tc>
        <w:tc>
          <w:tcPr>
            <w:tcW w:w="40" w:type="dxa"/>
            <w:vAlign w:val="bottom"/>
          </w:tcPr>
          <w:p>
            <w:pPr>
              <w:spacing w:after="0"/>
              <w:rPr>
                <w:sz w:val="19"/>
                <w:szCs w:val="19"/>
                <w:color w:val="auto"/>
              </w:rPr>
            </w:pPr>
          </w:p>
        </w:tc>
      </w:tr>
      <w:tr>
        <w:trPr>
          <w:trHeight w:val="20"/>
        </w:trPr>
        <w:tc>
          <w:tcPr>
            <w:tcW w:w="3020" w:type="dxa"/>
            <w:vAlign w:val="bottom"/>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18" w:lineRule="exact"/>
        <w:rPr>
          <w:sz w:val="20"/>
          <w:szCs w:val="20"/>
          <w:color w:val="auto"/>
        </w:rPr>
      </w:pPr>
    </w:p>
    <w:p>
      <w:pPr>
        <w:ind w:right="580" w:firstLine="162"/>
        <w:spacing w:after="0" w:line="277" w:lineRule="auto"/>
        <w:rPr>
          <w:sz w:val="20"/>
          <w:szCs w:val="20"/>
          <w:color w:val="auto"/>
        </w:rPr>
      </w:pPr>
      <w:r>
        <w:rPr>
          <w:rFonts w:ascii="Arial" w:cs="Arial" w:eastAsia="Arial" w:hAnsi="Arial"/>
          <w:sz w:val="18"/>
          <w:szCs w:val="18"/>
          <w:color w:val="auto"/>
        </w:rPr>
        <w:t>The increase in purchased intangible assets during the three months ended April 30, 2006 was from the acquisition of the semiconductor division of UTStarcom, Inc. (see Note 3).</w:t>
      </w:r>
    </w:p>
    <w:p>
      <w:pPr>
        <w:spacing w:after="0" w:line="170" w:lineRule="exact"/>
        <w:rPr>
          <w:sz w:val="20"/>
          <w:szCs w:val="20"/>
          <w:color w:val="auto"/>
        </w:rPr>
      </w:pPr>
    </w:p>
    <w:p>
      <w:pPr>
        <w:ind w:firstLine="259"/>
        <w:spacing w:after="0" w:line="272" w:lineRule="auto"/>
        <w:rPr>
          <w:sz w:val="20"/>
          <w:szCs w:val="20"/>
          <w:color w:val="auto"/>
        </w:rPr>
      </w:pPr>
      <w:r>
        <w:rPr>
          <w:rFonts w:ascii="Arial" w:cs="Arial" w:eastAsia="Arial" w:hAnsi="Arial"/>
          <w:sz w:val="17"/>
          <w:szCs w:val="17"/>
          <w:color w:val="auto"/>
        </w:rPr>
        <w:t>Identified intangible assets consist of purchased technology, core technology, supply contract and customer contracts and related relationships. Purchased technology is amortized on a straight-line basis over its estimated useful life of one to five years. Core technology is amortized on a straight-line basis over its estimated useful life of three to four years. The supply contract is amortized on a straight-line basis over its estimated useful life of four years. Customer contracts and related relationships are amortized on a straight-line basis over their estimated useful lives of four to five years. The aggregate amortization expense of identified intangible assets was $17.4 million in the first quarter of fiscal 2007 and $19.8 million in the first quarter of fiscal 2006. The estimated total annual amortization expenses of acquired intangible assets is $45.4 million for the remaining nine months of fiscal 2007, $34.8 million for fiscal 2008, $29.5 million for 2009, $15.4 million for fiscal 2010 and $0.3 million for fiscal 2011.</w:t>
      </w:r>
    </w:p>
    <w:p>
      <w:pPr>
        <w:spacing w:after="0" w:line="39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 xml:space="preserve">Other </w:t>
      </w:r>
      <w:r>
        <w:rPr>
          <w:rFonts w:ascii="Arial" w:cs="Arial" w:eastAsia="Arial" w:hAnsi="Arial"/>
          <w:sz w:val="17"/>
          <w:szCs w:val="17"/>
          <w:b w:val="1"/>
          <w:bCs w:val="1"/>
          <w:color w:val="auto"/>
        </w:rPr>
        <w:t>long-term liabilities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The following table presents details of other long-term liabilities (in thousands):</w:t>
      </w: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tbl>
      <w:tblPr>
        <w:tblLayout w:type="fixed"/>
        <w:tblInd w:w="11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160" w:type="dxa"/>
            <w:vAlign w:val="bottom"/>
          </w:tcPr>
          <w:p>
            <w:pPr>
              <w:spacing w:after="0"/>
              <w:rPr>
                <w:sz w:val="14"/>
                <w:szCs w:val="14"/>
                <w:color w:val="auto"/>
              </w:rPr>
            </w:pPr>
          </w:p>
        </w:tc>
        <w:tc>
          <w:tcPr>
            <w:tcW w:w="2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gridSpan w:val="2"/>
          </w:tcPr>
          <w:p>
            <w:pPr>
              <w:spacing w:after="0"/>
              <w:rPr>
                <w:sz w:val="20"/>
                <w:szCs w:val="20"/>
                <w:color w:val="auto"/>
              </w:rPr>
            </w:pPr>
            <w:r>
              <w:rPr>
                <w:rFonts w:ascii="Arial" w:cs="Arial" w:eastAsia="Arial" w:hAnsi="Arial"/>
                <w:sz w:val="14"/>
                <w:szCs w:val="14"/>
                <w:b w:val="1"/>
                <w:bCs w:val="1"/>
                <w:color w:val="auto"/>
              </w:rPr>
              <w:t>April 30,</w:t>
            </w:r>
          </w:p>
        </w:tc>
        <w:tc>
          <w:tcPr>
            <w:tcW w:w="20" w:type="dxa"/>
            <w:vAlign w:val="bottom"/>
          </w:tcPr>
          <w:p>
            <w:pPr>
              <w:spacing w:after="0"/>
              <w:rPr>
                <w:sz w:val="14"/>
                <w:szCs w:val="14"/>
                <w:color w:val="auto"/>
              </w:rPr>
            </w:pPr>
          </w:p>
        </w:tc>
        <w:tc>
          <w:tcPr>
            <w:tcW w:w="860" w:type="dxa"/>
            <w:vAlign w:val="bottom"/>
            <w:gridSpan w:val="3"/>
          </w:tcPr>
          <w:p>
            <w:pPr>
              <w:ind w:left="20"/>
              <w:spacing w:after="0"/>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5160" w:type="dxa"/>
            <w:vAlign w:val="bottom"/>
          </w:tcPr>
          <w:p>
            <w:pPr>
              <w:spacing w:after="0"/>
              <w:rPr>
                <w:sz w:val="14"/>
                <w:szCs w:val="14"/>
                <w:color w:val="auto"/>
              </w:rPr>
            </w:pPr>
          </w:p>
        </w:tc>
        <w:tc>
          <w:tcPr>
            <w:tcW w:w="22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right"/>
              <w:ind w:right="176"/>
              <w:spacing w:after="0"/>
              <w:rPr>
                <w:sz w:val="20"/>
                <w:szCs w:val="20"/>
                <w:color w:val="auto"/>
              </w:rPr>
            </w:pPr>
            <w:r>
              <w:rPr>
                <w:rFonts w:ascii="Arial" w:cs="Arial" w:eastAsia="Arial" w:hAnsi="Arial"/>
                <w:sz w:val="14"/>
                <w:szCs w:val="14"/>
                <w:b w:val="1"/>
                <w:bCs w:val="1"/>
                <w:color w:val="auto"/>
              </w:rPr>
              <w:t>2006</w:t>
            </w:r>
          </w:p>
        </w:tc>
        <w:tc>
          <w:tcPr>
            <w:tcW w:w="2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2006</w:t>
            </w: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5160" w:type="dxa"/>
            <w:vAlign w:val="bottom"/>
          </w:tcPr>
          <w:p>
            <w:pPr>
              <w:spacing w:after="0"/>
              <w:rPr>
                <w:sz w:val="18"/>
                <w:szCs w:val="18"/>
                <w:color w:val="auto"/>
              </w:rPr>
            </w:pPr>
          </w:p>
        </w:tc>
        <w:tc>
          <w:tcPr>
            <w:tcW w:w="2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160" w:type="dxa"/>
            <w:vAlign w:val="bottom"/>
            <w:shd w:val="clear" w:color="auto" w:fill="CCEEFF"/>
          </w:tcPr>
          <w:p>
            <w:pPr>
              <w:spacing w:after="0"/>
              <w:rPr>
                <w:sz w:val="20"/>
                <w:szCs w:val="20"/>
                <w:color w:val="auto"/>
              </w:rPr>
            </w:pPr>
            <w:r>
              <w:rPr>
                <w:rFonts w:ascii="Arial" w:cs="Arial" w:eastAsia="Arial" w:hAnsi="Arial"/>
                <w:sz w:val="18"/>
                <w:szCs w:val="18"/>
                <w:color w:val="auto"/>
              </w:rPr>
              <w:t>Long-term facilities consolidation charge</w:t>
            </w:r>
          </w:p>
        </w:tc>
        <w:tc>
          <w:tcPr>
            <w:tcW w:w="2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2,713</w:t>
            </w:r>
          </w:p>
        </w:tc>
        <w:tc>
          <w:tcPr>
            <w:tcW w:w="200" w:type="dxa"/>
            <w:vAlign w:val="bottom"/>
            <w:shd w:val="clear" w:color="auto" w:fill="CCEEFF"/>
          </w:tcPr>
          <w:p>
            <w:pPr>
              <w:spacing w:after="0"/>
              <w:rPr>
                <w:sz w:val="18"/>
                <w:szCs w:val="18"/>
                <w:color w:val="auto"/>
              </w:rPr>
            </w:pPr>
          </w:p>
        </w:tc>
        <w:tc>
          <w:tcPr>
            <w:tcW w:w="180" w:type="dxa"/>
            <w:vAlign w:val="bottom"/>
            <w:gridSpan w:val="2"/>
            <w:shd w:val="clear" w:color="auto" w:fill="CCEEFF"/>
          </w:tcPr>
          <w:p>
            <w:pPr>
              <w:jc w:val="right"/>
              <w:ind w:right="7"/>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2,896</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60" w:type="dxa"/>
            <w:vAlign w:val="bottom"/>
          </w:tcPr>
          <w:p>
            <w:pPr>
              <w:spacing w:after="0"/>
              <w:rPr>
                <w:sz w:val="20"/>
                <w:szCs w:val="20"/>
                <w:color w:val="auto"/>
              </w:rPr>
            </w:pPr>
            <w:r>
              <w:rPr>
                <w:rFonts w:ascii="Arial" w:cs="Arial" w:eastAsia="Arial" w:hAnsi="Arial"/>
                <w:sz w:val="18"/>
                <w:szCs w:val="18"/>
                <w:color w:val="auto"/>
              </w:rPr>
              <w:t>Accrued severance</w:t>
            </w:r>
          </w:p>
        </w:tc>
        <w:tc>
          <w:tcPr>
            <w:tcW w:w="2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14,778</w:t>
            </w: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13,083</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6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22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9,344</w:t>
            </w: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8,892</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160" w:type="dxa"/>
            <w:vAlign w:val="bottom"/>
          </w:tcPr>
          <w:p>
            <w:pPr>
              <w:spacing w:after="0"/>
              <w:rPr>
                <w:sz w:val="18"/>
                <w:szCs w:val="18"/>
                <w:color w:val="auto"/>
              </w:rPr>
            </w:pPr>
          </w:p>
        </w:tc>
        <w:tc>
          <w:tcPr>
            <w:tcW w:w="220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26,835</w:t>
            </w:r>
          </w:p>
        </w:tc>
        <w:tc>
          <w:tcPr>
            <w:tcW w:w="20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160" w:type="dxa"/>
            <w:vAlign w:val="bottom"/>
            <w:tcBorders>
              <w:bottom w:val="single" w:sz="8" w:color="auto"/>
            </w:tcBorders>
          </w:tcPr>
          <w:p>
            <w:pPr>
              <w:jc w:val="right"/>
              <w:ind w:right="7"/>
              <w:spacing w:after="0"/>
              <w:rPr>
                <w:sz w:val="20"/>
                <w:szCs w:val="20"/>
                <w:color w:val="auto"/>
              </w:rPr>
            </w:pPr>
            <w:r>
              <w:rPr>
                <w:rFonts w:ascii="Arial" w:cs="Arial" w:eastAsia="Arial" w:hAnsi="Arial"/>
                <w:sz w:val="15"/>
                <w:szCs w:val="15"/>
                <w:color w:val="auto"/>
                <w:w w:val="71"/>
              </w:rPr>
              <w:t>$</w:t>
            </w: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24,871</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160" w:type="dxa"/>
            <w:vAlign w:val="bottom"/>
          </w:tcPr>
          <w:p>
            <w:pPr>
              <w:spacing w:after="0" w:line="20" w:lineRule="exact"/>
              <w:rPr>
                <w:sz w:val="1"/>
                <w:szCs w:val="1"/>
                <w:color w:val="auto"/>
              </w:rPr>
            </w:pPr>
          </w:p>
        </w:tc>
        <w:tc>
          <w:tcPr>
            <w:tcW w:w="22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14"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Warranty accrual</w:t>
      </w:r>
    </w:p>
    <w:p>
      <w:pPr>
        <w:spacing w:after="0" w:line="229" w:lineRule="exact"/>
        <w:rPr>
          <w:sz w:val="20"/>
          <w:szCs w:val="20"/>
          <w:color w:val="auto"/>
        </w:rPr>
      </w:pPr>
    </w:p>
    <w:p>
      <w:pPr>
        <w:ind w:right="300" w:firstLine="259"/>
        <w:spacing w:after="0" w:line="277" w:lineRule="auto"/>
        <w:rPr>
          <w:sz w:val="20"/>
          <w:szCs w:val="20"/>
          <w:color w:val="auto"/>
        </w:rPr>
      </w:pPr>
      <w:r>
        <w:rPr>
          <w:rFonts w:ascii="Arial" w:cs="Arial" w:eastAsia="Arial" w:hAnsi="Arial"/>
          <w:sz w:val="18"/>
          <w:szCs w:val="18"/>
          <w:color w:val="auto"/>
        </w:rPr>
        <w:t>The following table presents changes in the warranty accrual included in accrued liabilities during the three months ended April 30, 2006 and 2005 (in thousands):</w:t>
      </w:r>
    </w:p>
    <w:p>
      <w:pPr>
        <w:spacing w:after="0" w:line="200" w:lineRule="exact"/>
        <w:rPr>
          <w:sz w:val="20"/>
          <w:szCs w:val="20"/>
          <w:color w:val="auto"/>
        </w:rPr>
      </w:pPr>
    </w:p>
    <w:p>
      <w:pPr>
        <w:spacing w:after="0" w:line="364" w:lineRule="exact"/>
        <w:rPr>
          <w:sz w:val="20"/>
          <w:szCs w:val="20"/>
          <w:color w:val="auto"/>
        </w:rPr>
      </w:pPr>
    </w:p>
    <w:tbl>
      <w:tblPr>
        <w:tblLayout w:type="fixed"/>
        <w:tblInd w:w="11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640" w:type="dxa"/>
            <w:vAlign w:val="bottom"/>
          </w:tcPr>
          <w:p>
            <w:pPr>
              <w:spacing w:after="0"/>
              <w:rPr>
                <w:sz w:val="14"/>
                <w:szCs w:val="14"/>
                <w:color w:val="auto"/>
              </w:rPr>
            </w:pPr>
          </w:p>
        </w:tc>
        <w:tc>
          <w:tcPr>
            <w:tcW w:w="2080" w:type="dxa"/>
            <w:vAlign w:val="bottom"/>
          </w:tcPr>
          <w:p>
            <w:pPr>
              <w:spacing w:after="0"/>
              <w:rPr>
                <w:sz w:val="14"/>
                <w:szCs w:val="14"/>
                <w:color w:val="auto"/>
              </w:rPr>
            </w:pPr>
          </w:p>
        </w:tc>
        <w:tc>
          <w:tcPr>
            <w:tcW w:w="72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w w:val="94"/>
              </w:rPr>
              <w:t>April 30,</w:t>
            </w:r>
          </w:p>
        </w:tc>
        <w:tc>
          <w:tcPr>
            <w:tcW w:w="80" w:type="dxa"/>
            <w:vAlign w:val="bottom"/>
          </w:tcPr>
          <w:p>
            <w:pPr>
              <w:spacing w:after="0"/>
              <w:rPr>
                <w:sz w:val="14"/>
                <w:szCs w:val="14"/>
                <w:color w:val="auto"/>
              </w:rPr>
            </w:pPr>
          </w:p>
        </w:tc>
        <w:tc>
          <w:tcPr>
            <w:tcW w:w="680" w:type="dxa"/>
            <w:vAlign w:val="bottom"/>
            <w:gridSpan w:val="3"/>
          </w:tcPr>
          <w:p>
            <w:pPr>
              <w:jc w:val="right"/>
              <w:ind w:right="120"/>
              <w:spacing w:after="0"/>
              <w:rPr>
                <w:sz w:val="20"/>
                <w:szCs w:val="20"/>
                <w:color w:val="auto"/>
              </w:rPr>
            </w:pPr>
            <w:r>
              <w:rPr>
                <w:rFonts w:ascii="Arial" w:cs="Arial" w:eastAsia="Arial" w:hAnsi="Arial"/>
                <w:sz w:val="14"/>
                <w:szCs w:val="14"/>
                <w:b w:val="1"/>
                <w:bCs w:val="1"/>
                <w:color w:val="auto"/>
                <w:w w:val="97"/>
              </w:rPr>
              <w:t>April 30,</w:t>
            </w:r>
          </w:p>
        </w:tc>
      </w:tr>
      <w:tr>
        <w:trPr>
          <w:trHeight w:val="162"/>
        </w:trPr>
        <w:tc>
          <w:tcPr>
            <w:tcW w:w="20" w:type="dxa"/>
            <w:vAlign w:val="bottom"/>
          </w:tcPr>
          <w:p>
            <w:pPr>
              <w:spacing w:after="0"/>
              <w:rPr>
                <w:sz w:val="14"/>
                <w:szCs w:val="14"/>
                <w:color w:val="auto"/>
              </w:rPr>
            </w:pPr>
          </w:p>
        </w:tc>
        <w:tc>
          <w:tcPr>
            <w:tcW w:w="5640" w:type="dxa"/>
            <w:vAlign w:val="bottom"/>
          </w:tcPr>
          <w:p>
            <w:pPr>
              <w:spacing w:after="0"/>
              <w:rPr>
                <w:sz w:val="14"/>
                <w:szCs w:val="14"/>
                <w:color w:val="auto"/>
              </w:rPr>
            </w:pPr>
          </w:p>
        </w:tc>
        <w:tc>
          <w:tcPr>
            <w:tcW w:w="2660" w:type="dxa"/>
            <w:vAlign w:val="bottom"/>
            <w:gridSpan w:val="2"/>
          </w:tcPr>
          <w:p>
            <w:pPr>
              <w:jc w:val="right"/>
              <w:ind w:right="79"/>
              <w:spacing w:after="0"/>
              <w:rPr>
                <w:sz w:val="20"/>
                <w:szCs w:val="20"/>
                <w:color w:val="auto"/>
              </w:rPr>
            </w:pPr>
            <w:r>
              <w:rPr>
                <w:rFonts w:ascii="Arial" w:cs="Arial" w:eastAsia="Arial" w:hAnsi="Arial"/>
                <w:sz w:val="14"/>
                <w:szCs w:val="14"/>
                <w:b w:val="1"/>
                <w:bCs w:val="1"/>
                <w:color w:val="auto"/>
              </w:rPr>
              <w:t>2006</w:t>
            </w: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00" w:type="dxa"/>
            <w:vAlign w:val="bottom"/>
          </w:tcPr>
          <w:p>
            <w:pPr>
              <w:jc w:val="right"/>
              <w:ind w:right="94"/>
              <w:spacing w:after="0"/>
              <w:rPr>
                <w:sz w:val="20"/>
                <w:szCs w:val="20"/>
                <w:color w:val="auto"/>
              </w:rPr>
            </w:pPr>
            <w:r>
              <w:rPr>
                <w:rFonts w:ascii="Arial" w:cs="Arial" w:eastAsia="Arial" w:hAnsi="Arial"/>
                <w:sz w:val="14"/>
                <w:szCs w:val="14"/>
                <w:b w:val="1"/>
                <w:bCs w:val="1"/>
                <w:color w:val="auto"/>
                <w:w w:val="96"/>
              </w:rPr>
              <w:t>2005</w:t>
            </w:r>
          </w:p>
        </w:tc>
        <w:tc>
          <w:tcPr>
            <w:tcW w:w="80" w:type="dxa"/>
            <w:vAlign w:val="bottom"/>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56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Warranty accrual (included in accrued liabilities):</w:t>
            </w:r>
          </w:p>
        </w:tc>
        <w:tc>
          <w:tcPr>
            <w:tcW w:w="2080" w:type="dxa"/>
            <w:vAlign w:val="bottom"/>
            <w:tcBorders>
              <w:top w:val="single" w:sz="8" w:color="CCEEFF"/>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5640" w:type="dxa"/>
            <w:vAlign w:val="bottom"/>
          </w:tcPr>
          <w:p>
            <w:pPr>
              <w:ind w:left="160"/>
              <w:spacing w:after="0"/>
              <w:rPr>
                <w:sz w:val="20"/>
                <w:szCs w:val="20"/>
                <w:color w:val="auto"/>
              </w:rPr>
            </w:pPr>
            <w:r>
              <w:rPr>
                <w:rFonts w:ascii="Arial" w:cs="Arial" w:eastAsia="Arial" w:hAnsi="Arial"/>
                <w:sz w:val="18"/>
                <w:szCs w:val="18"/>
                <w:color w:val="auto"/>
              </w:rPr>
              <w:t>Beginning balance</w:t>
            </w:r>
          </w:p>
        </w:tc>
        <w:tc>
          <w:tcPr>
            <w:tcW w:w="2660" w:type="dxa"/>
            <w:vAlign w:val="bottom"/>
            <w:gridSpan w:val="2"/>
          </w:tcPr>
          <w:p>
            <w:pPr>
              <w:jc w:val="right"/>
              <w:spacing w:after="0"/>
              <w:rPr>
                <w:sz w:val="20"/>
                <w:szCs w:val="20"/>
                <w:color w:val="auto"/>
              </w:rPr>
            </w:pPr>
            <w:r>
              <w:rPr>
                <w:rFonts w:ascii="Arial" w:cs="Arial" w:eastAsia="Arial" w:hAnsi="Arial"/>
                <w:sz w:val="18"/>
                <w:szCs w:val="18"/>
                <w:color w:val="auto"/>
              </w:rPr>
              <w:t>$ 3,914</w:t>
            </w:r>
          </w:p>
        </w:tc>
        <w:tc>
          <w:tcPr>
            <w:tcW w:w="140" w:type="dxa"/>
            <w:vAlign w:val="bottom"/>
          </w:tcPr>
          <w:p>
            <w:pPr>
              <w:spacing w:after="0"/>
              <w:rPr>
                <w:sz w:val="18"/>
                <w:szCs w:val="18"/>
                <w:color w:val="auto"/>
              </w:rPr>
            </w:pPr>
          </w:p>
        </w:tc>
        <w:tc>
          <w:tcPr>
            <w:tcW w:w="1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1,571</w:t>
            </w:r>
          </w:p>
        </w:tc>
        <w:tc>
          <w:tcPr>
            <w:tcW w:w="8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6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Warranties issued</w:t>
            </w:r>
          </w:p>
        </w:tc>
        <w:tc>
          <w:tcPr>
            <w:tcW w:w="2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339</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1,044</w:t>
            </w:r>
          </w:p>
        </w:tc>
        <w:tc>
          <w:tcPr>
            <w:tcW w:w="8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640" w:type="dxa"/>
            <w:vAlign w:val="bottom"/>
          </w:tcPr>
          <w:p>
            <w:pPr>
              <w:ind w:left="340"/>
              <w:spacing w:after="0"/>
              <w:rPr>
                <w:sz w:val="20"/>
                <w:szCs w:val="20"/>
                <w:color w:val="auto"/>
              </w:rPr>
            </w:pPr>
            <w:r>
              <w:rPr>
                <w:rFonts w:ascii="Arial" w:cs="Arial" w:eastAsia="Arial" w:hAnsi="Arial"/>
                <w:sz w:val="18"/>
                <w:szCs w:val="18"/>
                <w:color w:val="auto"/>
              </w:rPr>
              <w:t>Settlements</w:t>
            </w:r>
          </w:p>
        </w:tc>
        <w:tc>
          <w:tcPr>
            <w:tcW w:w="2800" w:type="dxa"/>
            <w:vAlign w:val="bottom"/>
            <w:gridSpan w:val="3"/>
          </w:tcPr>
          <w:p>
            <w:pPr>
              <w:jc w:val="right"/>
              <w:ind w:right="80"/>
              <w:spacing w:after="0"/>
              <w:rPr>
                <w:sz w:val="20"/>
                <w:szCs w:val="20"/>
                <w:color w:val="auto"/>
              </w:rPr>
            </w:pPr>
            <w:r>
              <w:rPr>
                <w:rFonts w:ascii="Arial" w:cs="Arial" w:eastAsia="Arial" w:hAnsi="Arial"/>
                <w:sz w:val="18"/>
                <w:szCs w:val="18"/>
                <w:color w:val="auto"/>
              </w:rPr>
              <w:t>(30)</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ind w:right="40"/>
              <w:spacing w:after="0"/>
              <w:rPr>
                <w:sz w:val="20"/>
                <w:szCs w:val="20"/>
                <w:color w:val="auto"/>
              </w:rPr>
            </w:pPr>
            <w:r>
              <w:rPr>
                <w:rFonts w:ascii="Arial" w:cs="Arial" w:eastAsia="Arial" w:hAnsi="Arial"/>
                <w:sz w:val="18"/>
                <w:szCs w:val="18"/>
                <w:color w:val="auto"/>
              </w:rPr>
              <w:t>(196)</w:t>
            </w:r>
          </w:p>
        </w:tc>
      </w:tr>
      <w:tr>
        <w:trPr>
          <w:trHeight w:val="210"/>
        </w:trPr>
        <w:tc>
          <w:tcPr>
            <w:tcW w:w="20" w:type="dxa"/>
            <w:vAlign w:val="bottom"/>
          </w:tcPr>
          <w:p>
            <w:pPr>
              <w:spacing w:after="0"/>
              <w:rPr>
                <w:sz w:val="18"/>
                <w:szCs w:val="18"/>
                <w:color w:val="auto"/>
              </w:rPr>
            </w:pPr>
          </w:p>
        </w:tc>
        <w:tc>
          <w:tcPr>
            <w:tcW w:w="5640" w:type="dxa"/>
            <w:vAlign w:val="bottom"/>
            <w:tcBorders>
              <w:top w:val="single" w:sz="8" w:color="CCEEFF"/>
              <w:bottom w:val="single" w:sz="8" w:color="CCEEFF"/>
            </w:tcBorders>
            <w:shd w:val="clear" w:color="auto" w:fill="CCEEFF"/>
          </w:tcPr>
          <w:p>
            <w:pPr>
              <w:ind w:left="160"/>
              <w:spacing w:after="0"/>
              <w:rPr>
                <w:sz w:val="20"/>
                <w:szCs w:val="20"/>
                <w:color w:val="auto"/>
              </w:rPr>
            </w:pPr>
            <w:r>
              <w:rPr>
                <w:rFonts w:ascii="Arial" w:cs="Arial" w:eastAsia="Arial" w:hAnsi="Arial"/>
                <w:sz w:val="18"/>
                <w:szCs w:val="18"/>
                <w:color w:val="auto"/>
              </w:rPr>
              <w:t>Ending balance</w:t>
            </w:r>
          </w:p>
        </w:tc>
        <w:tc>
          <w:tcPr>
            <w:tcW w:w="2080" w:type="dxa"/>
            <w:vAlign w:val="bottom"/>
            <w:tcBorders>
              <w:top w:val="single" w:sz="8" w:color="CCEEFF"/>
              <w:bottom w:val="single" w:sz="8" w:color="CCEEFF"/>
            </w:tcBorders>
            <w:shd w:val="clear" w:color="auto" w:fill="CCEEFF"/>
          </w:tcPr>
          <w:p>
            <w:pPr>
              <w:spacing w:after="0"/>
              <w:rPr>
                <w:sz w:val="18"/>
                <w:szCs w:val="18"/>
                <w:color w:val="auto"/>
              </w:rPr>
            </w:pPr>
          </w:p>
        </w:tc>
        <w:tc>
          <w:tcPr>
            <w:tcW w:w="5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$ 4,223</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2,419</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5640" w:type="dxa"/>
            <w:vAlign w:val="bottom"/>
          </w:tcPr>
          <w:p>
            <w:pPr>
              <w:spacing w:after="0" w:line="20" w:lineRule="exact"/>
              <w:rPr>
                <w:sz w:val="1"/>
                <w:szCs w:val="1"/>
                <w:color w:val="auto"/>
              </w:rPr>
            </w:pPr>
          </w:p>
        </w:tc>
        <w:tc>
          <w:tcPr>
            <w:tcW w:w="208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14"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Net income per share</w:t>
      </w:r>
    </w:p>
    <w:p>
      <w:pPr>
        <w:spacing w:after="0" w:line="229" w:lineRule="exact"/>
        <w:rPr>
          <w:sz w:val="20"/>
          <w:szCs w:val="20"/>
          <w:color w:val="auto"/>
        </w:rPr>
      </w:pPr>
    </w:p>
    <w:p>
      <w:pPr>
        <w:ind w:right="160" w:firstLine="259"/>
        <w:spacing w:after="0" w:line="259" w:lineRule="auto"/>
        <w:rPr>
          <w:sz w:val="20"/>
          <w:szCs w:val="20"/>
          <w:color w:val="auto"/>
        </w:rPr>
      </w:pPr>
      <w:r>
        <w:rPr>
          <w:rFonts w:ascii="Arial" w:cs="Arial" w:eastAsia="Arial" w:hAnsi="Arial"/>
          <w:sz w:val="18"/>
          <w:szCs w:val="18"/>
          <w:color w:val="auto"/>
        </w:rPr>
        <w:t>The Company reports both basic net income per share, which is based upon the weighted average number of common shares outstanding excluding contingently issuable or returnable shares, and diluted net income per share, which is based on the weighted average number of common shares outstanding and dilutive potential common shares. The computations of basic and diluted net income per share are presented in the following table (in thousands, except per share amounts):</w:t>
      </w:r>
    </w:p>
    <w:p>
      <w:pPr>
        <w:spacing w:after="0" w:line="200" w:lineRule="exact"/>
        <w:rPr>
          <w:sz w:val="20"/>
          <w:szCs w:val="20"/>
          <w:color w:val="auto"/>
        </w:rPr>
      </w:pPr>
    </w:p>
    <w:p>
      <w:pPr>
        <w:spacing w:after="0" w:line="395" w:lineRule="exact"/>
        <w:rPr>
          <w:sz w:val="20"/>
          <w:szCs w:val="20"/>
          <w:color w:val="auto"/>
        </w:rPr>
      </w:pPr>
    </w:p>
    <w:p>
      <w:pPr>
        <w:jc w:val="center"/>
        <w:ind w:left="7540"/>
        <w:spacing w:after="0"/>
        <w:rPr>
          <w:sz w:val="20"/>
          <w:szCs w:val="20"/>
          <w:color w:val="auto"/>
        </w:rPr>
      </w:pPr>
      <w:r>
        <w:rPr>
          <w:rFonts w:ascii="Arial" w:cs="Arial" w:eastAsia="Arial" w:hAnsi="Arial"/>
          <w:sz w:val="14"/>
          <w:szCs w:val="14"/>
          <w:b w:val="1"/>
          <w:bCs w:val="1"/>
          <w:color w:val="auto"/>
        </w:rPr>
        <w:t>Three Months Ended</w:t>
      </w:r>
    </w:p>
    <w:p>
      <w:pPr>
        <w:ind w:left="9220"/>
        <w:spacing w:after="0" w:line="209" w:lineRule="auto"/>
        <w:rPr>
          <w:sz w:val="20"/>
          <w:szCs w:val="20"/>
          <w:color w:val="auto"/>
        </w:rPr>
      </w:pPr>
      <w:r>
        <w:rPr>
          <w:rFonts w:ascii="Arial" w:cs="Arial" w:eastAsia="Arial" w:hAnsi="Arial"/>
          <w:sz w:val="14"/>
          <w:szCs w:val="14"/>
          <w:b w:val="1"/>
          <w:bCs w:val="1"/>
          <w:color w:val="auto"/>
        </w:rPr>
        <w:t>April 30,</w:t>
      </w:r>
    </w:p>
    <w:tbl>
      <w:tblPr>
        <w:tblLayout w:type="fixed"/>
        <w:tblInd w:w="1100" w:type="dxa"/>
        <w:tblCellMar>
          <w:top w:w="0" w:type="dxa"/>
          <w:left w:w="0" w:type="dxa"/>
          <w:bottom w:w="0" w:type="dxa"/>
          <w:right w:w="0" w:type="dxa"/>
        </w:tblCellMar>
      </w:tblPr>
      <w:tr>
        <w:trPr>
          <w:trHeight w:val="136"/>
        </w:trPr>
        <w:tc>
          <w:tcPr>
            <w:tcW w:w="7600" w:type="dxa"/>
            <w:vAlign w:val="bottom"/>
          </w:tcPr>
          <w:p>
            <w:pPr>
              <w:spacing w:after="0"/>
              <w:rPr>
                <w:sz w:val="11"/>
                <w:szCs w:val="11"/>
                <w:color w:val="auto"/>
              </w:rPr>
            </w:pPr>
          </w:p>
        </w:tc>
        <w:tc>
          <w:tcPr>
            <w:tcW w:w="660" w:type="dxa"/>
            <w:vAlign w:val="bottom"/>
            <w:tcBorders>
              <w:top w:val="single" w:sz="8" w:color="auto"/>
            </w:tcBorders>
          </w:tcPr>
          <w:p>
            <w:pPr>
              <w:jc w:val="right"/>
              <w:ind w:right="112"/>
              <w:spacing w:after="0" w:line="136" w:lineRule="exact"/>
              <w:rPr>
                <w:sz w:val="20"/>
                <w:szCs w:val="20"/>
                <w:color w:val="auto"/>
              </w:rPr>
            </w:pPr>
            <w:r>
              <w:rPr>
                <w:rFonts w:ascii="Arial" w:cs="Arial" w:eastAsia="Arial" w:hAnsi="Arial"/>
                <w:sz w:val="14"/>
                <w:szCs w:val="14"/>
                <w:b w:val="1"/>
                <w:bCs w:val="1"/>
                <w:color w:val="auto"/>
              </w:rPr>
              <w:t>2006</w:t>
            </w:r>
          </w:p>
        </w:tc>
        <w:tc>
          <w:tcPr>
            <w:tcW w:w="920" w:type="dxa"/>
            <w:vAlign w:val="bottom"/>
            <w:tcBorders>
              <w:top w:val="single" w:sz="8" w:color="auto"/>
            </w:tcBorders>
            <w:gridSpan w:val="2"/>
          </w:tcPr>
          <w:p>
            <w:pPr>
              <w:jc w:val="right"/>
              <w:ind w:right="130"/>
              <w:spacing w:after="0" w:line="136" w:lineRule="exact"/>
              <w:rPr>
                <w:sz w:val="20"/>
                <w:szCs w:val="20"/>
                <w:color w:val="auto"/>
              </w:rPr>
            </w:pPr>
            <w:r>
              <w:rPr>
                <w:rFonts w:ascii="Arial" w:cs="Arial" w:eastAsia="Arial" w:hAnsi="Arial"/>
                <w:sz w:val="14"/>
                <w:szCs w:val="14"/>
                <w:b w:val="1"/>
                <w:bCs w:val="1"/>
                <w:color w:val="auto"/>
              </w:rPr>
              <w:t>2005</w:t>
            </w:r>
          </w:p>
        </w:tc>
        <w:tc>
          <w:tcPr>
            <w:tcW w:w="40" w:type="dxa"/>
            <w:vAlign w:val="bottom"/>
          </w:tcPr>
          <w:p>
            <w:pPr>
              <w:spacing w:after="0"/>
              <w:rPr>
                <w:sz w:val="11"/>
                <w:szCs w:val="11"/>
                <w:color w:val="auto"/>
              </w:rPr>
            </w:pPr>
          </w:p>
        </w:tc>
      </w:tr>
      <w:tr>
        <w:trPr>
          <w:trHeight w:val="196"/>
        </w:trPr>
        <w:tc>
          <w:tcPr>
            <w:tcW w:w="76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Numerator:</w:t>
            </w:r>
          </w:p>
        </w:tc>
        <w:tc>
          <w:tcPr>
            <w:tcW w:w="66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r>
      <w:tr>
        <w:trPr>
          <w:trHeight w:val="216"/>
        </w:trPr>
        <w:tc>
          <w:tcPr>
            <w:tcW w:w="7600" w:type="dxa"/>
            <w:vAlign w:val="bottom"/>
          </w:tcPr>
          <w:p>
            <w:pPr>
              <w:spacing w:after="0"/>
              <w:rPr>
                <w:sz w:val="20"/>
                <w:szCs w:val="20"/>
                <w:color w:val="auto"/>
              </w:rPr>
            </w:pPr>
            <w:r>
              <w:rPr>
                <w:rFonts w:ascii="Arial" w:cs="Arial" w:eastAsia="Arial" w:hAnsi="Arial"/>
                <w:sz w:val="18"/>
                <w:szCs w:val="18"/>
                <w:color w:val="auto"/>
              </w:rPr>
              <w:t>Net income</w:t>
            </w:r>
          </w:p>
        </w:tc>
        <w:tc>
          <w:tcPr>
            <w:tcW w:w="660" w:type="dxa"/>
            <w:vAlign w:val="bottom"/>
          </w:tcPr>
          <w:p>
            <w:pPr>
              <w:jc w:val="right"/>
              <w:spacing w:after="0"/>
              <w:rPr>
                <w:sz w:val="20"/>
                <w:szCs w:val="20"/>
                <w:color w:val="auto"/>
              </w:rPr>
            </w:pPr>
            <w:r>
              <w:rPr>
                <w:rFonts w:ascii="Arial" w:cs="Arial" w:eastAsia="Arial" w:hAnsi="Arial"/>
                <w:sz w:val="18"/>
                <w:szCs w:val="18"/>
                <w:color w:val="auto"/>
                <w:w w:val="91"/>
              </w:rPr>
              <w:t>$ 75,297</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$ 63,532</w:t>
            </w:r>
          </w:p>
        </w:tc>
        <w:tc>
          <w:tcPr>
            <w:tcW w:w="40" w:type="dxa"/>
            <w:vAlign w:val="bottom"/>
          </w:tcPr>
          <w:p>
            <w:pPr>
              <w:spacing w:after="0"/>
              <w:rPr>
                <w:sz w:val="18"/>
                <w:szCs w:val="18"/>
                <w:color w:val="auto"/>
              </w:rPr>
            </w:pPr>
          </w:p>
        </w:tc>
      </w:tr>
      <w:tr>
        <w:trPr>
          <w:trHeight w:val="196"/>
        </w:trPr>
        <w:tc>
          <w:tcPr>
            <w:tcW w:w="76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Denominator:</w:t>
            </w:r>
          </w:p>
        </w:tc>
        <w:tc>
          <w:tcPr>
            <w:tcW w:w="66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r>
      <w:tr>
        <w:trPr>
          <w:trHeight w:val="216"/>
        </w:trPr>
        <w:tc>
          <w:tcPr>
            <w:tcW w:w="7600" w:type="dxa"/>
            <w:vAlign w:val="bottom"/>
          </w:tcPr>
          <w:p>
            <w:pPr>
              <w:spacing w:after="0"/>
              <w:rPr>
                <w:sz w:val="20"/>
                <w:szCs w:val="20"/>
                <w:color w:val="auto"/>
              </w:rPr>
            </w:pPr>
            <w:r>
              <w:rPr>
                <w:rFonts w:ascii="Arial" w:cs="Arial" w:eastAsia="Arial" w:hAnsi="Arial"/>
                <w:sz w:val="18"/>
                <w:szCs w:val="18"/>
                <w:color w:val="auto"/>
              </w:rPr>
              <w:t>Weighted average shares of common stock outstanding</w:t>
            </w:r>
          </w:p>
        </w:tc>
        <w:tc>
          <w:tcPr>
            <w:tcW w:w="660" w:type="dxa"/>
            <w:vAlign w:val="bottom"/>
          </w:tcPr>
          <w:p>
            <w:pPr>
              <w:jc w:val="right"/>
              <w:spacing w:after="0"/>
              <w:rPr>
                <w:sz w:val="20"/>
                <w:szCs w:val="20"/>
                <w:color w:val="auto"/>
              </w:rPr>
            </w:pPr>
            <w:r>
              <w:rPr>
                <w:rFonts w:ascii="Arial" w:cs="Arial" w:eastAsia="Arial" w:hAnsi="Arial"/>
                <w:sz w:val="18"/>
                <w:szCs w:val="18"/>
                <w:color w:val="auto"/>
                <w:w w:val="98"/>
              </w:rPr>
              <w:t>291,851</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278,793</w:t>
            </w:r>
          </w:p>
        </w:tc>
        <w:tc>
          <w:tcPr>
            <w:tcW w:w="40" w:type="dxa"/>
            <w:vAlign w:val="bottom"/>
          </w:tcPr>
          <w:p>
            <w:pPr>
              <w:spacing w:after="0"/>
              <w:rPr>
                <w:sz w:val="18"/>
                <w:szCs w:val="18"/>
                <w:color w:val="auto"/>
              </w:rPr>
            </w:pPr>
          </w:p>
        </w:tc>
      </w:tr>
      <w:tr>
        <w:trPr>
          <w:trHeight w:val="210"/>
        </w:trPr>
        <w:tc>
          <w:tcPr>
            <w:tcW w:w="7600" w:type="dxa"/>
            <w:vAlign w:val="bottom"/>
            <w:tcBorders>
              <w:top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Weighted average shares — basic</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291,851</w:t>
            </w:r>
          </w:p>
        </w:tc>
        <w:tc>
          <w:tcPr>
            <w:tcW w:w="22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278,793</w:t>
            </w:r>
          </w:p>
        </w:tc>
        <w:tc>
          <w:tcPr>
            <w:tcW w:w="40" w:type="dxa"/>
            <w:vAlign w:val="bottom"/>
            <w:tcBorders>
              <w:top w:val="single" w:sz="8" w:color="CCEEFF"/>
            </w:tcBorders>
            <w:shd w:val="clear" w:color="auto" w:fill="CCEEFF"/>
          </w:tcPr>
          <w:p>
            <w:pPr>
              <w:spacing w:after="0"/>
              <w:rPr>
                <w:sz w:val="18"/>
                <w:szCs w:val="18"/>
                <w:color w:val="auto"/>
              </w:rPr>
            </w:pPr>
          </w:p>
        </w:tc>
      </w:tr>
      <w:tr>
        <w:trPr>
          <w:trHeight w:val="216"/>
        </w:trPr>
        <w:tc>
          <w:tcPr>
            <w:tcW w:w="7600" w:type="dxa"/>
            <w:vAlign w:val="bottom"/>
          </w:tcPr>
          <w:p>
            <w:pPr>
              <w:spacing w:after="0"/>
              <w:rPr>
                <w:sz w:val="20"/>
                <w:szCs w:val="20"/>
                <w:color w:val="auto"/>
              </w:rPr>
            </w:pPr>
            <w:r>
              <w:rPr>
                <w:rFonts w:ascii="Arial" w:cs="Arial" w:eastAsia="Arial" w:hAnsi="Arial"/>
                <w:sz w:val="18"/>
                <w:szCs w:val="18"/>
                <w:color w:val="auto"/>
              </w:rPr>
              <w:t>Effect of dilutive securities-</w:t>
            </w:r>
          </w:p>
        </w:tc>
        <w:tc>
          <w:tcPr>
            <w:tcW w:w="6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7600" w:type="dxa"/>
            <w:vAlign w:val="bottom"/>
            <w:shd w:val="clear" w:color="auto" w:fill="CCEEFF"/>
          </w:tcPr>
          <w:p>
            <w:pPr>
              <w:spacing w:after="0"/>
              <w:rPr>
                <w:sz w:val="20"/>
                <w:szCs w:val="20"/>
                <w:color w:val="auto"/>
              </w:rPr>
            </w:pPr>
            <w:r>
              <w:rPr>
                <w:rFonts w:ascii="Arial" w:cs="Arial" w:eastAsia="Arial" w:hAnsi="Arial"/>
                <w:sz w:val="18"/>
                <w:szCs w:val="18"/>
                <w:color w:val="auto"/>
              </w:rPr>
              <w:t>Warrants</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894</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803</w:t>
            </w:r>
          </w:p>
        </w:tc>
        <w:tc>
          <w:tcPr>
            <w:tcW w:w="40" w:type="dxa"/>
            <w:vAlign w:val="bottom"/>
            <w:shd w:val="clear" w:color="auto" w:fill="CCEEFF"/>
          </w:tcPr>
          <w:p>
            <w:pPr>
              <w:spacing w:after="0"/>
              <w:rPr>
                <w:sz w:val="18"/>
                <w:szCs w:val="18"/>
                <w:color w:val="auto"/>
              </w:rPr>
            </w:pPr>
          </w:p>
        </w:tc>
      </w:tr>
      <w:tr>
        <w:trPr>
          <w:trHeight w:val="216"/>
        </w:trPr>
        <w:tc>
          <w:tcPr>
            <w:tcW w:w="7600" w:type="dxa"/>
            <w:vAlign w:val="bottom"/>
          </w:tcPr>
          <w:p>
            <w:pPr>
              <w:spacing w:after="0"/>
              <w:rPr>
                <w:sz w:val="20"/>
                <w:szCs w:val="20"/>
                <w:color w:val="auto"/>
              </w:rPr>
            </w:pPr>
            <w:r>
              <w:rPr>
                <w:rFonts w:ascii="Arial" w:cs="Arial" w:eastAsia="Arial" w:hAnsi="Arial"/>
                <w:sz w:val="18"/>
                <w:szCs w:val="18"/>
                <w:color w:val="auto"/>
              </w:rPr>
              <w:t>Contingently issuable shares</w:t>
            </w:r>
          </w:p>
        </w:tc>
        <w:tc>
          <w:tcPr>
            <w:tcW w:w="660" w:type="dxa"/>
            <w:vAlign w:val="bottom"/>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409</w:t>
            </w:r>
          </w:p>
        </w:tc>
        <w:tc>
          <w:tcPr>
            <w:tcW w:w="40" w:type="dxa"/>
            <w:vAlign w:val="bottom"/>
          </w:tcPr>
          <w:p>
            <w:pPr>
              <w:spacing w:after="0"/>
              <w:rPr>
                <w:sz w:val="18"/>
                <w:szCs w:val="18"/>
                <w:color w:val="auto"/>
              </w:rPr>
            </w:pPr>
          </w:p>
        </w:tc>
      </w:tr>
      <w:tr>
        <w:trPr>
          <w:trHeight w:val="216"/>
        </w:trPr>
        <w:tc>
          <w:tcPr>
            <w:tcW w:w="7600" w:type="dxa"/>
            <w:vAlign w:val="bottom"/>
            <w:shd w:val="clear" w:color="auto" w:fill="CCEEFF"/>
          </w:tcPr>
          <w:p>
            <w:pPr>
              <w:spacing w:after="0"/>
              <w:rPr>
                <w:sz w:val="20"/>
                <w:szCs w:val="20"/>
                <w:color w:val="auto"/>
              </w:rPr>
            </w:pPr>
            <w:r>
              <w:rPr>
                <w:rFonts w:ascii="Arial" w:cs="Arial" w:eastAsia="Arial" w:hAnsi="Arial"/>
                <w:sz w:val="18"/>
                <w:szCs w:val="18"/>
                <w:color w:val="auto"/>
              </w:rPr>
              <w:t>Common stock options and other</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27,670</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30,731</w:t>
            </w:r>
          </w:p>
        </w:tc>
        <w:tc>
          <w:tcPr>
            <w:tcW w:w="40" w:type="dxa"/>
            <w:vAlign w:val="bottom"/>
            <w:shd w:val="clear" w:color="auto" w:fill="CCEEFF"/>
          </w:tcPr>
          <w:p>
            <w:pPr>
              <w:spacing w:after="0"/>
              <w:rPr>
                <w:sz w:val="18"/>
                <w:szCs w:val="18"/>
                <w:color w:val="auto"/>
              </w:rPr>
            </w:pPr>
          </w:p>
        </w:tc>
      </w:tr>
      <w:tr>
        <w:trPr>
          <w:trHeight w:val="210"/>
        </w:trPr>
        <w:tc>
          <w:tcPr>
            <w:tcW w:w="7600" w:type="dxa"/>
            <w:vAlign w:val="bottom"/>
            <w:tcBorders>
              <w:bottom w:val="single" w:sz="8" w:color="CCEEFF"/>
            </w:tcBorders>
          </w:tcPr>
          <w:p>
            <w:pPr>
              <w:ind w:left="180"/>
              <w:spacing w:after="0"/>
              <w:rPr>
                <w:sz w:val="20"/>
                <w:szCs w:val="20"/>
                <w:color w:val="auto"/>
              </w:rPr>
            </w:pPr>
            <w:r>
              <w:rPr>
                <w:rFonts w:ascii="Arial" w:cs="Arial" w:eastAsia="Arial" w:hAnsi="Arial"/>
                <w:sz w:val="18"/>
                <w:szCs w:val="18"/>
                <w:color w:val="auto"/>
              </w:rPr>
              <w:t>Weighted average shares — diluted</w:t>
            </w: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320,415</w:t>
            </w:r>
          </w:p>
        </w:tc>
        <w:tc>
          <w:tcPr>
            <w:tcW w:w="220" w:type="dxa"/>
            <w:vAlign w:val="bottom"/>
            <w:tcBorders>
              <w:bottom w:val="single" w:sz="8" w:color="CCEEFF"/>
            </w:tcBorders>
          </w:tcPr>
          <w:p>
            <w:pPr>
              <w:spacing w:after="0"/>
              <w:rPr>
                <w:sz w:val="18"/>
                <w:szCs w:val="18"/>
                <w:color w:val="auto"/>
              </w:rPr>
            </w:pP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310,736</w:t>
            </w:r>
          </w:p>
        </w:tc>
        <w:tc>
          <w:tcPr>
            <w:tcW w:w="40" w:type="dxa"/>
            <w:vAlign w:val="bottom"/>
            <w:tcBorders>
              <w:bottom w:val="single" w:sz="8" w:color="CCEEFF"/>
            </w:tcBorders>
          </w:tcPr>
          <w:p>
            <w:pPr>
              <w:spacing w:after="0"/>
              <w:rPr>
                <w:sz w:val="18"/>
                <w:szCs w:val="18"/>
                <w:color w:val="auto"/>
              </w:rPr>
            </w:pPr>
          </w:p>
        </w:tc>
      </w:tr>
      <w:tr>
        <w:trPr>
          <w:trHeight w:val="131"/>
        </w:trPr>
        <w:tc>
          <w:tcPr>
            <w:tcW w:w="7600" w:type="dxa"/>
            <w:vAlign w:val="bottom"/>
            <w:shd w:val="clear" w:color="auto" w:fill="CCEEFF"/>
          </w:tcPr>
          <w:p>
            <w:pPr>
              <w:spacing w:after="0"/>
              <w:rPr>
                <w:sz w:val="11"/>
                <w:szCs w:val="11"/>
                <w:color w:val="auto"/>
              </w:rPr>
            </w:pPr>
          </w:p>
        </w:tc>
        <w:tc>
          <w:tcPr>
            <w:tcW w:w="66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700" w:type="dxa"/>
            <w:vAlign w:val="bottom"/>
            <w:shd w:val="clear" w:color="auto" w:fill="CCEEFF"/>
          </w:tcPr>
          <w:p>
            <w:pPr>
              <w:spacing w:after="0"/>
              <w:rPr>
                <w:sz w:val="11"/>
                <w:szCs w:val="11"/>
                <w:color w:val="auto"/>
              </w:rPr>
            </w:pPr>
          </w:p>
        </w:tc>
        <w:tc>
          <w:tcPr>
            <w:tcW w:w="40" w:type="dxa"/>
            <w:vAlign w:val="bottom"/>
            <w:shd w:val="clear" w:color="auto" w:fill="CCEEFF"/>
          </w:tcPr>
          <w:p>
            <w:pPr>
              <w:spacing w:after="0"/>
              <w:rPr>
                <w:sz w:val="11"/>
                <w:szCs w:val="11"/>
                <w:color w:val="auto"/>
              </w:rPr>
            </w:pPr>
          </w:p>
        </w:tc>
      </w:tr>
    </w:tbl>
    <w:p>
      <w:pPr>
        <w:sectPr>
          <w:pgSz w:w="11900" w:h="16900" w:orient="portrait"/>
          <w:cols w:equalWidth="0" w:num="1">
            <w:col w:w="11400"/>
          </w:cols>
          <w:pgMar w:left="240" w:top="140" w:right="259" w:bottom="0" w:gutter="0" w:footer="0" w:header="0"/>
        </w:sectPr>
      </w:pPr>
    </w:p>
    <w:bookmarkStart w:id="8" w:name="page9"/>
    <w:bookmarkEnd w:id="8"/>
    <w:p>
      <w:pPr>
        <w:spacing w:after="0" w:line="1" w:lineRule="exact"/>
        <w:rPr>
          <w:sz w:val="20"/>
          <w:szCs w:val="20"/>
          <w:color w:val="auto"/>
        </w:rPr>
      </w:pPr>
    </w:p>
    <w:tbl>
      <w:tblPr>
        <w:tblLayout w:type="fixed"/>
        <w:tblInd w:w="1100" w:type="dxa"/>
        <w:tblCellMar>
          <w:top w:w="0" w:type="dxa"/>
          <w:left w:w="0" w:type="dxa"/>
          <w:bottom w:w="0" w:type="dxa"/>
          <w:right w:w="0" w:type="dxa"/>
        </w:tblCellMar>
      </w:tblPr>
      <w:tr>
        <w:trPr>
          <w:trHeight w:val="216"/>
        </w:trPr>
        <w:tc>
          <w:tcPr>
            <w:tcW w:w="760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220" w:type="dxa"/>
            <w:vAlign w:val="bottom"/>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0.26</w:t>
            </w:r>
          </w:p>
        </w:tc>
        <w:tc>
          <w:tcPr>
            <w:tcW w:w="22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ind w:right="45"/>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w:t>
            </w:r>
            <w:r>
              <w:rPr>
                <w:rFonts w:ascii="Arial" w:cs="Arial" w:eastAsia="Arial" w:hAnsi="Arial"/>
                <w:sz w:val="18"/>
                <w:szCs w:val="18"/>
                <w:u w:val="single" w:color="auto"/>
                <w:color w:val="auto"/>
              </w:rPr>
              <w:t>23</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600" w:type="dxa"/>
            <w:vAlign w:val="bottom"/>
            <w:tcBorders>
              <w:top w:val="single" w:sz="8" w:color="CCEEFF"/>
              <w:bottom w:val="single" w:sz="8" w:color="CCEEFF"/>
            </w:tcBorders>
            <w:vMerge w:val="restart"/>
          </w:tcPr>
          <w:p>
            <w:pPr>
              <w:spacing w:after="0"/>
              <w:rPr>
                <w:sz w:val="20"/>
                <w:szCs w:val="20"/>
                <w:color w:val="auto"/>
              </w:rPr>
            </w:pPr>
            <w:r>
              <w:rPr>
                <w:rFonts w:ascii="Arial" w:cs="Arial" w:eastAsia="Arial" w:hAnsi="Arial"/>
                <w:sz w:val="18"/>
                <w:szCs w:val="18"/>
                <w:color w:val="auto"/>
              </w:rPr>
              <w:t>Diluted net income per share</w:t>
            </w:r>
          </w:p>
        </w:tc>
        <w:tc>
          <w:tcPr>
            <w:tcW w:w="2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0" w:type="dxa"/>
            <w:vAlign w:val="bottom"/>
            <w:tcBorders>
              <w:top w:val="single" w:sz="8" w:color="CCEEFF"/>
              <w:bottom w:val="single" w:sz="8" w:color="CCEEFF"/>
            </w:tcBorders>
            <w:vMerge w:val="restart"/>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7600" w:type="dxa"/>
            <w:vAlign w:val="bottom"/>
            <w:vMerge w:val="continue"/>
          </w:tcPr>
          <w:p>
            <w:pPr>
              <w:spacing w:after="0"/>
              <w:rPr>
                <w:sz w:val="17"/>
                <w:szCs w:val="17"/>
                <w:color w:val="auto"/>
              </w:rPr>
            </w:pPr>
          </w:p>
        </w:tc>
        <w:tc>
          <w:tcPr>
            <w:tcW w:w="220" w:type="dxa"/>
            <w:vAlign w:val="bottom"/>
            <w:tcBorders>
              <w:bottom w:val="single" w:sz="8" w:color="auto"/>
            </w:tcBorders>
          </w:tcPr>
          <w:p>
            <w:pPr>
              <w:jc w:val="right"/>
              <w:ind w:right="65"/>
              <w:spacing w:after="0"/>
              <w:rPr>
                <w:sz w:val="20"/>
                <w:szCs w:val="20"/>
                <w:color w:val="auto"/>
              </w:rPr>
            </w:pPr>
            <w:r>
              <w:rPr>
                <w:rFonts w:ascii="Arial" w:cs="Arial" w:eastAsia="Arial" w:hAnsi="Arial"/>
                <w:sz w:val="15"/>
                <w:szCs w:val="15"/>
                <w:color w:val="auto"/>
                <w:w w:val="71"/>
              </w:rPr>
              <w:t>$</w:t>
            </w:r>
          </w:p>
        </w:tc>
        <w:tc>
          <w:tcPr>
            <w:tcW w:w="44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0.23</w:t>
            </w:r>
          </w:p>
        </w:tc>
        <w:tc>
          <w:tcPr>
            <w:tcW w:w="220" w:type="dxa"/>
            <w:vAlign w:val="bottom"/>
          </w:tcPr>
          <w:p>
            <w:pPr>
              <w:spacing w:after="0"/>
              <w:rPr>
                <w:sz w:val="17"/>
                <w:szCs w:val="17"/>
                <w:color w:val="auto"/>
              </w:rPr>
            </w:pPr>
          </w:p>
        </w:tc>
        <w:tc>
          <w:tcPr>
            <w:tcW w:w="20" w:type="dxa"/>
            <w:vAlign w:val="bottom"/>
            <w:tcBorders>
              <w:bottom w:val="single" w:sz="8" w:color="auto"/>
            </w:tcBorders>
            <w:vMerge w:val="continue"/>
          </w:tcPr>
          <w:p>
            <w:pPr>
              <w:spacing w:after="0"/>
              <w:rPr>
                <w:sz w:val="17"/>
                <w:szCs w:val="17"/>
                <w:color w:val="auto"/>
              </w:rPr>
            </w:pPr>
          </w:p>
        </w:tc>
        <w:tc>
          <w:tcPr>
            <w:tcW w:w="200" w:type="dxa"/>
            <w:vAlign w:val="bottom"/>
            <w:tcBorders>
              <w:bottom w:val="single" w:sz="8" w:color="auto"/>
            </w:tcBorders>
          </w:tcPr>
          <w:p>
            <w:pPr>
              <w:jc w:val="right"/>
              <w:ind w:right="45"/>
              <w:spacing w:after="0"/>
              <w:rPr>
                <w:sz w:val="20"/>
                <w:szCs w:val="20"/>
                <w:color w:val="auto"/>
              </w:rPr>
            </w:pPr>
            <w:r>
              <w:rPr>
                <w:rFonts w:ascii="Arial" w:cs="Arial" w:eastAsia="Arial" w:hAnsi="Arial"/>
                <w:sz w:val="15"/>
                <w:szCs w:val="15"/>
                <w:color w:val="auto"/>
                <w:w w:val="71"/>
              </w:rPr>
              <w:t>$</w:t>
            </w:r>
          </w:p>
        </w:tc>
        <w:tc>
          <w:tcPr>
            <w:tcW w:w="48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0.</w:t>
            </w:r>
            <w:r>
              <w:rPr>
                <w:rFonts w:ascii="Arial" w:cs="Arial" w:eastAsia="Arial" w:hAnsi="Arial"/>
                <w:sz w:val="18"/>
                <w:szCs w:val="18"/>
                <w:u w:val="single" w:color="auto"/>
                <w:color w:val="auto"/>
              </w:rPr>
              <w:t>20</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76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18" w:lineRule="exact"/>
        <w:rPr>
          <w:sz w:val="20"/>
          <w:szCs w:val="20"/>
          <w:color w:val="auto"/>
        </w:rPr>
      </w:pPr>
    </w:p>
    <w:p>
      <w:pPr>
        <w:ind w:right="60" w:firstLine="259"/>
        <w:spacing w:after="0" w:line="259" w:lineRule="auto"/>
        <w:rPr>
          <w:sz w:val="20"/>
          <w:szCs w:val="20"/>
          <w:color w:val="auto"/>
        </w:rPr>
      </w:pPr>
      <w:r>
        <w:rPr>
          <w:rFonts w:ascii="Arial" w:cs="Arial" w:eastAsia="Arial" w:hAnsi="Arial"/>
          <w:sz w:val="18"/>
          <w:szCs w:val="18"/>
          <w:color w:val="auto"/>
        </w:rPr>
        <w:t>Options to purchase 6,542,453 common shares at a weighted average exercise price of $54.38 have been excluded from the computation of diluted net income per share for the three months ended April 30, 2006 based on the treasury stock method calculation. Options to purchase 256,143 common shares at a weighted average exercise price of $39.14 have been excluded from the computation of diluted net income per share for the three months ended April 30, 2005 based on the treasury stock method calculation.</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Comprehensive income</w:t>
      </w:r>
    </w:p>
    <w:p>
      <w:pPr>
        <w:sectPr>
          <w:pgSz w:w="11900" w:h="16838" w:orient="portrait"/>
          <w:cols w:equalWidth="0" w:num="1">
            <w:col w:w="11420"/>
          </w:cols>
          <w:pgMar w:left="240" w:top="140" w:right="239" w:bottom="285" w:gutter="0" w:footer="0" w:header="0"/>
        </w:sectPr>
      </w:pPr>
    </w:p>
    <w:p>
      <w:pPr>
        <w:spacing w:after="0" w:line="229" w:lineRule="exact"/>
        <w:rPr>
          <w:sz w:val="20"/>
          <w:szCs w:val="20"/>
          <w:color w:val="auto"/>
        </w:rPr>
      </w:pPr>
    </w:p>
    <w:p>
      <w:pPr>
        <w:ind w:left="260"/>
        <w:spacing w:after="0"/>
        <w:rPr>
          <w:sz w:val="20"/>
          <w:szCs w:val="20"/>
          <w:color w:val="auto"/>
        </w:rPr>
      </w:pPr>
      <w:r>
        <w:rPr>
          <w:rFonts w:ascii="Arial" w:cs="Arial" w:eastAsia="Arial" w:hAnsi="Arial"/>
          <w:sz w:val="16"/>
          <w:szCs w:val="16"/>
          <w:color w:val="auto"/>
        </w:rPr>
        <w:t>The components of comprehensive income, net of tax, are presented in the following table (in thousands):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9"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Net income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699770</wp:posOffset>
            </wp:positionH>
            <wp:positionV relativeFrom="paragraph">
              <wp:posOffset>-121920</wp:posOffset>
            </wp:positionV>
            <wp:extent cx="5857240" cy="14605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2">
                      <a:extLst>
                        <a:ext uri="{28A0092B-C50C-407E-A947-70E740481C1C}"/>
                      </a:extLst>
                    </a:blip>
                    <a:srcRect/>
                    <a:stretch>
                      <a:fillRect/>
                    </a:stretch>
                  </pic:blipFill>
                  <pic:spPr bwMode="auto">
                    <a:xfrm>
                      <a:off x="0" y="0"/>
                      <a:ext cx="5857240" cy="146050"/>
                    </a:xfrm>
                    <a:prstGeom prst="rect">
                      <a:avLst/>
                    </a:prstGeom>
                    <a:noFill/>
                  </pic:spPr>
                </pic:pic>
              </a:graphicData>
            </a:graphic>
          </wp:anchor>
        </w:drawing>
      </w:r>
    </w:p>
    <w:p>
      <w:pPr>
        <w:spacing w:after="0" w:line="3"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Other comprehensive loss:</w:t>
      </w:r>
    </w:p>
    <w:p>
      <w:pPr>
        <w:spacing w:after="0" w:line="23" w:lineRule="exact"/>
        <w:rPr>
          <w:sz w:val="20"/>
          <w:szCs w:val="20"/>
          <w:color w:val="auto"/>
        </w:rPr>
      </w:pPr>
    </w:p>
    <w:p>
      <w:pPr>
        <w:ind w:left="1100" w:right="1340"/>
        <w:spacing w:after="0" w:line="261" w:lineRule="auto"/>
        <w:rPr>
          <w:sz w:val="20"/>
          <w:szCs w:val="20"/>
          <w:color w:val="auto"/>
        </w:rPr>
      </w:pPr>
      <w:r>
        <w:rPr>
          <w:rFonts w:ascii="Arial" w:cs="Arial" w:eastAsia="Arial" w:hAnsi="Arial"/>
          <w:sz w:val="18"/>
          <w:szCs w:val="18"/>
          <w:color w:val="auto"/>
        </w:rPr>
        <w:t>Unrealized gain (loss) on available-for-sale investments and other, net of tax Total comprehensive income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699770</wp:posOffset>
            </wp:positionH>
            <wp:positionV relativeFrom="paragraph">
              <wp:posOffset>-285115</wp:posOffset>
            </wp:positionV>
            <wp:extent cx="5857240" cy="13716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3">
                      <a:extLst>
                        <a:ext uri="{28A0092B-C50C-407E-A947-70E740481C1C}"/>
                      </a:extLst>
                    </a:blip>
                    <a:srcRect/>
                    <a:stretch>
                      <a:fillRect/>
                    </a:stretch>
                  </pic:blipFill>
                  <pic:spPr bwMode="auto">
                    <a:xfrm>
                      <a:off x="0" y="0"/>
                      <a:ext cx="5857240" cy="13716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0" w:lineRule="exact"/>
        <w:rPr>
          <w:sz w:val="20"/>
          <w:szCs w:val="20"/>
          <w:color w:val="auto"/>
        </w:rPr>
      </w:pPr>
    </w:p>
    <w:p>
      <w:pPr>
        <w:jc w:val="center"/>
        <w:ind w:right="1200"/>
        <w:spacing w:after="0"/>
        <w:rPr>
          <w:sz w:val="20"/>
          <w:szCs w:val="20"/>
          <w:color w:val="auto"/>
        </w:rPr>
      </w:pPr>
      <w:r>
        <w:rPr>
          <w:rFonts w:ascii="Arial" w:cs="Arial" w:eastAsia="Arial" w:hAnsi="Arial"/>
          <w:sz w:val="14"/>
          <w:szCs w:val="14"/>
          <w:b w:val="1"/>
          <w:bCs w:val="1"/>
          <w:color w:val="auto"/>
        </w:rPr>
        <w:t>Three Months Ended</w:t>
      </w:r>
    </w:p>
    <w:p>
      <w:pPr>
        <w:jc w:val="center"/>
        <w:ind w:right="1200"/>
        <w:spacing w:after="0" w:line="209" w:lineRule="auto"/>
        <w:rPr>
          <w:sz w:val="20"/>
          <w:szCs w:val="20"/>
          <w:color w:val="auto"/>
        </w:rPr>
      </w:pPr>
      <w:r>
        <w:rPr>
          <w:rFonts w:ascii="Arial" w:cs="Arial" w:eastAsia="Arial" w:hAnsi="Arial"/>
          <w:sz w:val="14"/>
          <w:szCs w:val="14"/>
          <w:b w:val="1"/>
          <w:bCs w:val="1"/>
          <w:color w:val="auto"/>
        </w:rPr>
        <w:t>April 30,</w:t>
      </w:r>
    </w:p>
    <w:p>
      <w:pPr>
        <w:ind w:left="180"/>
        <w:spacing w:after="0"/>
        <w:tabs>
          <w:tab w:leader="none" w:pos="1060" w:val="left"/>
        </w:tabs>
        <w:rPr>
          <w:sz w:val="20"/>
          <w:szCs w:val="20"/>
          <w:color w:val="auto"/>
        </w:rPr>
      </w:pPr>
      <w:r>
        <w:rPr>
          <w:rFonts w:ascii="Arial" w:cs="Arial" w:eastAsia="Arial" w:hAnsi="Arial"/>
          <w:sz w:val="14"/>
          <w:szCs w:val="14"/>
          <w:b w:val="1"/>
          <w:bCs w:val="1"/>
          <w:color w:val="auto"/>
        </w:rPr>
        <w:t>2006</w:t>
      </w:r>
      <w:r>
        <w:rPr>
          <w:sz w:val="20"/>
          <w:szCs w:val="20"/>
          <w:color w:val="auto"/>
        </w:rPr>
        <w:tab/>
      </w:r>
      <w:r>
        <w:rPr>
          <w:rFonts w:ascii="Arial" w:cs="Arial" w:eastAsia="Arial" w:hAnsi="Arial"/>
          <w:sz w:val="14"/>
          <w:szCs w:val="14"/>
          <w:b w:val="1"/>
          <w:bCs w:val="1"/>
          <w:color w:val="auto"/>
        </w:rPr>
        <w:t>2005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-97155</wp:posOffset>
            </wp:positionV>
            <wp:extent cx="100330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4">
                      <a:extLst>
                        <a:ext uri="{28A0092B-C50C-407E-A947-70E740481C1C}"/>
                      </a:extLst>
                    </a:blip>
                    <a:srcRect/>
                    <a:stretch>
                      <a:fillRect/>
                    </a:stretch>
                  </pic:blipFill>
                  <pic:spPr bwMode="auto">
                    <a:xfrm>
                      <a:off x="0" y="0"/>
                      <a:ext cx="1003300" cy="8890"/>
                    </a:xfrm>
                    <a:prstGeom prst="rect">
                      <a:avLst/>
                    </a:prstGeom>
                    <a:noFill/>
                  </pic:spPr>
                </pic:pic>
              </a:graphicData>
            </a:graphic>
          </wp:anchor>
        </w:drawing>
      </w:r>
    </w:p>
    <w:p>
      <w:pPr>
        <w:spacing w:after="0"/>
        <w:tabs>
          <w:tab w:leader="none" w:pos="860" w:val="left"/>
        </w:tabs>
        <w:rPr>
          <w:sz w:val="20"/>
          <w:szCs w:val="20"/>
          <w:color w:val="auto"/>
        </w:rPr>
      </w:pPr>
      <w:r>
        <w:rPr>
          <w:rFonts w:ascii="Arial" w:cs="Arial" w:eastAsia="Arial" w:hAnsi="Arial"/>
          <w:sz w:val="18"/>
          <w:szCs w:val="18"/>
          <w:color w:val="auto"/>
        </w:rPr>
        <w:t>$ 75,297</w:t>
      </w:r>
      <w:r>
        <w:rPr>
          <w:sz w:val="20"/>
          <w:szCs w:val="20"/>
          <w:color w:val="auto"/>
        </w:rPr>
        <w:tab/>
      </w:r>
      <w:r>
        <w:rPr>
          <w:rFonts w:ascii="Arial" w:cs="Arial" w:eastAsia="Arial" w:hAnsi="Arial"/>
          <w:sz w:val="17"/>
          <w:szCs w:val="17"/>
          <w:color w:val="auto"/>
        </w:rPr>
        <w:t>$ 63,532</w:t>
      </w:r>
    </w:p>
    <w:p>
      <w:pPr>
        <w:spacing w:after="0" w:line="209" w:lineRule="exact"/>
        <w:rPr>
          <w:sz w:val="20"/>
          <w:szCs w:val="20"/>
          <w:color w:val="auto"/>
        </w:rPr>
      </w:pPr>
    </w:p>
    <w:p>
      <w:pPr>
        <w:ind w:right="1120" w:firstLine="384"/>
        <w:spacing w:after="0" w:line="324" w:lineRule="auto"/>
        <w:tabs>
          <w:tab w:leader="none" w:pos="1238" w:val="left"/>
        </w:tabs>
        <w:numPr>
          <w:ilvl w:val="0"/>
          <w:numId w:val="5"/>
        </w:numPr>
        <w:rPr>
          <w:rFonts w:ascii="Arial" w:cs="Arial" w:eastAsia="Arial" w:hAnsi="Arial"/>
          <w:sz w:val="17"/>
          <w:szCs w:val="17"/>
          <w:color w:val="auto"/>
        </w:rPr>
      </w:pPr>
      <w:r>
        <w:rPr>
          <w:rFonts w:ascii="Arial" w:cs="Arial" w:eastAsia="Arial" w:hAnsi="Arial"/>
          <w:sz w:val="17"/>
          <w:szCs w:val="17"/>
          <w:color w:val="auto"/>
        </w:rPr>
        <w:t xml:space="preserve">(730) </w:t>
      </w:r>
      <w:r>
        <w:rPr>
          <w:rFonts w:ascii="Arial" w:cs="Arial" w:eastAsia="Arial" w:hAnsi="Arial"/>
          <w:sz w:val="17"/>
          <w:szCs w:val="17"/>
          <w:u w:val="single" w:color="auto"/>
          <w:color w:val="auto"/>
        </w:rPr>
        <w:t>$ 75,703 $ 62,802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-25400</wp:posOffset>
            </wp:positionV>
            <wp:extent cx="100330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5">
                      <a:extLst>
                        <a:ext uri="{28A0092B-C50C-407E-A947-70E740481C1C}"/>
                      </a:extLst>
                    </a:blip>
                    <a:srcRect/>
                    <a:stretch>
                      <a:fillRect/>
                    </a:stretch>
                  </pic:blipFill>
                  <pic:spPr bwMode="auto">
                    <a:xfrm>
                      <a:off x="0" y="0"/>
                      <a:ext cx="100330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-187960</wp:posOffset>
            </wp:positionV>
            <wp:extent cx="100330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6">
                      <a:extLst>
                        <a:ext uri="{28A0092B-C50C-407E-A947-70E740481C1C}"/>
                      </a:extLst>
                    </a:blip>
                    <a:srcRect/>
                    <a:stretch>
                      <a:fillRect/>
                    </a:stretch>
                  </pic:blipFill>
                  <pic:spPr bwMode="auto">
                    <a:xfrm>
                      <a:off x="0" y="0"/>
                      <a:ext cx="1003300" cy="889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7940" w:space="720"/>
            <w:col w:w="2760"/>
          </w:cols>
          <w:pgMar w:left="240" w:top="140" w:right="239" w:bottom="285" w:gutter="0" w:footer="0" w:header="0"/>
          <w:type w:val="continuous"/>
        </w:sectPr>
      </w:pPr>
    </w:p>
    <w:p>
      <w:pPr>
        <w:spacing w:after="0" w:line="191" w:lineRule="exact"/>
        <w:rPr>
          <w:sz w:val="20"/>
          <w:szCs w:val="20"/>
          <w:color w:val="auto"/>
        </w:rPr>
      </w:pPr>
    </w:p>
    <w:p>
      <w:pPr>
        <w:ind w:right="20" w:firstLine="259"/>
        <w:spacing w:after="0" w:line="277" w:lineRule="auto"/>
        <w:rPr>
          <w:sz w:val="20"/>
          <w:szCs w:val="20"/>
          <w:color w:val="auto"/>
        </w:rPr>
      </w:pPr>
      <w:r>
        <w:rPr>
          <w:rFonts w:ascii="Arial" w:cs="Arial" w:eastAsia="Arial" w:hAnsi="Arial"/>
          <w:sz w:val="18"/>
          <w:szCs w:val="18"/>
          <w:color w:val="auto"/>
        </w:rPr>
        <w:t>Accumulated other comprehensive income, as presented on the accompanying condensed consolidated balance sheets, consists of the unrealized gains and losses on available-for-sale investments and other, net of tax.</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 Acquisitions</w:t>
      </w:r>
    </w:p>
    <w:p>
      <w:pPr>
        <w:spacing w:after="0" w:line="225"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Hard Disk and Tape Drive Controller Semiconductor Division of QLogic Corporation</w:t>
      </w:r>
    </w:p>
    <w:p>
      <w:pPr>
        <w:spacing w:after="0" w:line="229" w:lineRule="exact"/>
        <w:rPr>
          <w:sz w:val="20"/>
          <w:szCs w:val="20"/>
          <w:color w:val="auto"/>
        </w:rPr>
      </w:pPr>
    </w:p>
    <w:p>
      <w:pPr>
        <w:ind w:right="80" w:firstLine="243"/>
        <w:spacing w:after="0" w:line="297" w:lineRule="auto"/>
        <w:rPr>
          <w:sz w:val="20"/>
          <w:szCs w:val="20"/>
          <w:color w:val="auto"/>
        </w:rPr>
      </w:pPr>
      <w:r>
        <w:rPr>
          <w:rFonts w:ascii="Arial" w:cs="Arial" w:eastAsia="Arial" w:hAnsi="Arial"/>
          <w:sz w:val="16"/>
          <w:szCs w:val="16"/>
          <w:color w:val="auto"/>
        </w:rPr>
        <w:t>On November 4, 2005, the Company acquired the hard disk and tape drive controller semiconductor business (the “Business”) of QLogic Corporation. The acquired Business designs and supplies controller chips for data storage peripherals, such as hard disk and tape drives. As a result of the acquisition, the Business will provide controller chip products which the Company believes will be able to provide complementary products to its customers in the hard disk market while improving its ability to address the overall data storage market. These factors contributed to a purchase price that was in excess of the fair value of the Business’ net tangible and intangible assets acquired and, as a result, the Company recorded goodwill in connection with this transaction.</w:t>
      </w:r>
    </w:p>
    <w:p>
      <w:pPr>
        <w:spacing w:after="0" w:line="158" w:lineRule="exact"/>
        <w:rPr>
          <w:sz w:val="20"/>
          <w:szCs w:val="20"/>
          <w:color w:val="auto"/>
        </w:rPr>
      </w:pPr>
    </w:p>
    <w:p>
      <w:pPr>
        <w:ind w:firstLine="243"/>
        <w:spacing w:after="0" w:line="264" w:lineRule="auto"/>
        <w:rPr>
          <w:sz w:val="20"/>
          <w:szCs w:val="20"/>
          <w:color w:val="auto"/>
        </w:rPr>
      </w:pPr>
      <w:r>
        <w:rPr>
          <w:rFonts w:ascii="Arial" w:cs="Arial" w:eastAsia="Arial" w:hAnsi="Arial"/>
          <w:sz w:val="18"/>
          <w:szCs w:val="18"/>
          <w:color w:val="auto"/>
        </w:rPr>
        <w:t>Under terms of the agreement, the Company issued a combination of $184.0 million in cash and 980,499 shares of its common stock valued at $45.6 million for total consideration of $229.6 million. The agreement provides for $12.0 million of the consideration to be placed in escrow for up to one year from the closing date to secure QLogic’s obligations under certain representation and warranty provisions.</w:t>
      </w:r>
    </w:p>
    <w:p>
      <w:pPr>
        <w:spacing w:after="0" w:line="181" w:lineRule="exact"/>
        <w:rPr>
          <w:sz w:val="20"/>
          <w:szCs w:val="20"/>
          <w:color w:val="auto"/>
        </w:rPr>
      </w:pPr>
    </w:p>
    <w:tbl>
      <w:tblPr>
        <w:tblLayout w:type="fixed"/>
        <w:tblInd w:w="260" w:type="dxa"/>
        <w:tblCellMar>
          <w:top w:w="0" w:type="dxa"/>
          <w:left w:w="0" w:type="dxa"/>
          <w:bottom w:w="0" w:type="dxa"/>
          <w:right w:w="0" w:type="dxa"/>
        </w:tblCellMar>
      </w:tblPr>
      <w:tr>
        <w:trPr>
          <w:trHeight w:val="230"/>
        </w:trPr>
        <w:tc>
          <w:tcPr>
            <w:tcW w:w="9260" w:type="dxa"/>
            <w:vAlign w:val="bottom"/>
            <w:gridSpan w:val="2"/>
          </w:tcPr>
          <w:p>
            <w:pPr>
              <w:spacing w:after="0"/>
              <w:rPr>
                <w:sz w:val="20"/>
                <w:szCs w:val="20"/>
                <w:color w:val="auto"/>
              </w:rPr>
            </w:pPr>
            <w:r>
              <w:rPr>
                <w:rFonts w:ascii="Arial" w:cs="Arial" w:eastAsia="Arial" w:hAnsi="Arial"/>
                <w:sz w:val="18"/>
                <w:szCs w:val="18"/>
                <w:color w:val="auto"/>
              </w:rPr>
              <w:t>The purchase price of the Business was $232.5 million, determined as follows (in thousands):</w:t>
            </w:r>
          </w:p>
        </w:tc>
        <w:tc>
          <w:tcPr>
            <w:tcW w:w="720" w:type="dxa"/>
            <w:vAlign w:val="bottom"/>
          </w:tcPr>
          <w:p>
            <w:pPr>
              <w:spacing w:after="0"/>
              <w:rPr>
                <w:sz w:val="20"/>
                <w:szCs w:val="20"/>
                <w:color w:val="auto"/>
              </w:rPr>
            </w:pPr>
          </w:p>
        </w:tc>
        <w:tc>
          <w:tcPr>
            <w:tcW w:w="60" w:type="dxa"/>
            <w:vAlign w:val="bottom"/>
          </w:tcPr>
          <w:p>
            <w:pPr>
              <w:spacing w:after="0"/>
              <w:rPr>
                <w:sz w:val="20"/>
                <w:szCs w:val="20"/>
                <w:color w:val="auto"/>
              </w:rPr>
            </w:pPr>
          </w:p>
        </w:tc>
      </w:tr>
      <w:tr>
        <w:trPr>
          <w:trHeight w:val="216"/>
        </w:trPr>
        <w:tc>
          <w:tcPr>
            <w:tcW w:w="860" w:type="dxa"/>
            <w:vAlign w:val="bottom"/>
          </w:tcPr>
          <w:p>
            <w:pPr>
              <w:spacing w:after="0"/>
              <w:rPr>
                <w:sz w:val="18"/>
                <w:szCs w:val="18"/>
                <w:color w:val="auto"/>
              </w:rPr>
            </w:pPr>
          </w:p>
        </w:tc>
        <w:tc>
          <w:tcPr>
            <w:tcW w:w="8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860" w:type="dxa"/>
            <w:vAlign w:val="bottom"/>
          </w:tcPr>
          <w:p>
            <w:pPr>
              <w:spacing w:after="0"/>
              <w:rPr>
                <w:sz w:val="18"/>
                <w:szCs w:val="18"/>
                <w:color w:val="auto"/>
              </w:rPr>
            </w:pPr>
          </w:p>
        </w:tc>
        <w:tc>
          <w:tcPr>
            <w:tcW w:w="840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$ 184,032</w:t>
            </w:r>
          </w:p>
        </w:tc>
        <w:tc>
          <w:tcPr>
            <w:tcW w:w="60" w:type="dxa"/>
            <w:vAlign w:val="bottom"/>
            <w:shd w:val="clear" w:color="auto" w:fill="CCEEFF"/>
          </w:tcPr>
          <w:p>
            <w:pPr>
              <w:spacing w:after="0"/>
              <w:rPr>
                <w:sz w:val="18"/>
                <w:szCs w:val="18"/>
                <w:color w:val="auto"/>
              </w:rPr>
            </w:pPr>
          </w:p>
        </w:tc>
      </w:tr>
      <w:tr>
        <w:trPr>
          <w:trHeight w:val="216"/>
        </w:trPr>
        <w:tc>
          <w:tcPr>
            <w:tcW w:w="860" w:type="dxa"/>
            <w:vAlign w:val="bottom"/>
          </w:tcPr>
          <w:p>
            <w:pPr>
              <w:spacing w:after="0"/>
              <w:rPr>
                <w:sz w:val="18"/>
                <w:szCs w:val="18"/>
                <w:color w:val="auto"/>
              </w:rPr>
            </w:pPr>
          </w:p>
        </w:tc>
        <w:tc>
          <w:tcPr>
            <w:tcW w:w="8400" w:type="dxa"/>
            <w:vAlign w:val="bottom"/>
          </w:tcPr>
          <w:p>
            <w:pPr>
              <w:spacing w:after="0"/>
              <w:rPr>
                <w:sz w:val="20"/>
                <w:szCs w:val="20"/>
                <w:color w:val="auto"/>
              </w:rPr>
            </w:pPr>
            <w:r>
              <w:rPr>
                <w:rFonts w:ascii="Arial" w:cs="Arial" w:eastAsia="Arial" w:hAnsi="Arial"/>
                <w:sz w:val="18"/>
                <w:szCs w:val="18"/>
                <w:color w:val="auto"/>
              </w:rPr>
              <w:t>Value of Marvell common stock issued</w:t>
            </w:r>
          </w:p>
        </w:tc>
        <w:tc>
          <w:tcPr>
            <w:tcW w:w="720" w:type="dxa"/>
            <w:vAlign w:val="bottom"/>
          </w:tcPr>
          <w:p>
            <w:pPr>
              <w:jc w:val="right"/>
              <w:spacing w:after="0"/>
              <w:rPr>
                <w:sz w:val="20"/>
                <w:szCs w:val="20"/>
                <w:color w:val="auto"/>
              </w:rPr>
            </w:pPr>
            <w:r>
              <w:rPr>
                <w:rFonts w:ascii="Arial" w:cs="Arial" w:eastAsia="Arial" w:hAnsi="Arial"/>
                <w:sz w:val="18"/>
                <w:szCs w:val="18"/>
                <w:color w:val="auto"/>
              </w:rPr>
              <w:t>45,583</w:t>
            </w:r>
          </w:p>
        </w:tc>
        <w:tc>
          <w:tcPr>
            <w:tcW w:w="60" w:type="dxa"/>
            <w:vAlign w:val="bottom"/>
          </w:tcPr>
          <w:p>
            <w:pPr>
              <w:spacing w:after="0"/>
              <w:rPr>
                <w:sz w:val="18"/>
                <w:szCs w:val="18"/>
                <w:color w:val="auto"/>
              </w:rPr>
            </w:pPr>
          </w:p>
        </w:tc>
      </w:tr>
      <w:tr>
        <w:trPr>
          <w:trHeight w:val="216"/>
        </w:trPr>
        <w:tc>
          <w:tcPr>
            <w:tcW w:w="860" w:type="dxa"/>
            <w:vAlign w:val="bottom"/>
          </w:tcPr>
          <w:p>
            <w:pPr>
              <w:spacing w:after="0"/>
              <w:rPr>
                <w:sz w:val="18"/>
                <w:szCs w:val="18"/>
                <w:color w:val="auto"/>
              </w:rPr>
            </w:pPr>
          </w:p>
        </w:tc>
        <w:tc>
          <w:tcPr>
            <w:tcW w:w="8400" w:type="dxa"/>
            <w:vAlign w:val="bottom"/>
            <w:shd w:val="clear" w:color="auto" w:fill="CCEEFF"/>
          </w:tcPr>
          <w:p>
            <w:pPr>
              <w:spacing w:after="0"/>
              <w:rPr>
                <w:sz w:val="20"/>
                <w:szCs w:val="20"/>
                <w:color w:val="auto"/>
              </w:rPr>
            </w:pPr>
            <w:r>
              <w:rPr>
                <w:rFonts w:ascii="Arial" w:cs="Arial" w:eastAsia="Arial" w:hAnsi="Arial"/>
                <w:sz w:val="18"/>
                <w:szCs w:val="18"/>
                <w:color w:val="auto"/>
              </w:rPr>
              <w:t>Transaction costs</w:t>
            </w: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2,920</w:t>
            </w:r>
          </w:p>
        </w:tc>
        <w:tc>
          <w:tcPr>
            <w:tcW w:w="60" w:type="dxa"/>
            <w:vAlign w:val="bottom"/>
            <w:shd w:val="clear" w:color="auto" w:fill="CCEEFF"/>
          </w:tcPr>
          <w:p>
            <w:pPr>
              <w:spacing w:after="0"/>
              <w:rPr>
                <w:sz w:val="18"/>
                <w:szCs w:val="18"/>
                <w:color w:val="auto"/>
              </w:rPr>
            </w:pPr>
          </w:p>
        </w:tc>
      </w:tr>
      <w:tr>
        <w:trPr>
          <w:trHeight w:val="210"/>
        </w:trPr>
        <w:tc>
          <w:tcPr>
            <w:tcW w:w="860" w:type="dxa"/>
            <w:vAlign w:val="bottom"/>
          </w:tcPr>
          <w:p>
            <w:pPr>
              <w:spacing w:after="0"/>
              <w:rPr>
                <w:sz w:val="18"/>
                <w:szCs w:val="18"/>
                <w:color w:val="auto"/>
              </w:rPr>
            </w:pPr>
          </w:p>
        </w:tc>
        <w:tc>
          <w:tcPr>
            <w:tcW w:w="8400" w:type="dxa"/>
            <w:vAlign w:val="bottom"/>
          </w:tcPr>
          <w:p>
            <w:pPr>
              <w:spacing w:after="0"/>
              <w:rPr>
                <w:sz w:val="20"/>
                <w:szCs w:val="20"/>
                <w:color w:val="auto"/>
              </w:rPr>
            </w:pPr>
            <w:r>
              <w:rPr>
                <w:rFonts w:ascii="Arial" w:cs="Arial" w:eastAsia="Arial" w:hAnsi="Arial"/>
                <w:sz w:val="18"/>
                <w:szCs w:val="18"/>
                <w:color w:val="auto"/>
              </w:rPr>
              <w:t>Total purchase price</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$ 232,535</w:t>
            </w:r>
          </w:p>
        </w:tc>
        <w:tc>
          <w:tcPr>
            <w:tcW w:w="60" w:type="dxa"/>
            <w:vAlign w:val="bottom"/>
          </w:tcPr>
          <w:p>
            <w:pPr>
              <w:spacing w:after="0"/>
              <w:rPr>
                <w:sz w:val="18"/>
                <w:szCs w:val="18"/>
                <w:color w:val="auto"/>
              </w:rPr>
            </w:pPr>
          </w:p>
        </w:tc>
      </w:tr>
      <w:tr>
        <w:trPr>
          <w:trHeight w:val="20"/>
        </w:trPr>
        <w:tc>
          <w:tcPr>
            <w:tcW w:w="860" w:type="dxa"/>
            <w:vAlign w:val="bottom"/>
          </w:tcPr>
          <w:p>
            <w:pPr>
              <w:spacing w:after="0" w:line="20" w:lineRule="exact"/>
              <w:rPr>
                <w:sz w:val="1"/>
                <w:szCs w:val="1"/>
                <w:color w:val="auto"/>
              </w:rPr>
            </w:pPr>
          </w:p>
        </w:tc>
        <w:tc>
          <w:tcPr>
            <w:tcW w:w="840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18" w:lineRule="exact"/>
        <w:rPr>
          <w:sz w:val="20"/>
          <w:szCs w:val="20"/>
          <w:color w:val="auto"/>
        </w:rPr>
      </w:pPr>
    </w:p>
    <w:p>
      <w:pPr>
        <w:ind w:right="20" w:firstLine="243"/>
        <w:spacing w:after="0" w:line="277" w:lineRule="auto"/>
        <w:rPr>
          <w:sz w:val="20"/>
          <w:szCs w:val="20"/>
          <w:color w:val="auto"/>
        </w:rPr>
      </w:pPr>
      <w:r>
        <w:rPr>
          <w:rFonts w:ascii="Arial" w:cs="Arial" w:eastAsia="Arial" w:hAnsi="Arial"/>
          <w:sz w:val="18"/>
          <w:szCs w:val="18"/>
          <w:color w:val="auto"/>
        </w:rPr>
        <w:t>The value of the 980,499 shares of the Company’s common stock issued was determined based on the average price of the Company’s common stock over a 5-day period including the two days before and after August 29, 2005 (the announcement date), or $46.49 per share.</w:t>
      </w:r>
    </w:p>
    <w:p>
      <w:pPr>
        <w:spacing w:after="0" w:line="170" w:lineRule="exact"/>
        <w:rPr>
          <w:sz w:val="20"/>
          <w:szCs w:val="20"/>
          <w:color w:val="auto"/>
        </w:rPr>
      </w:pPr>
    </w:p>
    <w:p>
      <w:pPr>
        <w:ind w:right="160" w:firstLine="243"/>
        <w:spacing w:after="0" w:line="264" w:lineRule="auto"/>
        <w:rPr>
          <w:sz w:val="20"/>
          <w:szCs w:val="20"/>
          <w:color w:val="auto"/>
        </w:rPr>
      </w:pPr>
      <w:r>
        <w:rPr>
          <w:rFonts w:ascii="Arial" w:cs="Arial" w:eastAsia="Arial" w:hAnsi="Arial"/>
          <w:sz w:val="18"/>
          <w:szCs w:val="18"/>
          <w:color w:val="auto"/>
        </w:rPr>
        <w:t>Under the purchase method of accounting, the total purchase price as shown in the table is allocated to the Business’ net tangible and intangible assets based on their fair values as of the date of the completion of the acquisition. Based on the fair values acquired, the purchase price allocation is as follows (in thousands):</w:t>
      </w:r>
    </w:p>
    <w:p>
      <w:pPr>
        <w:spacing w:after="0" w:line="196" w:lineRule="exact"/>
        <w:rPr>
          <w:sz w:val="20"/>
          <w:szCs w:val="20"/>
          <w:color w:val="auto"/>
        </w:rPr>
      </w:pPr>
    </w:p>
    <w:tbl>
      <w:tblPr>
        <w:tblLayout w:type="fixed"/>
        <w:tblInd w:w="1120" w:type="dxa"/>
        <w:tblCellMar>
          <w:top w:w="0" w:type="dxa"/>
          <w:left w:w="0" w:type="dxa"/>
          <w:bottom w:w="0" w:type="dxa"/>
          <w:right w:w="0" w:type="dxa"/>
        </w:tblCellMar>
      </w:tblPr>
      <w:tr>
        <w:trPr>
          <w:trHeight w:val="216"/>
        </w:trPr>
        <w:tc>
          <w:tcPr>
            <w:tcW w:w="8400" w:type="dxa"/>
            <w:vAlign w:val="bottom"/>
            <w:shd w:val="clear" w:color="auto" w:fill="CCEEFF"/>
          </w:tcPr>
          <w:p>
            <w:pPr>
              <w:spacing w:after="0"/>
              <w:rPr>
                <w:sz w:val="20"/>
                <w:szCs w:val="20"/>
                <w:color w:val="auto"/>
              </w:rPr>
            </w:pPr>
            <w:r>
              <w:rPr>
                <w:rFonts w:ascii="Arial" w:cs="Arial" w:eastAsia="Arial" w:hAnsi="Arial"/>
                <w:sz w:val="18"/>
                <w:szCs w:val="18"/>
                <w:color w:val="auto"/>
              </w:rPr>
              <w:t>Net tangible assets acquired</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25,073</w:t>
            </w:r>
          </w:p>
        </w:tc>
        <w:tc>
          <w:tcPr>
            <w:tcW w:w="60" w:type="dxa"/>
            <w:vAlign w:val="bottom"/>
            <w:shd w:val="clear" w:color="auto" w:fill="CCEEFF"/>
          </w:tcPr>
          <w:p>
            <w:pPr>
              <w:spacing w:after="0"/>
              <w:rPr>
                <w:sz w:val="18"/>
                <w:szCs w:val="18"/>
                <w:color w:val="auto"/>
              </w:rPr>
            </w:pPr>
          </w:p>
        </w:tc>
      </w:tr>
      <w:tr>
        <w:trPr>
          <w:trHeight w:val="216"/>
        </w:trPr>
        <w:tc>
          <w:tcPr>
            <w:tcW w:w="8400" w:type="dxa"/>
            <w:vAlign w:val="bottom"/>
          </w:tcPr>
          <w:p>
            <w:pPr>
              <w:spacing w:after="0"/>
              <w:rPr>
                <w:sz w:val="20"/>
                <w:szCs w:val="20"/>
                <w:color w:val="auto"/>
              </w:rPr>
            </w:pPr>
            <w:r>
              <w:rPr>
                <w:rFonts w:ascii="Arial" w:cs="Arial" w:eastAsia="Arial" w:hAnsi="Arial"/>
                <w:sz w:val="18"/>
                <w:szCs w:val="18"/>
                <w:color w:val="auto"/>
              </w:rPr>
              <w:t>Amortizable intangible assets:</w:t>
            </w:r>
          </w:p>
        </w:tc>
        <w:tc>
          <w:tcPr>
            <w:tcW w:w="1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84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Existing technology</w:t>
            </w: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42,700</w:t>
            </w:r>
          </w:p>
        </w:tc>
        <w:tc>
          <w:tcPr>
            <w:tcW w:w="60" w:type="dxa"/>
            <w:vAlign w:val="bottom"/>
            <w:shd w:val="clear" w:color="auto" w:fill="CCEEFF"/>
          </w:tcPr>
          <w:p>
            <w:pPr>
              <w:spacing w:after="0"/>
              <w:rPr>
                <w:sz w:val="18"/>
                <w:szCs w:val="18"/>
                <w:color w:val="auto"/>
              </w:rPr>
            </w:pPr>
          </w:p>
        </w:tc>
      </w:tr>
      <w:tr>
        <w:trPr>
          <w:trHeight w:val="216"/>
        </w:trPr>
        <w:tc>
          <w:tcPr>
            <w:tcW w:w="8400" w:type="dxa"/>
            <w:vAlign w:val="bottom"/>
          </w:tcPr>
          <w:p>
            <w:pPr>
              <w:ind w:left="180"/>
              <w:spacing w:after="0"/>
              <w:rPr>
                <w:sz w:val="20"/>
                <w:szCs w:val="20"/>
                <w:color w:val="auto"/>
              </w:rPr>
            </w:pPr>
            <w:r>
              <w:rPr>
                <w:rFonts w:ascii="Arial" w:cs="Arial" w:eastAsia="Arial" w:hAnsi="Arial"/>
                <w:sz w:val="18"/>
                <w:szCs w:val="18"/>
                <w:color w:val="auto"/>
              </w:rPr>
              <w:t>Core technology</w:t>
            </w: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26,400</w:t>
            </w:r>
          </w:p>
        </w:tc>
        <w:tc>
          <w:tcPr>
            <w:tcW w:w="60" w:type="dxa"/>
            <w:vAlign w:val="bottom"/>
          </w:tcPr>
          <w:p>
            <w:pPr>
              <w:spacing w:after="0"/>
              <w:rPr>
                <w:sz w:val="18"/>
                <w:szCs w:val="18"/>
                <w:color w:val="auto"/>
              </w:rPr>
            </w:pPr>
          </w:p>
        </w:tc>
      </w:tr>
      <w:tr>
        <w:trPr>
          <w:trHeight w:val="216"/>
        </w:trPr>
        <w:tc>
          <w:tcPr>
            <w:tcW w:w="84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Customer relationships</w:t>
            </w: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54,200</w:t>
            </w:r>
          </w:p>
        </w:tc>
        <w:tc>
          <w:tcPr>
            <w:tcW w:w="60" w:type="dxa"/>
            <w:vAlign w:val="bottom"/>
            <w:shd w:val="clear" w:color="auto" w:fill="CCEEFF"/>
          </w:tcPr>
          <w:p>
            <w:pPr>
              <w:spacing w:after="0"/>
              <w:rPr>
                <w:sz w:val="18"/>
                <w:szCs w:val="18"/>
                <w:color w:val="auto"/>
              </w:rPr>
            </w:pPr>
          </w:p>
        </w:tc>
      </w:tr>
      <w:tr>
        <w:trPr>
          <w:trHeight w:val="216"/>
        </w:trPr>
        <w:tc>
          <w:tcPr>
            <w:tcW w:w="8400" w:type="dxa"/>
            <w:vAlign w:val="bottom"/>
          </w:tcPr>
          <w:p>
            <w:pPr>
              <w:spacing w:after="0"/>
              <w:rPr>
                <w:sz w:val="20"/>
                <w:szCs w:val="20"/>
                <w:color w:val="auto"/>
              </w:rPr>
            </w:pPr>
            <w:r>
              <w:rPr>
                <w:rFonts w:ascii="Arial" w:cs="Arial" w:eastAsia="Arial" w:hAnsi="Arial"/>
                <w:sz w:val="18"/>
                <w:szCs w:val="18"/>
                <w:color w:val="auto"/>
              </w:rPr>
              <w:t>In-process technology</w:t>
            </w: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4,300</w:t>
            </w:r>
          </w:p>
        </w:tc>
        <w:tc>
          <w:tcPr>
            <w:tcW w:w="60" w:type="dxa"/>
            <w:vAlign w:val="bottom"/>
          </w:tcPr>
          <w:p>
            <w:pPr>
              <w:spacing w:after="0"/>
              <w:rPr>
                <w:sz w:val="18"/>
                <w:szCs w:val="18"/>
                <w:color w:val="auto"/>
              </w:rPr>
            </w:pPr>
          </w:p>
        </w:tc>
      </w:tr>
      <w:tr>
        <w:trPr>
          <w:trHeight w:val="216"/>
        </w:trPr>
        <w:tc>
          <w:tcPr>
            <w:tcW w:w="840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10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79,862</w:t>
            </w:r>
          </w:p>
        </w:tc>
        <w:tc>
          <w:tcPr>
            <w:tcW w:w="60" w:type="dxa"/>
            <w:vAlign w:val="bottom"/>
            <w:shd w:val="clear" w:color="auto" w:fill="CCEEFF"/>
          </w:tcPr>
          <w:p>
            <w:pPr>
              <w:spacing w:after="0"/>
              <w:rPr>
                <w:sz w:val="18"/>
                <w:szCs w:val="18"/>
                <w:color w:val="auto"/>
              </w:rPr>
            </w:pPr>
          </w:p>
        </w:tc>
      </w:tr>
      <w:tr>
        <w:trPr>
          <w:trHeight w:val="210"/>
        </w:trPr>
        <w:tc>
          <w:tcPr>
            <w:tcW w:w="8400" w:type="dxa"/>
            <w:vAlign w:val="bottom"/>
          </w:tcPr>
          <w:p>
            <w:pPr>
              <w:ind w:left="180"/>
              <w:spacing w:after="0"/>
              <w:rPr>
                <w:sz w:val="20"/>
                <w:szCs w:val="20"/>
                <w:color w:val="auto"/>
              </w:rPr>
            </w:pPr>
            <w:r>
              <w:rPr>
                <w:rFonts w:ascii="Arial" w:cs="Arial" w:eastAsia="Arial" w:hAnsi="Arial"/>
                <w:sz w:val="18"/>
                <w:szCs w:val="18"/>
                <w:color w:val="auto"/>
              </w:rPr>
              <w:t>Total estimated purchase price allocation</w:t>
            </w: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2"/>
              </w:rPr>
              <w:t>232,535</w:t>
            </w:r>
          </w:p>
        </w:tc>
        <w:tc>
          <w:tcPr>
            <w:tcW w:w="60" w:type="dxa"/>
            <w:vAlign w:val="bottom"/>
          </w:tcPr>
          <w:p>
            <w:pPr>
              <w:spacing w:after="0"/>
              <w:rPr>
                <w:sz w:val="18"/>
                <w:szCs w:val="18"/>
                <w:color w:val="auto"/>
              </w:rPr>
            </w:pPr>
          </w:p>
        </w:tc>
      </w:tr>
      <w:tr>
        <w:trPr>
          <w:trHeight w:val="20"/>
        </w:trPr>
        <w:tc>
          <w:tcPr>
            <w:tcW w:w="84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420"/>
          </w:cols>
          <w:pgMar w:left="240" w:top="140" w:right="239" w:bottom="285" w:gutter="0" w:footer="0" w:header="0"/>
          <w:type w:val="continuous"/>
        </w:sectPr>
      </w:pPr>
    </w:p>
    <w:p>
      <w:pPr>
        <w:spacing w:after="0" w:line="200" w:lineRule="exact"/>
        <w:rPr>
          <w:sz w:val="20"/>
          <w:szCs w:val="20"/>
          <w:color w:val="auto"/>
        </w:rPr>
      </w:pPr>
    </w:p>
    <w:p>
      <w:pPr>
        <w:spacing w:after="0" w:line="234"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40" w:right="239" w:bottom="285" w:gutter="0" w:footer="0" w:header="0"/>
          <w:type w:val="continuous"/>
        </w:sectPr>
      </w:pPr>
    </w:p>
    <w:bookmarkStart w:id="9" w:name="page10"/>
    <w:bookmarkEnd w:id="9"/>
    <w:p>
      <w:pPr>
        <w:ind w:right="360" w:firstLine="243"/>
        <w:spacing w:after="0" w:line="259" w:lineRule="auto"/>
        <w:rPr>
          <w:sz w:val="20"/>
          <w:szCs w:val="20"/>
          <w:color w:val="auto"/>
        </w:rPr>
      </w:pPr>
      <w:r>
        <w:rPr>
          <w:rFonts w:ascii="Arial" w:cs="Arial" w:eastAsia="Arial" w:hAnsi="Arial"/>
          <w:sz w:val="18"/>
          <w:szCs w:val="18"/>
          <w:color w:val="auto"/>
        </w:rPr>
        <w:t>Of the purchase price, $79.9 million was allocated to goodwill, $123.3 million to amortizable intangible assets and $25.1 million to net tangible assets acquired. The amortizable intangible assets have useful lives of two to four years. Approximately $4.3 million was allocated to in-process research and development and expensed in the fourth quarter of fiscal 2006. Goodwill represents the excess of the purchase price of the acquired business over the fair value of the net tangible and intangible assets acquired and is not deductible for tax purposes.</w:t>
      </w:r>
    </w:p>
    <w:p>
      <w:pPr>
        <w:spacing w:after="0" w:line="187" w:lineRule="exact"/>
        <w:rPr>
          <w:sz w:val="20"/>
          <w:szCs w:val="20"/>
          <w:color w:val="auto"/>
        </w:rPr>
      </w:pPr>
    </w:p>
    <w:p>
      <w:pPr>
        <w:ind w:right="120" w:firstLine="243"/>
        <w:spacing w:after="0" w:line="286" w:lineRule="auto"/>
        <w:rPr>
          <w:sz w:val="20"/>
          <w:szCs w:val="20"/>
          <w:color w:val="auto"/>
        </w:rPr>
      </w:pPr>
      <w:r>
        <w:rPr>
          <w:rFonts w:ascii="Arial" w:cs="Arial" w:eastAsia="Arial" w:hAnsi="Arial"/>
          <w:sz w:val="17"/>
          <w:szCs w:val="17"/>
          <w:color w:val="auto"/>
        </w:rPr>
        <w:t>The results of operations of the Business have been included in the Company’s consolidated statements of operations since the completion of the acquisition on November 4, 2005. The following unaudited pro forma information presents a summary of the results of operations of the Company assuming the acquisition of the Business occurred at the beginning of the periods presented (in thousands, except for per share amounts):</w:t>
      </w:r>
    </w:p>
    <w:p>
      <w:pPr>
        <w:spacing w:after="0" w:line="127" w:lineRule="exact"/>
        <w:rPr>
          <w:sz w:val="20"/>
          <w:szCs w:val="20"/>
          <w:color w:val="auto"/>
        </w:rPr>
      </w:pPr>
    </w:p>
    <w:tbl>
      <w:tblPr>
        <w:tblLayout w:type="fixed"/>
        <w:tblInd w:w="1860" w:type="dxa"/>
        <w:tblCellMar>
          <w:top w:w="0" w:type="dxa"/>
          <w:left w:w="0" w:type="dxa"/>
          <w:bottom w:w="0" w:type="dxa"/>
          <w:right w:w="0" w:type="dxa"/>
        </w:tblCellMar>
      </w:tblPr>
      <w:tr>
        <w:trPr>
          <w:trHeight w:val="161"/>
        </w:trPr>
        <w:tc>
          <w:tcPr>
            <w:tcW w:w="4380" w:type="dxa"/>
            <w:vAlign w:val="bottom"/>
          </w:tcPr>
          <w:p>
            <w:pPr>
              <w:spacing w:after="0"/>
              <w:rPr>
                <w:sz w:val="14"/>
                <w:szCs w:val="14"/>
                <w:color w:val="auto"/>
              </w:rPr>
            </w:pPr>
          </w:p>
        </w:tc>
        <w:tc>
          <w:tcPr>
            <w:tcW w:w="2320" w:type="dxa"/>
            <w:vAlign w:val="bottom"/>
          </w:tcPr>
          <w:p>
            <w:pPr>
              <w:spacing w:after="0"/>
              <w:rPr>
                <w:sz w:val="14"/>
                <w:szCs w:val="14"/>
                <w:color w:val="auto"/>
              </w:rPr>
            </w:pPr>
          </w:p>
        </w:tc>
        <w:tc>
          <w:tcPr>
            <w:tcW w:w="1020" w:type="dxa"/>
            <w:vAlign w:val="bottom"/>
            <w:gridSpan w:val="3"/>
          </w:tcPr>
          <w:p>
            <w:pPr>
              <w:jc w:val="center"/>
              <w:ind w:right="80"/>
              <w:spacing w:after="0"/>
              <w:rPr>
                <w:sz w:val="20"/>
                <w:szCs w:val="20"/>
                <w:color w:val="auto"/>
              </w:rPr>
            </w:pPr>
            <w:r>
              <w:rPr>
                <w:rFonts w:ascii="Arial" w:cs="Arial" w:eastAsia="Arial" w:hAnsi="Arial"/>
                <w:sz w:val="14"/>
                <w:szCs w:val="14"/>
                <w:b w:val="1"/>
                <w:bCs w:val="1"/>
                <w:color w:val="auto"/>
                <w:w w:val="96"/>
              </w:rPr>
              <w:t>Quarter Ended</w:t>
            </w:r>
          </w:p>
        </w:tc>
      </w:tr>
      <w:tr>
        <w:trPr>
          <w:trHeight w:val="135"/>
        </w:trPr>
        <w:tc>
          <w:tcPr>
            <w:tcW w:w="4380" w:type="dxa"/>
            <w:vAlign w:val="bottom"/>
          </w:tcPr>
          <w:p>
            <w:pPr>
              <w:spacing w:after="0"/>
              <w:rPr>
                <w:sz w:val="11"/>
                <w:szCs w:val="11"/>
                <w:color w:val="auto"/>
              </w:rPr>
            </w:pPr>
          </w:p>
        </w:tc>
        <w:tc>
          <w:tcPr>
            <w:tcW w:w="23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8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97"/>
              </w:rPr>
              <w:t>April 30,</w:t>
            </w:r>
          </w:p>
        </w:tc>
      </w:tr>
      <w:tr>
        <w:trPr>
          <w:trHeight w:val="162"/>
        </w:trPr>
        <w:tc>
          <w:tcPr>
            <w:tcW w:w="4380" w:type="dxa"/>
            <w:vAlign w:val="bottom"/>
            <w:tcBorders>
              <w:bottom w:val="single" w:sz="8" w:color="CCEEFF"/>
            </w:tcBorders>
          </w:tcPr>
          <w:p>
            <w:pPr>
              <w:spacing w:after="0"/>
              <w:rPr>
                <w:sz w:val="14"/>
                <w:szCs w:val="14"/>
                <w:color w:val="auto"/>
              </w:rPr>
            </w:pPr>
          </w:p>
        </w:tc>
        <w:tc>
          <w:tcPr>
            <w:tcW w:w="23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jc w:val="center"/>
              <w:ind w:right="76"/>
              <w:spacing w:after="0"/>
              <w:rPr>
                <w:sz w:val="20"/>
                <w:szCs w:val="20"/>
                <w:color w:val="auto"/>
              </w:rPr>
            </w:pPr>
            <w:r>
              <w:rPr>
                <w:rFonts w:ascii="Arial" w:cs="Arial" w:eastAsia="Arial" w:hAnsi="Arial"/>
                <w:sz w:val="14"/>
                <w:szCs w:val="14"/>
                <w:b w:val="1"/>
                <w:bCs w:val="1"/>
                <w:color w:val="auto"/>
                <w:w w:val="96"/>
              </w:rPr>
              <w:t>2005</w:t>
            </w:r>
          </w:p>
        </w:tc>
        <w:tc>
          <w:tcPr>
            <w:tcW w:w="60" w:type="dxa"/>
            <w:vAlign w:val="bottom"/>
            <w:tcBorders>
              <w:bottom w:val="single" w:sz="8" w:color="CCEEFF"/>
            </w:tcBorders>
          </w:tcPr>
          <w:p>
            <w:pPr>
              <w:spacing w:after="0"/>
              <w:rPr>
                <w:sz w:val="14"/>
                <w:szCs w:val="14"/>
                <w:color w:val="auto"/>
              </w:rPr>
            </w:pPr>
          </w:p>
        </w:tc>
      </w:tr>
      <w:tr>
        <w:trPr>
          <w:trHeight w:val="210"/>
        </w:trPr>
        <w:tc>
          <w:tcPr>
            <w:tcW w:w="43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232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408,278</w:t>
            </w:r>
          </w:p>
        </w:tc>
        <w:tc>
          <w:tcPr>
            <w:tcW w:w="60" w:type="dxa"/>
            <w:vAlign w:val="bottom"/>
            <w:shd w:val="clear" w:color="auto" w:fill="CCEEFF"/>
          </w:tcPr>
          <w:p>
            <w:pPr>
              <w:spacing w:after="0"/>
              <w:rPr>
                <w:sz w:val="18"/>
                <w:szCs w:val="18"/>
                <w:color w:val="auto"/>
              </w:rPr>
            </w:pPr>
          </w:p>
        </w:tc>
      </w:tr>
      <w:tr>
        <w:trPr>
          <w:trHeight w:val="216"/>
        </w:trPr>
        <w:tc>
          <w:tcPr>
            <w:tcW w:w="4380" w:type="dxa"/>
            <w:vAlign w:val="bottom"/>
          </w:tcPr>
          <w:p>
            <w:pPr>
              <w:spacing w:after="0"/>
              <w:rPr>
                <w:sz w:val="20"/>
                <w:szCs w:val="20"/>
                <w:color w:val="auto"/>
              </w:rPr>
            </w:pPr>
            <w:r>
              <w:rPr>
                <w:rFonts w:ascii="Arial" w:cs="Arial" w:eastAsia="Arial" w:hAnsi="Arial"/>
                <w:sz w:val="18"/>
                <w:szCs w:val="18"/>
                <w:color w:val="auto"/>
              </w:rPr>
              <w:t>Net income</w:t>
            </w:r>
          </w:p>
        </w:tc>
        <w:tc>
          <w:tcPr>
            <w:tcW w:w="2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67,608</w:t>
            </w:r>
          </w:p>
        </w:tc>
        <w:tc>
          <w:tcPr>
            <w:tcW w:w="60" w:type="dxa"/>
            <w:vAlign w:val="bottom"/>
          </w:tcPr>
          <w:p>
            <w:pPr>
              <w:spacing w:after="0"/>
              <w:rPr>
                <w:sz w:val="18"/>
                <w:szCs w:val="18"/>
                <w:color w:val="auto"/>
              </w:rPr>
            </w:pPr>
          </w:p>
        </w:tc>
      </w:tr>
      <w:tr>
        <w:trPr>
          <w:trHeight w:val="216"/>
        </w:trPr>
        <w:tc>
          <w:tcPr>
            <w:tcW w:w="438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2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0.24</w:t>
            </w:r>
          </w:p>
        </w:tc>
        <w:tc>
          <w:tcPr>
            <w:tcW w:w="60" w:type="dxa"/>
            <w:vAlign w:val="bottom"/>
            <w:shd w:val="clear" w:color="auto" w:fill="CCEEFF"/>
          </w:tcPr>
          <w:p>
            <w:pPr>
              <w:spacing w:after="0"/>
              <w:rPr>
                <w:sz w:val="18"/>
                <w:szCs w:val="18"/>
                <w:color w:val="auto"/>
              </w:rPr>
            </w:pPr>
          </w:p>
        </w:tc>
      </w:tr>
      <w:tr>
        <w:trPr>
          <w:trHeight w:val="230"/>
        </w:trPr>
        <w:tc>
          <w:tcPr>
            <w:tcW w:w="4380" w:type="dxa"/>
            <w:vAlign w:val="bottom"/>
          </w:tcPr>
          <w:p>
            <w:pPr>
              <w:spacing w:after="0"/>
              <w:rPr>
                <w:sz w:val="20"/>
                <w:szCs w:val="20"/>
                <w:color w:val="auto"/>
              </w:rPr>
            </w:pPr>
            <w:r>
              <w:rPr>
                <w:rFonts w:ascii="Arial" w:cs="Arial" w:eastAsia="Arial" w:hAnsi="Arial"/>
                <w:sz w:val="18"/>
                <w:szCs w:val="18"/>
                <w:color w:val="auto"/>
              </w:rPr>
              <w:t>Diluted net income per share</w:t>
            </w:r>
          </w:p>
        </w:tc>
        <w:tc>
          <w:tcPr>
            <w:tcW w:w="2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0.22</w:t>
            </w:r>
          </w:p>
        </w:tc>
        <w:tc>
          <w:tcPr>
            <w:tcW w:w="60" w:type="dxa"/>
            <w:vAlign w:val="bottom"/>
          </w:tcPr>
          <w:p>
            <w:pPr>
              <w:spacing w:after="0"/>
              <w:rPr>
                <w:sz w:val="20"/>
                <w:szCs w:val="20"/>
                <w:color w:val="auto"/>
              </w:rPr>
            </w:pPr>
          </w:p>
        </w:tc>
      </w:tr>
    </w:tbl>
    <w:p>
      <w:pPr>
        <w:spacing w:after="0" w:line="237"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Semiconductor Division of UTStarcom, Inc.</w:t>
      </w:r>
    </w:p>
    <w:p>
      <w:pPr>
        <w:spacing w:after="0" w:line="229" w:lineRule="exact"/>
        <w:rPr>
          <w:sz w:val="20"/>
          <w:szCs w:val="20"/>
          <w:color w:val="auto"/>
        </w:rPr>
      </w:pPr>
    </w:p>
    <w:p>
      <w:pPr>
        <w:ind w:right="80" w:firstLine="259"/>
        <w:spacing w:after="0" w:line="255" w:lineRule="auto"/>
        <w:rPr>
          <w:sz w:val="20"/>
          <w:szCs w:val="20"/>
          <w:color w:val="auto"/>
        </w:rPr>
      </w:pPr>
      <w:r>
        <w:rPr>
          <w:rFonts w:ascii="Arial" w:cs="Arial" w:eastAsia="Arial" w:hAnsi="Arial"/>
          <w:sz w:val="18"/>
          <w:szCs w:val="18"/>
          <w:color w:val="auto"/>
        </w:rPr>
        <w:t>On February 16, 2006, the Company completed the acquisition of the semiconductor division of UTStarcom, Inc. Under the terms of the agreement, the Company paid $24.0 million in cash and may pay up to an additional $16.0 million in cash if certain defined milestones are achieved. The semiconductor division of UTStarcom focuses on the design and development of personal handyphone systems (PHS) and next generation cellular communications technology. The primary reasons for the acquisition of the semiconductor division of UTStarcom were to strengthen and augment its software engineering workforce and enhance its technological capabilities for emerging cellular strategies, obtain an established product being utilized in wireless communications technology, reduce the time required to develop new products and bring them to market for next generation cellular technology and to complement the Company’s existing wireless offerings.</w:t>
      </w:r>
    </w:p>
    <w:p>
      <w:pPr>
        <w:spacing w:after="0" w:line="189" w:lineRule="exact"/>
        <w:rPr>
          <w:sz w:val="20"/>
          <w:szCs w:val="20"/>
          <w:color w:val="auto"/>
        </w:rPr>
      </w:pPr>
    </w:p>
    <w:tbl>
      <w:tblPr>
        <w:tblLayout w:type="fixed"/>
        <w:tblInd w:w="260" w:type="dxa"/>
        <w:tblCellMar>
          <w:top w:w="0" w:type="dxa"/>
          <w:left w:w="0" w:type="dxa"/>
          <w:bottom w:w="0" w:type="dxa"/>
          <w:right w:w="0" w:type="dxa"/>
        </w:tblCellMar>
      </w:tblPr>
      <w:tr>
        <w:trPr>
          <w:trHeight w:val="230"/>
        </w:trPr>
        <w:tc>
          <w:tcPr>
            <w:tcW w:w="7720" w:type="dxa"/>
            <w:vAlign w:val="bottom"/>
            <w:gridSpan w:val="2"/>
          </w:tcPr>
          <w:p>
            <w:pPr>
              <w:spacing w:after="0"/>
              <w:rPr>
                <w:sz w:val="20"/>
                <w:szCs w:val="20"/>
                <w:color w:val="auto"/>
              </w:rPr>
            </w:pPr>
            <w:r>
              <w:rPr>
                <w:rFonts w:ascii="Arial" w:cs="Arial" w:eastAsia="Arial" w:hAnsi="Arial"/>
                <w:sz w:val="18"/>
                <w:szCs w:val="18"/>
                <w:color w:val="auto"/>
              </w:rPr>
              <w:t>The purchase price of the acquisition was $24.8 million, determined as follows (in thousands):</w:t>
            </w:r>
          </w:p>
        </w:tc>
        <w:tc>
          <w:tcPr>
            <w:tcW w:w="9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1600" w:type="dxa"/>
            <w:vAlign w:val="bottom"/>
            <w:vMerge w:val="restart"/>
          </w:tcPr>
          <w:p>
            <w:pPr>
              <w:spacing w:after="0"/>
              <w:rPr>
                <w:sz w:val="18"/>
                <w:szCs w:val="18"/>
                <w:color w:val="auto"/>
              </w:rPr>
            </w:pPr>
          </w:p>
        </w:tc>
        <w:tc>
          <w:tcPr>
            <w:tcW w:w="6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600" w:type="dxa"/>
            <w:vAlign w:val="bottom"/>
            <w:vMerge w:val="continue"/>
          </w:tcPr>
          <w:p>
            <w:pPr>
              <w:spacing w:after="0"/>
              <w:rPr>
                <w:sz w:val="18"/>
                <w:szCs w:val="18"/>
                <w:color w:val="auto"/>
              </w:rPr>
            </w:pPr>
          </w:p>
        </w:tc>
        <w:tc>
          <w:tcPr>
            <w:tcW w:w="612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1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$ 24,008</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600" w:type="dxa"/>
            <w:vAlign w:val="bottom"/>
          </w:tcPr>
          <w:p>
            <w:pPr>
              <w:spacing w:after="0"/>
              <w:rPr>
                <w:sz w:val="18"/>
                <w:szCs w:val="18"/>
                <w:color w:val="auto"/>
              </w:rPr>
            </w:pPr>
          </w:p>
        </w:tc>
        <w:tc>
          <w:tcPr>
            <w:tcW w:w="6120" w:type="dxa"/>
            <w:vAlign w:val="bottom"/>
          </w:tcPr>
          <w:p>
            <w:pPr>
              <w:spacing w:after="0"/>
              <w:rPr>
                <w:sz w:val="20"/>
                <w:szCs w:val="20"/>
                <w:color w:val="auto"/>
              </w:rPr>
            </w:pPr>
            <w:r>
              <w:rPr>
                <w:rFonts w:ascii="Arial" w:cs="Arial" w:eastAsia="Arial" w:hAnsi="Arial"/>
                <w:sz w:val="18"/>
                <w:szCs w:val="18"/>
                <w:color w:val="auto"/>
              </w:rPr>
              <w:t>Estimated transaction costs</w:t>
            </w:r>
          </w:p>
        </w:tc>
        <w:tc>
          <w:tcPr>
            <w:tcW w:w="1540" w:type="dxa"/>
            <w:vAlign w:val="bottom"/>
            <w:gridSpan w:val="2"/>
          </w:tcPr>
          <w:p>
            <w:pPr>
              <w:jc w:val="right"/>
              <w:spacing w:after="0"/>
              <w:rPr>
                <w:sz w:val="20"/>
                <w:szCs w:val="20"/>
                <w:color w:val="auto"/>
              </w:rPr>
            </w:pPr>
            <w:r>
              <w:rPr>
                <w:rFonts w:ascii="Arial" w:cs="Arial" w:eastAsia="Arial" w:hAnsi="Arial"/>
                <w:sz w:val="18"/>
                <w:szCs w:val="18"/>
                <w:color w:val="auto"/>
              </w:rPr>
              <w:t>792</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600" w:type="dxa"/>
            <w:vAlign w:val="bottom"/>
          </w:tcPr>
          <w:p>
            <w:pPr>
              <w:spacing w:after="0"/>
              <w:rPr>
                <w:sz w:val="18"/>
                <w:szCs w:val="18"/>
                <w:color w:val="auto"/>
              </w:rPr>
            </w:pPr>
          </w:p>
        </w:tc>
        <w:tc>
          <w:tcPr>
            <w:tcW w:w="6120" w:type="dxa"/>
            <w:vAlign w:val="bottom"/>
            <w:tcBorders>
              <w:top w:val="single" w:sz="8" w:color="CCEEFF"/>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Total estimated purchase price</w:t>
            </w:r>
          </w:p>
        </w:tc>
        <w:tc>
          <w:tcPr>
            <w:tcW w:w="920" w:type="dxa"/>
            <w:vAlign w:val="bottom"/>
            <w:tcBorders>
              <w:top w:val="single" w:sz="8" w:color="CCEEFF"/>
              <w:bottom w:val="single" w:sz="8" w:color="CCEEFF"/>
            </w:tcBorders>
            <w:shd w:val="clear" w:color="auto" w:fill="CCEEFF"/>
          </w:tcPr>
          <w:p>
            <w:pPr>
              <w:spacing w:after="0"/>
              <w:rPr>
                <w:sz w:val="18"/>
                <w:szCs w:val="18"/>
                <w:color w:val="auto"/>
              </w:rPr>
            </w:pP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5"/>
              </w:rPr>
              <w:t>$ 24,800</w:t>
            </w: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600" w:type="dxa"/>
            <w:vAlign w:val="bottom"/>
          </w:tcPr>
          <w:p>
            <w:pPr>
              <w:spacing w:after="0" w:line="20" w:lineRule="exact"/>
              <w:rPr>
                <w:sz w:val="1"/>
                <w:szCs w:val="1"/>
                <w:color w:val="auto"/>
              </w:rPr>
            </w:pPr>
          </w:p>
        </w:tc>
        <w:tc>
          <w:tcPr>
            <w:tcW w:w="612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firstLine="259"/>
        <w:spacing w:after="0" w:line="264" w:lineRule="auto"/>
        <w:rPr>
          <w:sz w:val="20"/>
          <w:szCs w:val="20"/>
          <w:color w:val="auto"/>
        </w:rPr>
      </w:pPr>
      <w:r>
        <w:rPr>
          <w:rFonts w:ascii="Arial" w:cs="Arial" w:eastAsia="Arial" w:hAnsi="Arial"/>
          <w:sz w:val="18"/>
          <w:szCs w:val="18"/>
          <w:color w:val="auto"/>
        </w:rPr>
        <w:t>Under the purchase method of accounting, the total purchase price as shown in the table is allocated to net tangible and intangible assets based on their fair values as of the date of the completion of the acquisition. Based on the fair values acquired, the preliminary purchase price allocation is as follows (in thousands):</w:t>
      </w:r>
    </w:p>
    <w:p>
      <w:pPr>
        <w:spacing w:after="0" w:line="196" w:lineRule="exact"/>
        <w:rPr>
          <w:sz w:val="20"/>
          <w:szCs w:val="20"/>
          <w:color w:val="auto"/>
        </w:rPr>
      </w:pPr>
    </w:p>
    <w:tbl>
      <w:tblPr>
        <w:tblLayout w:type="fixed"/>
        <w:tblInd w:w="1840" w:type="dxa"/>
        <w:tblCellMar>
          <w:top w:w="0" w:type="dxa"/>
          <w:left w:w="0" w:type="dxa"/>
          <w:bottom w:w="0" w:type="dxa"/>
          <w:right w:w="0" w:type="dxa"/>
        </w:tblCellMar>
      </w:tblPr>
      <w:tr>
        <w:trPr>
          <w:trHeight w:val="216"/>
        </w:trPr>
        <w:tc>
          <w:tcPr>
            <w:tcW w:w="7020" w:type="dxa"/>
            <w:vAlign w:val="bottom"/>
            <w:shd w:val="clear" w:color="auto" w:fill="CCEEFF"/>
          </w:tcPr>
          <w:p>
            <w:pPr>
              <w:spacing w:after="0"/>
              <w:rPr>
                <w:sz w:val="20"/>
                <w:szCs w:val="20"/>
                <w:color w:val="auto"/>
              </w:rPr>
            </w:pPr>
            <w:r>
              <w:rPr>
                <w:rFonts w:ascii="Arial" w:cs="Arial" w:eastAsia="Arial" w:hAnsi="Arial"/>
                <w:sz w:val="18"/>
                <w:szCs w:val="18"/>
                <w:color w:val="auto"/>
              </w:rPr>
              <w:t>Net tangible assets acquired</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2,708</w:t>
            </w:r>
          </w:p>
        </w:tc>
        <w:tc>
          <w:tcPr>
            <w:tcW w:w="100" w:type="dxa"/>
            <w:vAlign w:val="bottom"/>
            <w:shd w:val="clear" w:color="auto" w:fill="CCEEFF"/>
          </w:tcPr>
          <w:p>
            <w:pPr>
              <w:spacing w:after="0"/>
              <w:rPr>
                <w:sz w:val="18"/>
                <w:szCs w:val="18"/>
                <w:color w:val="auto"/>
              </w:rPr>
            </w:pPr>
          </w:p>
        </w:tc>
      </w:tr>
      <w:tr>
        <w:trPr>
          <w:trHeight w:val="216"/>
        </w:trPr>
        <w:tc>
          <w:tcPr>
            <w:tcW w:w="7020" w:type="dxa"/>
            <w:vAlign w:val="bottom"/>
          </w:tcPr>
          <w:p>
            <w:pPr>
              <w:spacing w:after="0"/>
              <w:rPr>
                <w:sz w:val="20"/>
                <w:szCs w:val="20"/>
                <w:color w:val="auto"/>
              </w:rPr>
            </w:pPr>
            <w:r>
              <w:rPr>
                <w:rFonts w:ascii="Arial" w:cs="Arial" w:eastAsia="Arial" w:hAnsi="Arial"/>
                <w:sz w:val="18"/>
                <w:szCs w:val="18"/>
                <w:color w:val="auto"/>
              </w:rPr>
              <w:t>Amortizable intangible assets:</w:t>
            </w: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70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Existing technology</w:t>
            </w: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11,900</w:t>
            </w:r>
          </w:p>
        </w:tc>
        <w:tc>
          <w:tcPr>
            <w:tcW w:w="100" w:type="dxa"/>
            <w:vAlign w:val="bottom"/>
            <w:shd w:val="clear" w:color="auto" w:fill="CCEEFF"/>
          </w:tcPr>
          <w:p>
            <w:pPr>
              <w:spacing w:after="0"/>
              <w:rPr>
                <w:sz w:val="18"/>
                <w:szCs w:val="18"/>
                <w:color w:val="auto"/>
              </w:rPr>
            </w:pPr>
          </w:p>
        </w:tc>
      </w:tr>
      <w:tr>
        <w:trPr>
          <w:trHeight w:val="216"/>
        </w:trPr>
        <w:tc>
          <w:tcPr>
            <w:tcW w:w="7020" w:type="dxa"/>
            <w:vAlign w:val="bottom"/>
          </w:tcPr>
          <w:p>
            <w:pPr>
              <w:ind w:left="180"/>
              <w:spacing w:after="0"/>
              <w:rPr>
                <w:sz w:val="20"/>
                <w:szCs w:val="20"/>
                <w:color w:val="auto"/>
              </w:rPr>
            </w:pPr>
            <w:r>
              <w:rPr>
                <w:rFonts w:ascii="Arial" w:cs="Arial" w:eastAsia="Arial" w:hAnsi="Arial"/>
                <w:sz w:val="18"/>
                <w:szCs w:val="18"/>
                <w:color w:val="auto"/>
              </w:rPr>
              <w:t>Core technology</w:t>
            </w:r>
          </w:p>
        </w:tc>
        <w:tc>
          <w:tcPr>
            <w:tcW w:w="10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4,100</w:t>
            </w:r>
          </w:p>
        </w:tc>
        <w:tc>
          <w:tcPr>
            <w:tcW w:w="100" w:type="dxa"/>
            <w:vAlign w:val="bottom"/>
          </w:tcPr>
          <w:p>
            <w:pPr>
              <w:spacing w:after="0"/>
              <w:rPr>
                <w:sz w:val="18"/>
                <w:szCs w:val="18"/>
                <w:color w:val="auto"/>
              </w:rPr>
            </w:pPr>
          </w:p>
        </w:tc>
      </w:tr>
      <w:tr>
        <w:trPr>
          <w:trHeight w:val="216"/>
        </w:trPr>
        <w:tc>
          <w:tcPr>
            <w:tcW w:w="70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Supply contract</w:t>
            </w: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w:t>
            </w:r>
          </w:p>
        </w:tc>
        <w:tc>
          <w:tcPr>
            <w:tcW w:w="100" w:type="dxa"/>
            <w:vAlign w:val="bottom"/>
            <w:shd w:val="clear" w:color="auto" w:fill="CCEEFF"/>
          </w:tcPr>
          <w:p>
            <w:pPr>
              <w:spacing w:after="0"/>
              <w:rPr>
                <w:sz w:val="18"/>
                <w:szCs w:val="18"/>
                <w:color w:val="auto"/>
              </w:rPr>
            </w:pPr>
          </w:p>
        </w:tc>
      </w:tr>
      <w:tr>
        <w:trPr>
          <w:trHeight w:val="216"/>
        </w:trPr>
        <w:tc>
          <w:tcPr>
            <w:tcW w:w="7020" w:type="dxa"/>
            <w:vAlign w:val="bottom"/>
          </w:tcPr>
          <w:p>
            <w:pPr>
              <w:ind w:left="180"/>
              <w:spacing w:after="0"/>
              <w:rPr>
                <w:sz w:val="20"/>
                <w:szCs w:val="20"/>
                <w:color w:val="auto"/>
              </w:rPr>
            </w:pPr>
            <w:r>
              <w:rPr>
                <w:rFonts w:ascii="Arial" w:cs="Arial" w:eastAsia="Arial" w:hAnsi="Arial"/>
                <w:sz w:val="18"/>
                <w:szCs w:val="18"/>
                <w:color w:val="auto"/>
              </w:rPr>
              <w:t>Customer relationships</w:t>
            </w:r>
          </w:p>
        </w:tc>
        <w:tc>
          <w:tcPr>
            <w:tcW w:w="10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w w:val="90"/>
              </w:rPr>
              <w:t>13,900</w:t>
            </w:r>
          </w:p>
        </w:tc>
        <w:tc>
          <w:tcPr>
            <w:tcW w:w="100" w:type="dxa"/>
            <w:vAlign w:val="bottom"/>
          </w:tcPr>
          <w:p>
            <w:pPr>
              <w:spacing w:after="0"/>
              <w:rPr>
                <w:sz w:val="18"/>
                <w:szCs w:val="18"/>
                <w:color w:val="auto"/>
              </w:rPr>
            </w:pPr>
          </w:p>
        </w:tc>
      </w:tr>
      <w:tr>
        <w:trPr>
          <w:trHeight w:val="216"/>
        </w:trPr>
        <w:tc>
          <w:tcPr>
            <w:tcW w:w="7020" w:type="dxa"/>
            <w:vAlign w:val="bottom"/>
            <w:shd w:val="clear" w:color="auto" w:fill="CCEEFF"/>
          </w:tcPr>
          <w:p>
            <w:pPr>
              <w:spacing w:after="0"/>
              <w:rPr>
                <w:sz w:val="20"/>
                <w:szCs w:val="20"/>
                <w:color w:val="auto"/>
              </w:rPr>
            </w:pPr>
            <w:r>
              <w:rPr>
                <w:rFonts w:ascii="Arial" w:cs="Arial" w:eastAsia="Arial" w:hAnsi="Arial"/>
                <w:sz w:val="18"/>
                <w:szCs w:val="18"/>
                <w:color w:val="auto"/>
              </w:rPr>
              <w:t>Negative goodwill</w:t>
            </w: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(8,708)</w:t>
            </w:r>
          </w:p>
        </w:tc>
      </w:tr>
      <w:tr>
        <w:trPr>
          <w:trHeight w:val="210"/>
        </w:trPr>
        <w:tc>
          <w:tcPr>
            <w:tcW w:w="7020" w:type="dxa"/>
            <w:vAlign w:val="bottom"/>
          </w:tcPr>
          <w:p>
            <w:pPr>
              <w:ind w:left="360"/>
              <w:spacing w:after="0"/>
              <w:rPr>
                <w:sz w:val="20"/>
                <w:szCs w:val="20"/>
                <w:color w:val="auto"/>
              </w:rPr>
            </w:pPr>
            <w:r>
              <w:rPr>
                <w:rFonts w:ascii="Arial" w:cs="Arial" w:eastAsia="Arial" w:hAnsi="Arial"/>
                <w:sz w:val="18"/>
                <w:szCs w:val="18"/>
                <w:color w:val="auto"/>
              </w:rPr>
              <w:t>Total purchase price allocation</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0"/>
              </w:rPr>
              <w:t>24,800</w:t>
            </w:r>
          </w:p>
        </w:tc>
        <w:tc>
          <w:tcPr>
            <w:tcW w:w="100" w:type="dxa"/>
            <w:vAlign w:val="bottom"/>
          </w:tcPr>
          <w:p>
            <w:pPr>
              <w:spacing w:after="0"/>
              <w:rPr>
                <w:sz w:val="18"/>
                <w:szCs w:val="18"/>
                <w:color w:val="auto"/>
              </w:rPr>
            </w:pPr>
          </w:p>
        </w:tc>
      </w:tr>
      <w:tr>
        <w:trPr>
          <w:trHeight w:val="20"/>
        </w:trPr>
        <w:tc>
          <w:tcPr>
            <w:tcW w:w="70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56" w:lineRule="exact"/>
        <w:rPr>
          <w:sz w:val="20"/>
          <w:szCs w:val="20"/>
          <w:color w:val="auto"/>
        </w:rPr>
      </w:pPr>
    </w:p>
    <w:p>
      <w:pPr>
        <w:ind w:right="160" w:firstLine="243"/>
        <w:spacing w:after="0" w:line="257" w:lineRule="auto"/>
        <w:rPr>
          <w:sz w:val="20"/>
          <w:szCs w:val="20"/>
          <w:color w:val="auto"/>
        </w:rPr>
      </w:pPr>
      <w:r>
        <w:rPr>
          <w:rFonts w:ascii="Arial" w:cs="Arial" w:eastAsia="Arial" w:hAnsi="Arial"/>
          <w:sz w:val="18"/>
          <w:szCs w:val="18"/>
          <w:color w:val="auto"/>
        </w:rPr>
        <w:t>The Company acquired tangible assets of approximately $2.7 million consisting of inventory and fixed assets. The amortizable intangible assets of $30.8 million were determined based on valuation techniques such as discounted cash flows and weighted average cost of capital methods used in the high technology industry using assumptions and estimates from management. The amortizable intangible assets will be amortized over useful lives ranging from three to four years. The existing technology represents personal handyphone systems technology and other technology that UTStarcom has developed. Core technology represents the combination of</w:t>
      </w:r>
    </w:p>
    <w:p>
      <w:pPr>
        <w:spacing w:after="0" w:line="200" w:lineRule="exact"/>
        <w:rPr>
          <w:sz w:val="20"/>
          <w:szCs w:val="20"/>
          <w:color w:val="auto"/>
        </w:rPr>
      </w:pPr>
    </w:p>
    <w:p>
      <w:pPr>
        <w:spacing w:after="0" w:line="2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40"/>
        <w:spacing w:after="0" w:line="259" w:lineRule="auto"/>
        <w:rPr>
          <w:sz w:val="20"/>
          <w:szCs w:val="20"/>
          <w:color w:val="auto"/>
        </w:rPr>
      </w:pPr>
      <w:r>
        <w:rPr>
          <w:rFonts w:ascii="Arial" w:cs="Arial" w:eastAsia="Arial" w:hAnsi="Arial"/>
          <w:sz w:val="18"/>
          <w:szCs w:val="18"/>
          <w:color w:val="auto"/>
        </w:rPr>
        <w:t>processes, patents, and trade secrets that are the building blocks for current and planned new products. Customer relationships represent future projected revenue that will be derived from sales of future versions of existing products that will be sold to existing customers. The value determined for the supply contract with UTStarcom represents the fair value of estimated revenues and net operating cash flows to be derived from the supply contract for the duration of the five-year contract.</w:t>
      </w:r>
    </w:p>
    <w:p>
      <w:pPr>
        <w:spacing w:after="0" w:line="187" w:lineRule="exact"/>
        <w:rPr>
          <w:sz w:val="20"/>
          <w:szCs w:val="20"/>
          <w:color w:val="auto"/>
        </w:rPr>
      </w:pPr>
    </w:p>
    <w:p>
      <w:pPr>
        <w:ind w:right="60" w:firstLine="243"/>
        <w:spacing w:after="0" w:line="291" w:lineRule="auto"/>
        <w:rPr>
          <w:sz w:val="20"/>
          <w:szCs w:val="20"/>
          <w:color w:val="auto"/>
        </w:rPr>
      </w:pPr>
      <w:r>
        <w:rPr>
          <w:rFonts w:ascii="Arial" w:cs="Arial" w:eastAsia="Arial" w:hAnsi="Arial"/>
          <w:sz w:val="16"/>
          <w:szCs w:val="16"/>
          <w:color w:val="auto"/>
        </w:rPr>
        <w:t>Approximately $8.7 million has been preliminarily allocated as negative goodwill, calculated as the excess of the fair value of net tangible and intangible assets acquired over the purchase price. Contingent consideration is still outstanding which may result in the recognition of additional costs of up to $16.0 million from the acquisition if the contingency is issuable in cash or becomes issuable. The defined milestones for the contingent consideration are based on the achievement of certain levels of PHS subscribers and are expected to be resolved by September 30, 2006. The negative goodwill will be adjusted once the contingency is resolved. Any contingent payments made will result in additional consideration and reduce the negative goodwill. Accordingly, goodwill may be recorded if the total purchase price exceeds the fair value of the net tangible and intangible assets acquired. If the contingency does not occur, the negative goodwill will be reduced to zero and the amount will be allocated to intangible assets based on their relative fair values.</w:t>
      </w:r>
    </w:p>
    <w:p>
      <w:pPr>
        <w:spacing w:after="0" w:line="167" w:lineRule="exact"/>
        <w:rPr>
          <w:sz w:val="20"/>
          <w:szCs w:val="20"/>
          <w:color w:val="auto"/>
        </w:rPr>
      </w:pPr>
    </w:p>
    <w:p>
      <w:pPr>
        <w:jc w:val="both"/>
        <w:ind w:right="380" w:firstLine="243"/>
        <w:spacing w:after="0" w:line="264" w:lineRule="auto"/>
        <w:rPr>
          <w:sz w:val="20"/>
          <w:szCs w:val="20"/>
          <w:color w:val="auto"/>
        </w:rPr>
      </w:pPr>
      <w:r>
        <w:rPr>
          <w:rFonts w:ascii="Arial" w:cs="Arial" w:eastAsia="Arial" w:hAnsi="Arial"/>
          <w:sz w:val="18"/>
          <w:szCs w:val="18"/>
          <w:color w:val="auto"/>
        </w:rPr>
        <w:t>The unaudited consolidated financial statements include the results of operations of the semiconductor division of UTStarcom commencing as of the acquisition date. No supplemental pro forma information is presented for the acquisition due to the immaterial effect of the acquisition on the Company’s results of operations.</w:t>
      </w:r>
    </w:p>
    <w:p>
      <w:pPr>
        <w:sectPr>
          <w:pgSz w:w="11900" w:h="16838" w:orient="portrait"/>
          <w:cols w:equalWidth="0" w:num="1">
            <w:col w:w="11420"/>
          </w:cols>
          <w:pgMar w:left="240" w:top="368" w:right="239" w:bottom="0" w:gutter="0" w:footer="0" w:header="0"/>
        </w:sectPr>
      </w:pPr>
    </w:p>
    <w:bookmarkStart w:id="10" w:name="page11"/>
    <w:bookmarkEnd w:id="10"/>
    <w:p>
      <w:pPr>
        <w:spacing w:after="0"/>
        <w:rPr>
          <w:sz w:val="20"/>
          <w:szCs w:val="20"/>
          <w:color w:val="auto"/>
        </w:rPr>
      </w:pPr>
      <w:r>
        <w:rPr>
          <w:rFonts w:ascii="Arial" w:cs="Arial" w:eastAsia="Arial" w:hAnsi="Arial"/>
          <w:sz w:val="18"/>
          <w:szCs w:val="18"/>
          <w:b w:val="1"/>
          <w:bCs w:val="1"/>
          <w:color w:val="auto"/>
        </w:rPr>
        <w:t>4. Facilities Consolidation Charge</w:t>
      </w:r>
    </w:p>
    <w:p>
      <w:pPr>
        <w:spacing w:after="0" w:line="229" w:lineRule="exact"/>
        <w:rPr>
          <w:sz w:val="20"/>
          <w:szCs w:val="20"/>
          <w:color w:val="auto"/>
        </w:rPr>
      </w:pPr>
    </w:p>
    <w:p>
      <w:pPr>
        <w:ind w:right="20" w:firstLine="259"/>
        <w:spacing w:after="0" w:line="291" w:lineRule="auto"/>
        <w:rPr>
          <w:sz w:val="20"/>
          <w:szCs w:val="20"/>
          <w:color w:val="auto"/>
        </w:rPr>
      </w:pPr>
      <w:r>
        <w:rPr>
          <w:rFonts w:ascii="Arial" w:cs="Arial" w:eastAsia="Arial" w:hAnsi="Arial"/>
          <w:sz w:val="16"/>
          <w:szCs w:val="16"/>
          <w:color w:val="auto"/>
        </w:rPr>
        <w:t>During fiscal 2003, the Company recorded a total of $19.6 million of charges associated with costs of consolidation of its facilities. These charges included $12.6 million in lease abandonment charges relating to the consolidation of its three facilities in California into one location. The lease abandonment charge included the remaining lease commitments of these facilities reduced by the estimated sublease income throughout the duration of the lease term. The Company incurred charges of $1.0 million during the quarter ended April 30, 2002, as a result of duplicate lease and other costs associated with the dual occupation of its current and abandoned facilities. The facilities consolidation charge also included $6.0 million associated with the write-down of certain property and leasehold improvements related to the abandoned facilities, which reduced the carrying amount of the impaired assets. During the quarter ended July 31, 2003, the Company subleased the abandoned facilities. Actual sublease income approximated the estimated sublease income.</w:t>
      </w:r>
    </w:p>
    <w:p>
      <w:pPr>
        <w:spacing w:after="0" w:line="167" w:lineRule="exact"/>
        <w:rPr>
          <w:sz w:val="20"/>
          <w:szCs w:val="20"/>
          <w:color w:val="auto"/>
        </w:rPr>
      </w:pPr>
    </w:p>
    <w:p>
      <w:pPr>
        <w:ind w:right="60" w:firstLine="259"/>
        <w:spacing w:after="0" w:line="259" w:lineRule="auto"/>
        <w:rPr>
          <w:sz w:val="20"/>
          <w:szCs w:val="20"/>
          <w:color w:val="auto"/>
        </w:rPr>
      </w:pPr>
      <w:r>
        <w:rPr>
          <w:rFonts w:ascii="Arial" w:cs="Arial" w:eastAsia="Arial" w:hAnsi="Arial"/>
          <w:sz w:val="18"/>
          <w:szCs w:val="18"/>
          <w:color w:val="auto"/>
        </w:rPr>
        <w:t>As of April 30, 2006, cash payments of $10.1 million, net of sublease income, had been made in connection with these charges relating to the consolidation of the Company’s facilities in California. Approximately $3.4 million is accrued for this facilities consolidation charge, net of sublease income, as of April 30, 2006, of which $0.7 million is the current portion included in accrued liabilities, while the long-term portion, totaling $2.7 million, is payable through 2010 and is included in other long-term liabilities.</w:t>
      </w:r>
    </w:p>
    <w:p>
      <w:pPr>
        <w:spacing w:after="0" w:line="187" w:lineRule="exact"/>
        <w:rPr>
          <w:sz w:val="20"/>
          <w:szCs w:val="20"/>
          <w:color w:val="auto"/>
        </w:rPr>
      </w:pPr>
    </w:p>
    <w:p>
      <w:pPr>
        <w:ind w:right="720" w:firstLine="259"/>
        <w:spacing w:after="0" w:line="277" w:lineRule="auto"/>
        <w:rPr>
          <w:sz w:val="20"/>
          <w:szCs w:val="20"/>
          <w:color w:val="auto"/>
        </w:rPr>
      </w:pPr>
      <w:r>
        <w:rPr>
          <w:rFonts w:ascii="Arial" w:cs="Arial" w:eastAsia="Arial" w:hAnsi="Arial"/>
          <w:sz w:val="18"/>
          <w:szCs w:val="18"/>
          <w:color w:val="auto"/>
        </w:rPr>
        <w:t>A summary of the facilities consolidation accrual related to the fiscal 2003 charge during the three months ended April 30, 2006 is as follows (in thousands):</w:t>
      </w:r>
    </w:p>
    <w:p>
      <w:pPr>
        <w:spacing w:after="0" w:line="132" w:lineRule="exact"/>
        <w:rPr>
          <w:sz w:val="20"/>
          <w:szCs w:val="20"/>
          <w:color w:val="auto"/>
        </w:rPr>
      </w:pPr>
    </w:p>
    <w:tbl>
      <w:tblPr>
        <w:tblLayout w:type="fixed"/>
        <w:tblInd w:w="17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0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tcPr>
          <w:p>
            <w:pPr>
              <w:jc w:val="center"/>
              <w:ind w:right="66"/>
              <w:spacing w:after="0"/>
              <w:rPr>
                <w:sz w:val="20"/>
                <w:szCs w:val="20"/>
                <w:color w:val="auto"/>
              </w:rPr>
            </w:pPr>
            <w:r>
              <w:rPr>
                <w:rFonts w:ascii="Arial" w:cs="Arial" w:eastAsia="Arial" w:hAnsi="Arial"/>
                <w:sz w:val="14"/>
                <w:szCs w:val="14"/>
                <w:b w:val="1"/>
                <w:bCs w:val="1"/>
                <w:color w:val="auto"/>
                <w:w w:val="91"/>
              </w:rPr>
              <w:t>Balance at</w:t>
            </w:r>
          </w:p>
        </w:tc>
        <w:tc>
          <w:tcPr>
            <w:tcW w:w="2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2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Net Cash</w:t>
            </w: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20" w:type="dxa"/>
            <w:vAlign w:val="bottom"/>
            <w:gridSpan w:val="2"/>
            <w:vMerge w:val="restart"/>
          </w:tcPr>
          <w:p>
            <w:pPr>
              <w:jc w:val="center"/>
              <w:ind w:right="360"/>
              <w:spacing w:after="0"/>
              <w:rPr>
                <w:sz w:val="20"/>
                <w:szCs w:val="20"/>
                <w:color w:val="auto"/>
              </w:rPr>
            </w:pPr>
            <w:r>
              <w:rPr>
                <w:rFonts w:ascii="Arial" w:cs="Arial" w:eastAsia="Arial" w:hAnsi="Arial"/>
                <w:sz w:val="14"/>
                <w:szCs w:val="14"/>
                <w:b w:val="1"/>
                <w:bCs w:val="1"/>
                <w:color w:val="auto"/>
                <w:w w:val="93"/>
              </w:rPr>
              <w:t>Non-Cash</w:t>
            </w:r>
          </w:p>
        </w:tc>
        <w:tc>
          <w:tcPr>
            <w:tcW w:w="100" w:type="dxa"/>
            <w:vAlign w:val="bottom"/>
          </w:tcPr>
          <w:p>
            <w:pPr>
              <w:spacing w:after="0"/>
              <w:rPr>
                <w:sz w:val="14"/>
                <w:szCs w:val="14"/>
                <w:color w:val="auto"/>
              </w:rPr>
            </w:pPr>
          </w:p>
        </w:tc>
        <w:tc>
          <w:tcPr>
            <w:tcW w:w="90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94"/>
              </w:rPr>
              <w:t>Remaining</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308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20" w:type="dxa"/>
            <w:vAlign w:val="bottom"/>
          </w:tcPr>
          <w:p>
            <w:pPr>
              <w:jc w:val="center"/>
              <w:ind w:right="66"/>
              <w:spacing w:after="0" w:line="135" w:lineRule="exact"/>
              <w:rPr>
                <w:sz w:val="20"/>
                <w:szCs w:val="20"/>
                <w:color w:val="auto"/>
              </w:rPr>
            </w:pPr>
            <w:r>
              <w:rPr>
                <w:rFonts w:ascii="Arial" w:cs="Arial" w:eastAsia="Arial" w:hAnsi="Arial"/>
                <w:sz w:val="14"/>
                <w:szCs w:val="14"/>
                <w:b w:val="1"/>
                <w:bCs w:val="1"/>
                <w:color w:val="auto"/>
                <w:w w:val="88"/>
              </w:rPr>
              <w:t>January 31,</w:t>
            </w: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20" w:type="dxa"/>
            <w:vAlign w:val="bottom"/>
            <w:gridSpan w:val="2"/>
            <w:vMerge w:val="continue"/>
          </w:tcPr>
          <w:p>
            <w:pPr>
              <w:spacing w:after="0"/>
              <w:rPr>
                <w:sz w:val="11"/>
                <w:szCs w:val="11"/>
                <w:color w:val="auto"/>
              </w:rPr>
            </w:pP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20" w:type="dxa"/>
            <w:vAlign w:val="bottom"/>
            <w:gridSpan w:val="2"/>
            <w:vMerge w:val="continue"/>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gridSpan w:val="2"/>
          </w:tcPr>
          <w:p>
            <w:pPr>
              <w:jc w:val="center"/>
              <w:ind w:right="180"/>
              <w:spacing w:after="0" w:line="135" w:lineRule="exact"/>
              <w:rPr>
                <w:sz w:val="20"/>
                <w:szCs w:val="20"/>
                <w:color w:val="auto"/>
              </w:rPr>
            </w:pPr>
            <w:r>
              <w:rPr>
                <w:rFonts w:ascii="Arial" w:cs="Arial" w:eastAsia="Arial" w:hAnsi="Arial"/>
                <w:sz w:val="14"/>
                <w:szCs w:val="14"/>
                <w:b w:val="1"/>
                <w:bCs w:val="1"/>
                <w:color w:val="auto"/>
                <w:w w:val="98"/>
              </w:rPr>
              <w:t>Liability at</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30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tcPr>
          <w:p>
            <w:pPr>
              <w:jc w:val="center"/>
              <w:ind w:right="46"/>
              <w:spacing w:after="0"/>
              <w:rPr>
                <w:sz w:val="20"/>
                <w:szCs w:val="20"/>
                <w:color w:val="auto"/>
              </w:rPr>
            </w:pPr>
            <w:r>
              <w:rPr>
                <w:rFonts w:ascii="Arial" w:cs="Arial" w:eastAsia="Arial" w:hAnsi="Arial"/>
                <w:sz w:val="14"/>
                <w:szCs w:val="14"/>
                <w:b w:val="1"/>
                <w:bCs w:val="1"/>
                <w:color w:val="auto"/>
                <w:w w:val="83"/>
              </w:rPr>
              <w:t>2006</w:t>
            </w:r>
          </w:p>
        </w:tc>
        <w:tc>
          <w:tcPr>
            <w:tcW w:w="2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20" w:type="dxa"/>
            <w:vAlign w:val="bottom"/>
            <w:gridSpan w:val="2"/>
          </w:tcPr>
          <w:p>
            <w:pPr>
              <w:ind w:left="40"/>
              <w:spacing w:after="0"/>
              <w:rPr>
                <w:sz w:val="20"/>
                <w:szCs w:val="20"/>
                <w:color w:val="auto"/>
              </w:rPr>
            </w:pPr>
            <w:r>
              <w:rPr>
                <w:rFonts w:ascii="Arial" w:cs="Arial" w:eastAsia="Arial" w:hAnsi="Arial"/>
                <w:sz w:val="14"/>
                <w:szCs w:val="14"/>
                <w:b w:val="1"/>
                <w:bCs w:val="1"/>
                <w:color w:val="auto"/>
              </w:rPr>
              <w:t>Payments</w:t>
            </w: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2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2"/>
              </w:rPr>
              <w:t>Charges</w:t>
            </w:r>
          </w:p>
        </w:tc>
        <w:tc>
          <w:tcPr>
            <w:tcW w:w="1000" w:type="dxa"/>
            <w:vAlign w:val="bottom"/>
            <w:gridSpan w:val="3"/>
          </w:tcPr>
          <w:p>
            <w:pPr>
              <w:jc w:val="center"/>
              <w:ind w:right="80"/>
              <w:spacing w:after="0"/>
              <w:rPr>
                <w:sz w:val="20"/>
                <w:szCs w:val="20"/>
                <w:color w:val="auto"/>
              </w:rPr>
            </w:pPr>
            <w:r>
              <w:rPr>
                <w:rFonts w:ascii="Arial" w:cs="Arial" w:eastAsia="Arial" w:hAnsi="Arial"/>
                <w:sz w:val="14"/>
                <w:szCs w:val="14"/>
                <w:b w:val="1"/>
                <w:bCs w:val="1"/>
                <w:color w:val="auto"/>
                <w:w w:val="88"/>
              </w:rPr>
              <w:t>April 30, 2006</w:t>
            </w: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3080" w:type="dxa"/>
            <w:vAlign w:val="bottom"/>
            <w:tcBorders>
              <w:top w:val="single" w:sz="8" w:color="CCEEFF"/>
            </w:tcBorders>
            <w:shd w:val="clear" w:color="auto" w:fill="CCEEFF"/>
          </w:tcPr>
          <w:p>
            <w:pPr>
              <w:spacing w:after="0" w:line="182" w:lineRule="exact"/>
              <w:rPr>
                <w:sz w:val="20"/>
                <w:szCs w:val="20"/>
                <w:color w:val="auto"/>
              </w:rPr>
            </w:pPr>
            <w:r>
              <w:rPr>
                <w:rFonts w:ascii="Arial" w:cs="Arial" w:eastAsia="Arial" w:hAnsi="Arial"/>
                <w:sz w:val="18"/>
                <w:szCs w:val="18"/>
                <w:color w:val="auto"/>
              </w:rPr>
              <w:t>Accrued losses on abandoned leased</w:t>
            </w:r>
          </w:p>
        </w:tc>
        <w:tc>
          <w:tcPr>
            <w:tcW w:w="380" w:type="dxa"/>
            <w:vAlign w:val="bottom"/>
            <w:tcBorders>
              <w:top w:val="single" w:sz="8" w:color="CCEEFF"/>
            </w:tcBorders>
            <w:shd w:val="clear" w:color="auto" w:fill="CCEEFF"/>
          </w:tcPr>
          <w:p>
            <w:pPr>
              <w:spacing w:after="0"/>
              <w:rPr>
                <w:sz w:val="15"/>
                <w:szCs w:val="15"/>
                <w:color w:val="auto"/>
              </w:rPr>
            </w:pPr>
          </w:p>
        </w:tc>
        <w:tc>
          <w:tcPr>
            <w:tcW w:w="100" w:type="dxa"/>
            <w:vAlign w:val="bottom"/>
            <w:tcBorders>
              <w:top w:val="single" w:sz="8" w:color="auto"/>
            </w:tcBorders>
            <w:shd w:val="clear" w:color="auto" w:fill="CCEEFF"/>
          </w:tcPr>
          <w:p>
            <w:pPr>
              <w:spacing w:after="0"/>
              <w:rPr>
                <w:sz w:val="15"/>
                <w:szCs w:val="15"/>
                <w:color w:val="auto"/>
              </w:rPr>
            </w:pPr>
          </w:p>
        </w:tc>
        <w:tc>
          <w:tcPr>
            <w:tcW w:w="82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800" w:type="dxa"/>
            <w:vAlign w:val="bottom"/>
            <w:tcBorders>
              <w:top w:val="single" w:sz="8" w:color="auto"/>
            </w:tcBorders>
            <w:shd w:val="clear" w:color="auto" w:fill="CCEEFF"/>
          </w:tcPr>
          <w:p>
            <w:pPr>
              <w:spacing w:after="0"/>
              <w:rPr>
                <w:sz w:val="15"/>
                <w:szCs w:val="15"/>
                <w:color w:val="auto"/>
              </w:rPr>
            </w:pPr>
          </w:p>
        </w:tc>
        <w:tc>
          <w:tcPr>
            <w:tcW w:w="120" w:type="dxa"/>
            <w:vAlign w:val="bottom"/>
            <w:tcBorders>
              <w:top w:val="single" w:sz="8" w:color="CCEEFF"/>
            </w:tcBorders>
            <w:shd w:val="clear" w:color="auto" w:fill="CCEEFF"/>
          </w:tcPr>
          <w:p>
            <w:pPr>
              <w:spacing w:after="0"/>
              <w:rPr>
                <w:sz w:val="15"/>
                <w:szCs w:val="15"/>
                <w:color w:val="auto"/>
              </w:rPr>
            </w:pPr>
          </w:p>
        </w:tc>
        <w:tc>
          <w:tcPr>
            <w:tcW w:w="100" w:type="dxa"/>
            <w:vAlign w:val="bottom"/>
            <w:tcBorders>
              <w:top w:val="single" w:sz="8" w:color="CCEEFF"/>
            </w:tcBorders>
            <w:shd w:val="clear" w:color="auto" w:fill="CCEEFF"/>
          </w:tcPr>
          <w:p>
            <w:pPr>
              <w:spacing w:after="0"/>
              <w:rPr>
                <w:sz w:val="15"/>
                <w:szCs w:val="15"/>
                <w:color w:val="auto"/>
              </w:rPr>
            </w:pPr>
          </w:p>
        </w:tc>
        <w:tc>
          <w:tcPr>
            <w:tcW w:w="100" w:type="dxa"/>
            <w:vAlign w:val="bottom"/>
            <w:tcBorders>
              <w:top w:val="single" w:sz="8" w:color="auto"/>
            </w:tcBorders>
            <w:shd w:val="clear" w:color="auto" w:fill="CCEEFF"/>
          </w:tcPr>
          <w:p>
            <w:pPr>
              <w:spacing w:after="0"/>
              <w:rPr>
                <w:sz w:val="15"/>
                <w:szCs w:val="15"/>
                <w:color w:val="auto"/>
              </w:rPr>
            </w:pPr>
          </w:p>
        </w:tc>
        <w:tc>
          <w:tcPr>
            <w:tcW w:w="80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100" w:type="dxa"/>
            <w:vAlign w:val="bottom"/>
            <w:tcBorders>
              <w:top w:val="single" w:sz="8" w:color="auto"/>
            </w:tcBorders>
            <w:shd w:val="clear" w:color="auto" w:fill="CCEEFF"/>
          </w:tcPr>
          <w:p>
            <w:pPr>
              <w:spacing w:after="0"/>
              <w:rPr>
                <w:sz w:val="15"/>
                <w:szCs w:val="15"/>
                <w:color w:val="auto"/>
              </w:rPr>
            </w:pPr>
          </w:p>
        </w:tc>
        <w:tc>
          <w:tcPr>
            <w:tcW w:w="840" w:type="dxa"/>
            <w:vAlign w:val="bottom"/>
            <w:tcBorders>
              <w:top w:val="single" w:sz="8" w:color="auto"/>
            </w:tcBorders>
            <w:shd w:val="clear" w:color="auto" w:fill="CCEEFF"/>
          </w:tcPr>
          <w:p>
            <w:pPr>
              <w:spacing w:after="0"/>
              <w:rPr>
                <w:sz w:val="15"/>
                <w:szCs w:val="15"/>
                <w:color w:val="auto"/>
              </w:rPr>
            </w:pPr>
          </w:p>
        </w:tc>
        <w:tc>
          <w:tcPr>
            <w:tcW w:w="6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0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facilities:</w:t>
            </w:r>
          </w:p>
        </w:tc>
        <w:tc>
          <w:tcPr>
            <w:tcW w:w="3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82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8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80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84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80" w:type="dxa"/>
            <w:vAlign w:val="bottom"/>
          </w:tcPr>
          <w:p>
            <w:pPr>
              <w:ind w:left="160"/>
              <w:spacing w:after="0"/>
              <w:rPr>
                <w:sz w:val="20"/>
                <w:szCs w:val="20"/>
                <w:color w:val="auto"/>
              </w:rPr>
            </w:pPr>
            <w:r>
              <w:rPr>
                <w:rFonts w:ascii="Arial" w:cs="Arial" w:eastAsia="Arial" w:hAnsi="Arial"/>
                <w:sz w:val="18"/>
                <w:szCs w:val="18"/>
                <w:color w:val="auto"/>
              </w:rPr>
              <w:t>Non-cancelable lease commitments</w:t>
            </w:r>
          </w:p>
        </w:tc>
        <w:tc>
          <w:tcPr>
            <w:tcW w:w="4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3,578</w:t>
            </w:r>
          </w:p>
        </w:tc>
        <w:tc>
          <w:tcPr>
            <w:tcW w:w="34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920" w:type="dxa"/>
            <w:vAlign w:val="bottom"/>
            <w:gridSpan w:val="2"/>
          </w:tcPr>
          <w:p>
            <w:pPr>
              <w:jc w:val="right"/>
              <w:ind w:right="80"/>
              <w:spacing w:after="0"/>
              <w:rPr>
                <w:sz w:val="20"/>
                <w:szCs w:val="20"/>
                <w:color w:val="auto"/>
              </w:rPr>
            </w:pPr>
            <w:r>
              <w:rPr>
                <w:rFonts w:ascii="Arial" w:cs="Arial" w:eastAsia="Arial" w:hAnsi="Arial"/>
                <w:sz w:val="18"/>
                <w:szCs w:val="18"/>
                <w:color w:val="auto"/>
              </w:rPr>
              <w:t>(181)</w:t>
            </w:r>
          </w:p>
        </w:tc>
        <w:tc>
          <w:tcPr>
            <w:tcW w:w="2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1020" w:type="dxa"/>
            <w:vAlign w:val="bottom"/>
            <w:gridSpan w:val="2"/>
          </w:tcPr>
          <w:p>
            <w:pPr>
              <w:ind w:left="600"/>
              <w:spacing w:after="0"/>
              <w:rPr>
                <w:sz w:val="20"/>
                <w:szCs w:val="20"/>
                <w:color w:val="auto"/>
              </w:rPr>
            </w:pPr>
            <w:r>
              <w:rPr>
                <w:rFonts w:ascii="Arial" w:cs="Arial" w:eastAsia="Arial" w:hAnsi="Arial"/>
                <w:sz w:val="18"/>
                <w:szCs w:val="18"/>
                <w:color w:val="auto"/>
              </w:rPr>
              <w:t>—</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3,397</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0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5. Recent Accounting Pronouncements</w:t>
      </w:r>
    </w:p>
    <w:p>
      <w:pPr>
        <w:spacing w:after="0" w:line="229" w:lineRule="exact"/>
        <w:rPr>
          <w:sz w:val="20"/>
          <w:szCs w:val="20"/>
          <w:color w:val="auto"/>
        </w:rPr>
      </w:pPr>
    </w:p>
    <w:p>
      <w:pPr>
        <w:ind w:right="120" w:firstLine="243"/>
        <w:spacing w:after="0" w:line="273" w:lineRule="auto"/>
        <w:rPr>
          <w:sz w:val="20"/>
          <w:szCs w:val="20"/>
          <w:color w:val="auto"/>
        </w:rPr>
      </w:pPr>
      <w:r>
        <w:rPr>
          <w:rFonts w:ascii="Arial" w:cs="Arial" w:eastAsia="Arial" w:hAnsi="Arial"/>
          <w:sz w:val="17"/>
          <w:szCs w:val="17"/>
          <w:color w:val="auto"/>
        </w:rPr>
        <w:t xml:space="preserve">In May 2005, the FASB issued Statement of Financial Accounting Standards No. 154 (“SFAS 154”), Accounting Changes and Error Corrections, a replacement of APB Opinion No. 20 and Statement No. 3. The statement applies to all voluntary changes in accounting principle and changes the requirements for the accounting for and reporting of a change in accounting principle. SFAS 154 requires retrospective application to prior periods’ financial statements of a voluntary change in accounting principle unless it is impracticable. SFAS 154 is effective for accounting changes and corrections of errors made in fiscal years beginning after December 15, 2005. </w:t>
      </w:r>
      <w:r>
        <w:rPr>
          <w:rFonts w:ascii="Arial" w:cs="Arial" w:eastAsia="Arial" w:hAnsi="Arial"/>
          <w:sz w:val="16"/>
          <w:szCs w:val="16"/>
          <w:color w:val="auto"/>
        </w:rPr>
        <w:t>The Company adopted this standard in the quarter ended April 30, 2006 and the adoption will only</w:t>
      </w:r>
      <w:r>
        <w:rPr>
          <w:rFonts w:ascii="Arial" w:cs="Arial" w:eastAsia="Arial" w:hAnsi="Arial"/>
          <w:sz w:val="17"/>
          <w:szCs w:val="17"/>
          <w:color w:val="auto"/>
        </w:rPr>
        <w:t xml:space="preserve"> </w:t>
      </w:r>
      <w:r>
        <w:rPr>
          <w:rFonts w:ascii="Arial" w:cs="Arial" w:eastAsia="Arial" w:hAnsi="Arial"/>
          <w:sz w:val="16"/>
          <w:szCs w:val="16"/>
          <w:color w:val="auto"/>
        </w:rPr>
        <w:t>impact the consolidated financial statements in periods in which a change in accounting principle is made.</w:t>
      </w:r>
    </w:p>
    <w:p>
      <w:pPr>
        <w:spacing w:after="0" w:line="39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ind w:left="260" w:right="8660" w:hanging="252"/>
        <w:spacing w:after="0" w:line="566" w:lineRule="auto"/>
        <w:tabs>
          <w:tab w:leader="none" w:pos="181" w:val="left"/>
        </w:tabs>
        <w:numPr>
          <w:ilvl w:val="0"/>
          <w:numId w:val="6"/>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Commitments and Contingencies </w:t>
      </w:r>
      <w:r>
        <w:rPr>
          <w:rFonts w:ascii="Arial" w:cs="Arial" w:eastAsia="Arial" w:hAnsi="Arial"/>
          <w:sz w:val="16"/>
          <w:szCs w:val="16"/>
          <w:b w:val="1"/>
          <w:bCs w:val="1"/>
          <w:i w:val="1"/>
          <w:iCs w:val="1"/>
          <w:color w:val="auto"/>
        </w:rPr>
        <w:t>Purchase Commitments</w:t>
      </w:r>
    </w:p>
    <w:p>
      <w:pPr>
        <w:spacing w:after="0" w:line="1" w:lineRule="exact"/>
        <w:rPr>
          <w:sz w:val="20"/>
          <w:szCs w:val="20"/>
          <w:color w:val="auto"/>
        </w:rPr>
      </w:pPr>
    </w:p>
    <w:p>
      <w:pPr>
        <w:ind w:right="80" w:firstLine="243"/>
        <w:spacing w:after="0" w:line="259" w:lineRule="auto"/>
        <w:rPr>
          <w:sz w:val="20"/>
          <w:szCs w:val="20"/>
          <w:color w:val="auto"/>
        </w:rPr>
      </w:pPr>
      <w:r>
        <w:rPr>
          <w:rFonts w:ascii="Arial" w:cs="Arial" w:eastAsia="Arial" w:hAnsi="Arial"/>
          <w:sz w:val="18"/>
          <w:szCs w:val="18"/>
          <w:color w:val="auto"/>
        </w:rPr>
        <w:t>The Company’s manufacturing relationships with its foundries allow for the cancellation of all outstanding purchase orders, but requires repayment of all expenses incurred through the date of cancellation. As of April 30, 2006, foundries had incurred approximately $145.0 million of manufacturing expenses on the Company’s outstanding purchase orders. As of April 30, 2006, the Company also had approximately $63.2 million of other outstanding non-cancelable purchase orders for capital purchase obligations.</w:t>
      </w:r>
    </w:p>
    <w:p>
      <w:pPr>
        <w:spacing w:after="0" w:line="187" w:lineRule="exact"/>
        <w:rPr>
          <w:sz w:val="20"/>
          <w:szCs w:val="20"/>
          <w:color w:val="auto"/>
        </w:rPr>
      </w:pPr>
    </w:p>
    <w:p>
      <w:pPr>
        <w:ind w:right="20" w:firstLine="243"/>
        <w:spacing w:after="0" w:line="255" w:lineRule="auto"/>
        <w:rPr>
          <w:sz w:val="20"/>
          <w:szCs w:val="20"/>
          <w:color w:val="auto"/>
        </w:rPr>
      </w:pPr>
      <w:r>
        <w:rPr>
          <w:rFonts w:ascii="Arial" w:cs="Arial" w:eastAsia="Arial" w:hAnsi="Arial"/>
          <w:sz w:val="18"/>
          <w:szCs w:val="18"/>
          <w:color w:val="auto"/>
        </w:rPr>
        <w:t>On February 28, 2005 and as amended on March 31, 2005, the Company entered into an agreement with a foundry to reserve and secure foundry fabrication capacity for a fixed number of wafers at agreed upon prices for a period of five and a half years beginning on October 1, 2005. In return, the Company agreed to pay the foundry $174.2 million over a period of eighteen months. The amendment extends the term of the agreement and the agreed-upon pricing terms until December 31, 2015. As of April 30, 2006, payments totaling $129.0 million (included in prepaid expenses and other current assets and other non current assets) have been made and approximately $44.6 million of the prepayment has been utilized as of April 30, 2006. At April 30, 2006, remaining commitments under the agreement were approximately $45.2 million.</w:t>
      </w:r>
    </w:p>
    <w:p>
      <w:pPr>
        <w:spacing w:after="0" w:line="193"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Contingencies</w:t>
      </w:r>
    </w:p>
    <w:p>
      <w:pPr>
        <w:spacing w:after="0" w:line="225" w:lineRule="exact"/>
        <w:rPr>
          <w:sz w:val="20"/>
          <w:szCs w:val="20"/>
          <w:color w:val="auto"/>
        </w:rPr>
      </w:pPr>
    </w:p>
    <w:p>
      <w:pPr>
        <w:ind w:firstLine="259"/>
        <w:spacing w:after="0" w:line="285"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the Company’s initial public offering, or IPO, on June 29, 2000. That lawsuit, which did not name the Company or any of its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the Company’s IPO. In this second action, plaintiffs named three underwriters as defendants and also named as defendants the Company and two of its officers, one of whom is also a director. Relying on many of the same allegations contained in the initial complaint in which the Company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the Company’s IPO have been consolidated with hundreds of other lawsuits filed by plaintiffs against approximately 55 underwriters and approximately 300 issuers across the United States. A consolidated amended class action complaint against the Company and its two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the Company as to alleged violations of section 11 of the Securities Act of 1933 and section 10(b) of the Securities Exchange Act of 1934. Claims against the individual officers have been voluntarily dismissed without prejudice by agreement with plaintiffs. On June 26, 2003, the plaintiffs announced that a settlement among plaintiffs, the issuer defendants and their directors and officers, and their insurers had been structured, a part of which the insurers for all issuer defendants would guarantee up to $1 billion to investors who are class members, depending upon plaintiffs’ success against non-settling parties. The Company’s board of directors has approved the proposed settlement, which will result in the plaintiffs’ dismissing the case against the Company and granting releases that extend to all of its officers and directors. Definitive settlement documentation was completed in early June 2004 and first presented to the court on June 14, 2004. On February 15, 2005, the court issued an opinion</w:t>
      </w:r>
    </w:p>
    <w:p>
      <w:pPr>
        <w:sectPr>
          <w:pgSz w:w="11900" w:h="16838" w:orient="portrait"/>
          <w:cols w:equalWidth="0" w:num="1">
            <w:col w:w="11400"/>
          </w:cols>
          <w:pgMar w:left="240" w:top="121" w:right="259" w:bottom="0" w:gutter="0" w:footer="0" w:header="0"/>
        </w:sectPr>
      </w:pPr>
    </w:p>
    <w:bookmarkStart w:id="11" w:name="page12"/>
    <w:bookmarkEnd w:id="11"/>
    <w:p>
      <w:pPr>
        <w:ind w:right="20"/>
        <w:spacing w:after="0" w:line="270" w:lineRule="auto"/>
        <w:rPr>
          <w:sz w:val="20"/>
          <w:szCs w:val="20"/>
          <w:color w:val="auto"/>
        </w:rPr>
      </w:pPr>
      <w:r>
        <w:rPr>
          <w:rFonts w:ascii="Arial" w:cs="Arial" w:eastAsia="Arial" w:hAnsi="Arial"/>
          <w:sz w:val="17"/>
          <w:szCs w:val="17"/>
          <w:color w:val="auto"/>
        </w:rPr>
        <w:t>preliminarily approving the proposed settlement, contingent upon certain modifications being made to one aspect of the proposed settlement — the proposed “bar order”. The court ruled that it had no authority to deviate from the wording of the Private Securities Litigation Reform Act of 1995 and that any bar order that may issue should the proposed settlement be finally approved must be limited to the express wording of 15 U.S.C. section 78u-4(f)(7)(A). On May 2, 2005 the issuer defendants and plaintiffs jointly submitted an amendment to the settlement agreement conforming the language of the settlement agreement with the court’s February 15, 2005 ruling regarding the bar order. The court on August 31, 2005 issued an order preliminarily approving the settlement and setting a public hearing on its fairness for April 24, 2006 due to difficulties in mailing the required notice to class members. On April 24, 2006, the Court held a public hearing on the fairness of the proposed settlement. The Court took the matter under submission and has not yet ruled. Based on currently available information, the Company does not believe that the ultimate disposition of this lawsuit will have a material adverse impact on its business, results of operations, financial condition or cash flows.</w:t>
      </w:r>
    </w:p>
    <w:p>
      <w:pPr>
        <w:spacing w:after="0" w:line="182" w:lineRule="exact"/>
        <w:rPr>
          <w:sz w:val="20"/>
          <w:szCs w:val="20"/>
          <w:color w:val="auto"/>
        </w:rPr>
      </w:pPr>
    </w:p>
    <w:p>
      <w:pPr>
        <w:ind w:right="180" w:firstLine="243"/>
        <w:spacing w:after="0" w:line="277" w:lineRule="auto"/>
        <w:rPr>
          <w:sz w:val="20"/>
          <w:szCs w:val="20"/>
          <w:color w:val="auto"/>
        </w:rPr>
      </w:pPr>
      <w:r>
        <w:rPr>
          <w:rFonts w:ascii="Arial" w:cs="Arial" w:eastAsia="Arial" w:hAnsi="Arial"/>
          <w:sz w:val="18"/>
          <w:szCs w:val="18"/>
          <w:color w:val="auto"/>
        </w:rPr>
        <w:t>On September 12, 2001, Jasmine Networks, Inc. (“Jasmine”) filed a lawsuit in the Santa Clara County Superior Court asserting claims against Company personnel and the Company for improperly obtaining and using information and technologies during the</w:t>
      </w:r>
    </w:p>
    <w:p>
      <w:pPr>
        <w:spacing w:after="0" w:line="3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20"/>
        <w:spacing w:after="0" w:line="312" w:lineRule="auto"/>
        <w:rPr>
          <w:sz w:val="20"/>
          <w:szCs w:val="20"/>
          <w:color w:val="auto"/>
        </w:rPr>
      </w:pPr>
      <w:r>
        <w:rPr>
          <w:rFonts w:ascii="Arial" w:cs="Arial" w:eastAsia="Arial" w:hAnsi="Arial"/>
          <w:sz w:val="16"/>
          <w:szCs w:val="16"/>
          <w:color w:val="auto"/>
        </w:rPr>
        <w:t>course of the negotiations with Company personnel regarding the potential acquisition of certain Jasmine assets by the Company. The lawsuit claims that Company officers improperly obtained and used such information and technologies after the Company signed a non-disclosure agreement with Jasmine. The Company believes the claims asserted against its officers and it are without merit and the Company intends to defend all claims vigorously.</w:t>
      </w:r>
    </w:p>
    <w:p>
      <w:pPr>
        <w:spacing w:after="0" w:line="147" w:lineRule="exact"/>
        <w:rPr>
          <w:sz w:val="20"/>
          <w:szCs w:val="20"/>
          <w:color w:val="auto"/>
        </w:rPr>
      </w:pPr>
    </w:p>
    <w:p>
      <w:pPr>
        <w:ind w:right="60" w:firstLine="243"/>
        <w:spacing w:after="0" w:line="290" w:lineRule="auto"/>
        <w:rPr>
          <w:sz w:val="20"/>
          <w:szCs w:val="20"/>
          <w:color w:val="auto"/>
        </w:rPr>
      </w:pPr>
      <w:r>
        <w:rPr>
          <w:rFonts w:ascii="Arial" w:cs="Arial" w:eastAsia="Arial" w:hAnsi="Arial"/>
          <w:sz w:val="16"/>
          <w:szCs w:val="16"/>
          <w:color w:val="auto"/>
        </w:rPr>
        <w:t>On June 21, 2005, the Company filed a cross complaint in the above disclosed action in the Santa Clara County Superior Court asserting claims against Jasmine and unnamed Jasmine officers and employees. The cross complaint was later amended to name two individual officers of Jasmine. Among other actions, the cross complaint alleges that Jasmine and its personnel engaged in fraud in connection with their effort to sell to Marvell technology that Jasmine and its personnel wrongfully obtained from a third party in violation of such third party’s rights. The cross complaint seeks declaratory judgment that Marvell’s technology does not incorporate any of Jasmine’s alleged technology. The cross complaint seeks further declaratory judgment that Jasmine and its personnel misappropriated certain aspects of Jasmine’s alleged technology. The Company intends to prosecute the cross complaint against Jasmine and its personnel vigorously. The Company cannot predict the outcome of this litigation. Any litigation could be costly, divert Company management’s attention and could have a material adverse effect on its business, results of operations, financial condition or cash flows.</w:t>
      </w:r>
    </w:p>
    <w:p>
      <w:pPr>
        <w:spacing w:after="0" w:line="166" w:lineRule="exact"/>
        <w:rPr>
          <w:sz w:val="20"/>
          <w:szCs w:val="20"/>
          <w:color w:val="auto"/>
        </w:rPr>
      </w:pPr>
    </w:p>
    <w:p>
      <w:pPr>
        <w:ind w:right="140" w:firstLine="243"/>
        <w:spacing w:after="0" w:line="255" w:lineRule="auto"/>
        <w:rPr>
          <w:sz w:val="20"/>
          <w:szCs w:val="20"/>
          <w:color w:val="auto"/>
        </w:rPr>
      </w:pPr>
      <w:r>
        <w:rPr>
          <w:rFonts w:ascii="Arial" w:cs="Arial" w:eastAsia="Arial" w:hAnsi="Arial"/>
          <w:sz w:val="18"/>
          <w:szCs w:val="18"/>
          <w:color w:val="auto"/>
        </w:rPr>
        <w:t>The Company is also party to other claims and litigation proceedings arising in the normal course of business. Although the legal responsibility and financial impact with respect to such claims and litigation cannot currently be ascertained, the Company does not believe that these matters will result in the payment of monetary damages, net of any applicable insurance proceeds, that, in the aggregate, would be material in relation to the Company’s consolidated financial position or results of operations. There can be no assurance that these matters will be resolved without costly litigation, in a manner that is not adverse to the Company’s financial position, results of operations or cash flows, or without requiring royalty payments in the future, which may adversely impact gross margins.</w:t>
      </w:r>
    </w:p>
    <w:p>
      <w:pPr>
        <w:spacing w:after="0" w:line="189" w:lineRule="exact"/>
        <w:rPr>
          <w:sz w:val="20"/>
          <w:szCs w:val="20"/>
          <w:color w:val="auto"/>
        </w:rPr>
      </w:pPr>
    </w:p>
    <w:p>
      <w:pPr>
        <w:ind w:left="340" w:right="9120" w:hanging="332"/>
        <w:spacing w:after="0" w:line="604" w:lineRule="auto"/>
        <w:tabs>
          <w:tab w:leader="none" w:pos="196" w:val="left"/>
        </w:tabs>
        <w:numPr>
          <w:ilvl w:val="0"/>
          <w:numId w:val="7"/>
        </w:numPr>
        <w:rPr>
          <w:rFonts w:ascii="Arial" w:cs="Arial" w:eastAsia="Arial" w:hAnsi="Arial"/>
          <w:sz w:val="15"/>
          <w:szCs w:val="15"/>
          <w:b w:val="1"/>
          <w:bCs w:val="1"/>
          <w:color w:val="auto"/>
        </w:rPr>
      </w:pPr>
      <w:r>
        <w:rPr>
          <w:rFonts w:ascii="Arial" w:cs="Arial" w:eastAsia="Arial" w:hAnsi="Arial"/>
          <w:sz w:val="15"/>
          <w:szCs w:val="15"/>
          <w:b w:val="1"/>
          <w:bCs w:val="1"/>
          <w:color w:val="auto"/>
        </w:rPr>
        <w:t xml:space="preserve">Stock-Based Compensation </w:t>
      </w:r>
      <w:r>
        <w:rPr>
          <w:rFonts w:ascii="Arial" w:cs="Arial" w:eastAsia="Arial" w:hAnsi="Arial"/>
          <w:sz w:val="15"/>
          <w:szCs w:val="15"/>
          <w:b w:val="1"/>
          <w:bCs w:val="1"/>
          <w:i w:val="1"/>
          <w:iCs w:val="1"/>
          <w:color w:val="auto"/>
        </w:rPr>
        <w:t>Stock Plans</w:t>
      </w:r>
    </w:p>
    <w:p>
      <w:pPr>
        <w:ind w:right="20" w:firstLine="243"/>
        <w:spacing w:after="0" w:line="270" w:lineRule="auto"/>
        <w:rPr>
          <w:sz w:val="20"/>
          <w:szCs w:val="20"/>
          <w:color w:val="auto"/>
        </w:rPr>
      </w:pPr>
      <w:r>
        <w:rPr>
          <w:rFonts w:ascii="Arial" w:cs="Arial" w:eastAsia="Arial" w:hAnsi="Arial"/>
          <w:sz w:val="17"/>
          <w:szCs w:val="17"/>
          <w:color w:val="auto"/>
        </w:rPr>
        <w:t>In April 1995, the Company adopted the 1995 Stock Option Plan (the “Option Plan”). The Option Plan, as amended, had 147,575,484 shares of common stock reserved for issuance thereunder as of April 30, 2006. Options granted under the Option Plan generally have a term of ten years and generally must be issued at prices not less than 100% and 85% for incentive and nonqualified stock options, respectively, of the fair market value of the stock on the date of grant. Incentive stock options granted to shareholders who own greater than 10% of the outstanding stock are for periods not to exceed five years and must be issued at prices not less than 110% of the fair market value of the stock on the date of grant. The options generally vest 20% one year after the vesting commencement date, and the remaining shares vest one-sixtieth per month over the remaining forty-eight months. Options granted under the Option Plan prior to March 1, 2000 may be exercised prior to vesting. The Company has the right to repurchase such shares at their original purchase price if the optionee is terminated from service prior to vesting. Such right expires as the options vest over a five-year period. Options granted under the Option Plan subsequent to March 1, 2000 may only be exercised upon or after vesting.</w:t>
      </w:r>
    </w:p>
    <w:p>
      <w:pPr>
        <w:spacing w:after="0" w:line="182" w:lineRule="exact"/>
        <w:rPr>
          <w:sz w:val="20"/>
          <w:szCs w:val="20"/>
          <w:color w:val="auto"/>
        </w:rPr>
      </w:pPr>
    </w:p>
    <w:p>
      <w:pPr>
        <w:ind w:firstLine="243"/>
        <w:spacing w:after="0" w:line="272" w:lineRule="auto"/>
        <w:rPr>
          <w:sz w:val="20"/>
          <w:szCs w:val="20"/>
          <w:color w:val="auto"/>
        </w:rPr>
      </w:pPr>
      <w:r>
        <w:rPr>
          <w:rFonts w:ascii="Arial" w:cs="Arial" w:eastAsia="Arial" w:hAnsi="Arial"/>
          <w:sz w:val="17"/>
          <w:szCs w:val="17"/>
          <w:color w:val="auto"/>
        </w:rPr>
        <w:t>In August 1997, the Company adopted the 1997 Directors’ Stock Option Plan (the “Directors’ Plan”). The Directors’ Plan had 1,800,000 shares of common stock reserved thereunder as of April 30, 2006. Under the Directors’ Plan, an outside director is granted 30,000 options upon appointment to the Board of Directors. These options vest 20% one year after the vesting commencement date and remaining shares vest one-sixtieth per month over the remaining forty-eight months. An outside director is also granted 6,000 options on the date of each annual meeting of the shareholders. These options vest one-twelfth per month over twelve months after the fourth anniversary of the vesting commencement date. Options granted under the Directors’ Plan may be exercised prior to vesting. The Company has the right to repurchase such shares at their original purchase price if the director is terminated or resigns from the Board of Directors prior to vesting. Such right expires as the options vest over a five-year period.</w:t>
      </w:r>
    </w:p>
    <w:p>
      <w:pPr>
        <w:spacing w:after="0" w:line="3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225" w:lineRule="exact"/>
        <w:rPr>
          <w:sz w:val="20"/>
          <w:szCs w:val="20"/>
          <w:color w:val="auto"/>
        </w:rPr>
      </w:pPr>
    </w:p>
    <w:p>
      <w:pPr>
        <w:ind w:right="60" w:firstLine="243"/>
        <w:spacing w:after="0" w:line="291" w:lineRule="auto"/>
        <w:rPr>
          <w:sz w:val="20"/>
          <w:szCs w:val="20"/>
          <w:color w:val="auto"/>
        </w:rPr>
      </w:pPr>
      <w:r>
        <w:rPr>
          <w:rFonts w:ascii="Arial" w:cs="Arial" w:eastAsia="Arial" w:hAnsi="Arial"/>
          <w:sz w:val="16"/>
          <w:szCs w:val="16"/>
          <w:color w:val="auto"/>
        </w:rPr>
        <w:t>In June 2000, the Company adopted the 2000 Employee Stock Purchase Plan (the “Purchase Plan”). The Purchase Plan had 16,935,806 shares of common stock reserve for issuance thereunder as of April 30, 2006. Under the Purchase Plan, employees are granted the right to purchase shares of common stock at a price per share that is 85% of the lesser of the fair market value of the shares at (i) the participant’s entry date into the two-year offering period, or (ii) the end of each six-month purchase period within the offering period. Participants purchase stock using payroll deductions, which may not exceed 20% of their total cash compensation. Offering and purchase periods begin on December 1 and June 1 of each year. For the three months ended April 30, 2006, the stock-based compensation expense related to the activity under the Purchase Plan was $4.0 million. The Company did not issue any shares under the Purchase Plan in the three months ended April 30, 2006. As of April 30, 2006, there was $7.5 million of unrecognized compensation cost related to the Purchase Plan.</w:t>
      </w:r>
    </w:p>
    <w:p>
      <w:pPr>
        <w:sectPr>
          <w:pgSz w:w="11900" w:h="16838" w:orient="portrait"/>
          <w:cols w:equalWidth="0" w:num="1">
            <w:col w:w="11420"/>
          </w:cols>
          <w:pgMar w:left="240" w:top="125" w:right="239" w:bottom="0" w:gutter="0" w:footer="0" w:header="0"/>
        </w:sectPr>
      </w:pPr>
    </w:p>
    <w:bookmarkStart w:id="12" w:name="page13"/>
    <w:bookmarkEnd w:id="12"/>
    <w:p>
      <w:pPr>
        <w:ind w:right="240" w:firstLine="243"/>
        <w:spacing w:after="0" w:line="277" w:lineRule="auto"/>
        <w:rPr>
          <w:sz w:val="20"/>
          <w:szCs w:val="20"/>
          <w:color w:val="auto"/>
        </w:rPr>
      </w:pPr>
      <w:r>
        <w:rPr>
          <w:rFonts w:ascii="Arial" w:cs="Arial" w:eastAsia="Arial" w:hAnsi="Arial"/>
          <w:sz w:val="18"/>
          <w:szCs w:val="18"/>
          <w:color w:val="auto"/>
        </w:rPr>
        <w:t>Stock option activity under the Company’s stock option plans for the three months ended April 30, 2006 is summarized below (in thousands, except per share amounts):</w:t>
      </w:r>
    </w:p>
    <w:p>
      <w:pPr>
        <w:spacing w:after="0" w:line="13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4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00" w:type="dxa"/>
            <w:vAlign w:val="bottom"/>
            <w:gridSpan w:val="2"/>
            <w:vMerge w:val="restart"/>
          </w:tcPr>
          <w:p>
            <w:pPr>
              <w:jc w:val="center"/>
              <w:ind w:right="460"/>
              <w:spacing w:after="0"/>
              <w:rPr>
                <w:sz w:val="20"/>
                <w:szCs w:val="20"/>
                <w:color w:val="auto"/>
              </w:rPr>
            </w:pPr>
            <w:r>
              <w:rPr>
                <w:rFonts w:ascii="Arial" w:cs="Arial" w:eastAsia="Arial" w:hAnsi="Arial"/>
                <w:sz w:val="14"/>
                <w:szCs w:val="14"/>
                <w:b w:val="1"/>
                <w:bCs w:val="1"/>
                <w:color w:val="auto"/>
                <w:w w:val="91"/>
              </w:rPr>
              <w:t>Weighted</w:t>
            </w:r>
          </w:p>
        </w:tc>
        <w:tc>
          <w:tcPr>
            <w:tcW w:w="142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1"/>
              </w:rPr>
              <w:t>Weighted</w:t>
            </w:r>
          </w:p>
        </w:tc>
        <w:tc>
          <w:tcPr>
            <w:tcW w:w="10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5"/>
        </w:trPr>
        <w:tc>
          <w:tcPr>
            <w:tcW w:w="604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00" w:type="dxa"/>
            <w:vAlign w:val="bottom"/>
            <w:gridSpan w:val="2"/>
            <w:vMerge w:val="continue"/>
          </w:tcPr>
          <w:p>
            <w:pPr>
              <w:spacing w:after="0"/>
              <w:rPr>
                <w:sz w:val="11"/>
                <w:szCs w:val="11"/>
                <w:color w:val="auto"/>
              </w:rPr>
            </w:pPr>
          </w:p>
        </w:tc>
        <w:tc>
          <w:tcPr>
            <w:tcW w:w="1420" w:type="dxa"/>
            <w:vAlign w:val="bottom"/>
            <w:gridSpan w:val="2"/>
          </w:tcPr>
          <w:p>
            <w:pPr>
              <w:jc w:val="center"/>
              <w:ind w:right="280"/>
              <w:spacing w:after="0" w:line="135" w:lineRule="exact"/>
              <w:rPr>
                <w:sz w:val="20"/>
                <w:szCs w:val="20"/>
                <w:color w:val="auto"/>
              </w:rPr>
            </w:pPr>
            <w:r>
              <w:rPr>
                <w:rFonts w:ascii="Arial" w:cs="Arial" w:eastAsia="Arial" w:hAnsi="Arial"/>
                <w:sz w:val="14"/>
                <w:szCs w:val="14"/>
                <w:b w:val="1"/>
                <w:bCs w:val="1"/>
                <w:color w:val="auto"/>
                <w:w w:val="90"/>
              </w:rPr>
              <w:t>Average</w:t>
            </w:r>
          </w:p>
        </w:tc>
        <w:tc>
          <w:tcPr>
            <w:tcW w:w="100" w:type="dxa"/>
            <w:vAlign w:val="bottom"/>
          </w:tcPr>
          <w:p>
            <w:pPr>
              <w:spacing w:after="0"/>
              <w:rPr>
                <w:sz w:val="11"/>
                <w:szCs w:val="11"/>
                <w:color w:val="auto"/>
              </w:rPr>
            </w:pPr>
          </w:p>
        </w:tc>
        <w:tc>
          <w:tcPr>
            <w:tcW w:w="104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Aggregate</w:t>
            </w:r>
          </w:p>
        </w:tc>
        <w:tc>
          <w:tcPr>
            <w:tcW w:w="0" w:type="dxa"/>
            <w:vAlign w:val="bottom"/>
          </w:tcPr>
          <w:p>
            <w:pPr>
              <w:spacing w:after="0"/>
              <w:rPr>
                <w:sz w:val="1"/>
                <w:szCs w:val="1"/>
                <w:color w:val="auto"/>
              </w:rPr>
            </w:pPr>
          </w:p>
        </w:tc>
      </w:tr>
      <w:tr>
        <w:trPr>
          <w:trHeight w:val="135"/>
        </w:trPr>
        <w:tc>
          <w:tcPr>
            <w:tcW w:w="6040" w:type="dxa"/>
            <w:vAlign w:val="bottom"/>
          </w:tcPr>
          <w:p>
            <w:pPr>
              <w:spacing w:after="0"/>
              <w:rPr>
                <w:sz w:val="11"/>
                <w:szCs w:val="11"/>
                <w:color w:val="auto"/>
              </w:rPr>
            </w:pPr>
          </w:p>
        </w:tc>
        <w:tc>
          <w:tcPr>
            <w:tcW w:w="1320" w:type="dxa"/>
            <w:vAlign w:val="bottom"/>
            <w:gridSpan w:val="2"/>
            <w:vMerge w:val="restart"/>
          </w:tcPr>
          <w:p>
            <w:pPr>
              <w:jc w:val="center"/>
              <w:ind w:right="180"/>
              <w:spacing w:after="0"/>
              <w:rPr>
                <w:sz w:val="20"/>
                <w:szCs w:val="20"/>
                <w:color w:val="auto"/>
              </w:rPr>
            </w:pPr>
            <w:r>
              <w:rPr>
                <w:rFonts w:ascii="Arial" w:cs="Arial" w:eastAsia="Arial" w:hAnsi="Arial"/>
                <w:sz w:val="14"/>
                <w:szCs w:val="14"/>
                <w:b w:val="1"/>
                <w:bCs w:val="1"/>
                <w:color w:val="auto"/>
                <w:w w:val="94"/>
              </w:rPr>
              <w:t>Options</w:t>
            </w:r>
          </w:p>
        </w:tc>
        <w:tc>
          <w:tcPr>
            <w:tcW w:w="1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00" w:type="dxa"/>
            <w:vAlign w:val="bottom"/>
            <w:gridSpan w:val="2"/>
          </w:tcPr>
          <w:p>
            <w:pPr>
              <w:jc w:val="center"/>
              <w:ind w:right="460"/>
              <w:spacing w:after="0" w:line="135" w:lineRule="exact"/>
              <w:rPr>
                <w:sz w:val="20"/>
                <w:szCs w:val="20"/>
                <w:color w:val="auto"/>
              </w:rPr>
            </w:pPr>
            <w:r>
              <w:rPr>
                <w:rFonts w:ascii="Arial" w:cs="Arial" w:eastAsia="Arial" w:hAnsi="Arial"/>
                <w:sz w:val="14"/>
                <w:szCs w:val="14"/>
                <w:b w:val="1"/>
                <w:bCs w:val="1"/>
                <w:color w:val="auto"/>
                <w:w w:val="90"/>
              </w:rPr>
              <w:t>Average</w:t>
            </w:r>
          </w:p>
        </w:tc>
        <w:tc>
          <w:tcPr>
            <w:tcW w:w="1420" w:type="dxa"/>
            <w:vAlign w:val="bottom"/>
            <w:gridSpan w:val="2"/>
          </w:tcPr>
          <w:p>
            <w:pPr>
              <w:jc w:val="center"/>
              <w:ind w:right="280"/>
              <w:spacing w:after="0" w:line="135" w:lineRule="exact"/>
              <w:rPr>
                <w:sz w:val="20"/>
                <w:szCs w:val="20"/>
                <w:color w:val="auto"/>
              </w:rPr>
            </w:pPr>
            <w:r>
              <w:rPr>
                <w:rFonts w:ascii="Arial" w:cs="Arial" w:eastAsia="Arial" w:hAnsi="Arial"/>
                <w:sz w:val="14"/>
                <w:szCs w:val="14"/>
                <w:b w:val="1"/>
                <w:bCs w:val="1"/>
                <w:color w:val="auto"/>
                <w:w w:val="92"/>
              </w:rPr>
              <w:t>Remaining</w:t>
            </w:r>
          </w:p>
        </w:tc>
        <w:tc>
          <w:tcPr>
            <w:tcW w:w="100" w:type="dxa"/>
            <w:vAlign w:val="bottom"/>
          </w:tcPr>
          <w:p>
            <w:pPr>
              <w:spacing w:after="0"/>
              <w:rPr>
                <w:sz w:val="11"/>
                <w:szCs w:val="11"/>
                <w:color w:val="auto"/>
              </w:rPr>
            </w:pPr>
          </w:p>
        </w:tc>
        <w:tc>
          <w:tcPr>
            <w:tcW w:w="10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6040" w:type="dxa"/>
            <w:vAlign w:val="bottom"/>
          </w:tcPr>
          <w:p>
            <w:pPr>
              <w:spacing w:after="0"/>
              <w:rPr>
                <w:sz w:val="11"/>
                <w:szCs w:val="11"/>
                <w:color w:val="auto"/>
              </w:rPr>
            </w:pPr>
          </w:p>
        </w:tc>
        <w:tc>
          <w:tcPr>
            <w:tcW w:w="1320" w:type="dxa"/>
            <w:vAlign w:val="bottom"/>
            <w:gridSpan w:val="2"/>
            <w:vMerge w:val="continue"/>
          </w:tcPr>
          <w:p>
            <w:pPr>
              <w:spacing w:after="0"/>
              <w:rPr>
                <w:sz w:val="11"/>
                <w:szCs w:val="11"/>
                <w:color w:val="auto"/>
              </w:rPr>
            </w:pPr>
          </w:p>
        </w:tc>
        <w:tc>
          <w:tcPr>
            <w:tcW w:w="1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00" w:type="dxa"/>
            <w:vAlign w:val="bottom"/>
            <w:gridSpan w:val="2"/>
          </w:tcPr>
          <w:p>
            <w:pPr>
              <w:jc w:val="center"/>
              <w:ind w:right="460"/>
              <w:spacing w:after="0" w:line="135" w:lineRule="exact"/>
              <w:rPr>
                <w:sz w:val="20"/>
                <w:szCs w:val="20"/>
                <w:color w:val="auto"/>
              </w:rPr>
            </w:pPr>
            <w:r>
              <w:rPr>
                <w:rFonts w:ascii="Arial" w:cs="Arial" w:eastAsia="Arial" w:hAnsi="Arial"/>
                <w:sz w:val="14"/>
                <w:szCs w:val="14"/>
                <w:b w:val="1"/>
                <w:bCs w:val="1"/>
                <w:color w:val="auto"/>
                <w:w w:val="86"/>
              </w:rPr>
              <w:t>Exercise</w:t>
            </w:r>
          </w:p>
        </w:tc>
        <w:tc>
          <w:tcPr>
            <w:tcW w:w="1420" w:type="dxa"/>
            <w:vAlign w:val="bottom"/>
            <w:gridSpan w:val="2"/>
          </w:tcPr>
          <w:p>
            <w:pPr>
              <w:jc w:val="center"/>
              <w:ind w:right="280"/>
              <w:spacing w:after="0" w:line="135" w:lineRule="exact"/>
              <w:rPr>
                <w:sz w:val="20"/>
                <w:szCs w:val="20"/>
                <w:color w:val="auto"/>
              </w:rPr>
            </w:pPr>
            <w:r>
              <w:rPr>
                <w:rFonts w:ascii="Arial" w:cs="Arial" w:eastAsia="Arial" w:hAnsi="Arial"/>
                <w:sz w:val="14"/>
                <w:szCs w:val="14"/>
                <w:b w:val="1"/>
                <w:bCs w:val="1"/>
                <w:color w:val="auto"/>
                <w:w w:val="95"/>
              </w:rPr>
              <w:t>Contractual</w:t>
            </w:r>
          </w:p>
        </w:tc>
        <w:tc>
          <w:tcPr>
            <w:tcW w:w="100" w:type="dxa"/>
            <w:vAlign w:val="bottom"/>
          </w:tcPr>
          <w:p>
            <w:pPr>
              <w:spacing w:after="0"/>
              <w:rPr>
                <w:sz w:val="11"/>
                <w:szCs w:val="11"/>
                <w:color w:val="auto"/>
              </w:rPr>
            </w:pPr>
          </w:p>
        </w:tc>
        <w:tc>
          <w:tcPr>
            <w:tcW w:w="1040" w:type="dxa"/>
            <w:vAlign w:val="bottom"/>
            <w:gridSpan w:val="2"/>
          </w:tcPr>
          <w:p>
            <w:pPr>
              <w:jc w:val="center"/>
              <w:ind w:right="140"/>
              <w:spacing w:after="0" w:line="135" w:lineRule="exact"/>
              <w:rPr>
                <w:sz w:val="20"/>
                <w:szCs w:val="20"/>
                <w:color w:val="auto"/>
              </w:rPr>
            </w:pPr>
            <w:r>
              <w:rPr>
                <w:rFonts w:ascii="Arial" w:cs="Arial" w:eastAsia="Arial" w:hAnsi="Arial"/>
                <w:sz w:val="14"/>
                <w:szCs w:val="14"/>
                <w:b w:val="1"/>
                <w:bCs w:val="1"/>
                <w:color w:val="auto"/>
                <w:w w:val="99"/>
              </w:rPr>
              <w:t>Intrinsic</w:t>
            </w:r>
          </w:p>
        </w:tc>
        <w:tc>
          <w:tcPr>
            <w:tcW w:w="0" w:type="dxa"/>
            <w:vAlign w:val="bottom"/>
          </w:tcPr>
          <w:p>
            <w:pPr>
              <w:spacing w:after="0"/>
              <w:rPr>
                <w:sz w:val="1"/>
                <w:szCs w:val="1"/>
                <w:color w:val="auto"/>
              </w:rPr>
            </w:pPr>
          </w:p>
        </w:tc>
      </w:tr>
      <w:tr>
        <w:trPr>
          <w:trHeight w:val="162"/>
        </w:trPr>
        <w:tc>
          <w:tcPr>
            <w:tcW w:w="6040" w:type="dxa"/>
            <w:vAlign w:val="bottom"/>
          </w:tcPr>
          <w:p>
            <w:pPr>
              <w:spacing w:after="0"/>
              <w:rPr>
                <w:sz w:val="14"/>
                <w:szCs w:val="14"/>
                <w:color w:val="auto"/>
              </w:rPr>
            </w:pPr>
          </w:p>
        </w:tc>
        <w:tc>
          <w:tcPr>
            <w:tcW w:w="132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94"/>
              </w:rPr>
              <w:t>Outstanding</w:t>
            </w:r>
          </w:p>
        </w:tc>
        <w:tc>
          <w:tcPr>
            <w:tcW w:w="1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0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93"/>
              </w:rPr>
              <w:t>Price</w:t>
            </w:r>
          </w:p>
        </w:tc>
        <w:tc>
          <w:tcPr>
            <w:tcW w:w="142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9"/>
              </w:rPr>
              <w:t>Term</w:t>
            </w:r>
          </w:p>
        </w:tc>
        <w:tc>
          <w:tcPr>
            <w:tcW w:w="100" w:type="dxa"/>
            <w:vAlign w:val="bottom"/>
          </w:tcPr>
          <w:p>
            <w:pPr>
              <w:spacing w:after="0"/>
              <w:rPr>
                <w:sz w:val="14"/>
                <w:szCs w:val="14"/>
                <w:color w:val="auto"/>
              </w:rPr>
            </w:pPr>
          </w:p>
        </w:tc>
        <w:tc>
          <w:tcPr>
            <w:tcW w:w="104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90"/>
              </w:rPr>
              <w:t>Value</w:t>
            </w:r>
          </w:p>
        </w:tc>
        <w:tc>
          <w:tcPr>
            <w:tcW w:w="0" w:type="dxa"/>
            <w:vAlign w:val="bottom"/>
          </w:tcPr>
          <w:p>
            <w:pPr>
              <w:spacing w:after="0"/>
              <w:rPr>
                <w:sz w:val="1"/>
                <w:szCs w:val="1"/>
                <w:color w:val="auto"/>
              </w:rPr>
            </w:pPr>
          </w:p>
        </w:tc>
      </w:tr>
      <w:tr>
        <w:trPr>
          <w:trHeight w:val="129"/>
        </w:trPr>
        <w:tc>
          <w:tcPr>
            <w:tcW w:w="6040" w:type="dxa"/>
            <w:vAlign w:val="bottom"/>
          </w:tcPr>
          <w:p>
            <w:pPr>
              <w:spacing w:after="0"/>
              <w:rPr>
                <w:sz w:val="11"/>
                <w:szCs w:val="11"/>
                <w:color w:val="auto"/>
              </w:rPr>
            </w:pPr>
          </w:p>
        </w:tc>
        <w:tc>
          <w:tcPr>
            <w:tcW w:w="11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(In thousands)</w:t>
            </w:r>
          </w:p>
        </w:tc>
        <w:tc>
          <w:tcPr>
            <w:tcW w:w="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940" w:type="dxa"/>
            <w:vAlign w:val="bottom"/>
            <w:tcBorders>
              <w:top w:val="single" w:sz="8" w:color="auto"/>
            </w:tcBorders>
          </w:tcPr>
          <w:p>
            <w:pPr>
              <w:spacing w:after="0"/>
              <w:rPr>
                <w:sz w:val="11"/>
                <w:szCs w:val="11"/>
                <w:color w:val="auto"/>
              </w:rPr>
            </w:pPr>
          </w:p>
        </w:tc>
        <w:tc>
          <w:tcPr>
            <w:tcW w:w="260" w:type="dxa"/>
            <w:vAlign w:val="bottom"/>
          </w:tcPr>
          <w:p>
            <w:pPr>
              <w:spacing w:after="0"/>
              <w:rPr>
                <w:sz w:val="11"/>
                <w:szCs w:val="11"/>
                <w:color w:val="auto"/>
              </w:rPr>
            </w:pPr>
          </w:p>
        </w:tc>
        <w:tc>
          <w:tcPr>
            <w:tcW w:w="1140" w:type="dxa"/>
            <w:vAlign w:val="bottom"/>
            <w:tcBorders>
              <w:top w:val="single" w:sz="8" w:color="auto"/>
            </w:tcBorders>
          </w:tcPr>
          <w:p>
            <w:pPr>
              <w:spacing w:after="0"/>
              <w:rPr>
                <w:sz w:val="11"/>
                <w:szCs w:val="11"/>
                <w:color w:val="auto"/>
              </w:rPr>
            </w:pPr>
          </w:p>
        </w:tc>
        <w:tc>
          <w:tcPr>
            <w:tcW w:w="28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020" w:type="dxa"/>
            <w:vAlign w:val="bottom"/>
            <w:tcBorders>
              <w:top w:val="single" w:sz="8" w:color="auto"/>
            </w:tcBorders>
          </w:tcPr>
          <w:p>
            <w:pPr>
              <w:jc w:val="center"/>
              <w:ind w:right="44"/>
              <w:spacing w:after="0" w:line="129" w:lineRule="exact"/>
              <w:rPr>
                <w:sz w:val="20"/>
                <w:szCs w:val="20"/>
                <w:color w:val="auto"/>
              </w:rPr>
            </w:pPr>
            <w:r>
              <w:rPr>
                <w:rFonts w:ascii="Arial" w:cs="Arial" w:eastAsia="Arial" w:hAnsi="Arial"/>
                <w:sz w:val="14"/>
                <w:szCs w:val="14"/>
                <w:b w:val="1"/>
                <w:bCs w:val="1"/>
                <w:color w:val="auto"/>
                <w:w w:val="93"/>
              </w:rPr>
              <w:t>(In thousands)</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604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31, 2006</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47,122</w:t>
            </w:r>
          </w:p>
        </w:tc>
        <w:tc>
          <w:tcPr>
            <w:tcW w:w="160" w:type="dxa"/>
            <w:vAlign w:val="bottom"/>
            <w:shd w:val="clear" w:color="auto" w:fill="CCEEFF"/>
          </w:tcPr>
          <w:p>
            <w:pPr>
              <w:spacing w:after="0"/>
              <w:rPr>
                <w:sz w:val="18"/>
                <w:szCs w:val="18"/>
                <w:color w:val="auto"/>
              </w:rPr>
            </w:pPr>
          </w:p>
        </w:tc>
        <w:tc>
          <w:tcPr>
            <w:tcW w:w="3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19.77</w:t>
            </w:r>
          </w:p>
        </w:tc>
        <w:tc>
          <w:tcPr>
            <w:tcW w:w="26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40" w:type="dxa"/>
            <w:vAlign w:val="bottom"/>
          </w:tcPr>
          <w:p>
            <w:pPr>
              <w:ind w:left="180"/>
              <w:spacing w:after="0"/>
              <w:rPr>
                <w:sz w:val="20"/>
                <w:szCs w:val="20"/>
                <w:color w:val="auto"/>
              </w:rPr>
            </w:pPr>
            <w:r>
              <w:rPr>
                <w:rFonts w:ascii="Arial" w:cs="Arial" w:eastAsia="Arial" w:hAnsi="Arial"/>
                <w:sz w:val="18"/>
                <w:szCs w:val="18"/>
                <w:color w:val="auto"/>
              </w:rPr>
              <w:t>Options granted</w:t>
            </w:r>
          </w:p>
        </w:tc>
        <w:tc>
          <w:tcPr>
            <w:tcW w:w="1160" w:type="dxa"/>
            <w:vAlign w:val="bottom"/>
          </w:tcPr>
          <w:p>
            <w:pPr>
              <w:jc w:val="right"/>
              <w:spacing w:after="0"/>
              <w:rPr>
                <w:sz w:val="20"/>
                <w:szCs w:val="20"/>
                <w:color w:val="auto"/>
              </w:rPr>
            </w:pPr>
            <w:r>
              <w:rPr>
                <w:rFonts w:ascii="Arial" w:cs="Arial" w:eastAsia="Arial" w:hAnsi="Arial"/>
                <w:sz w:val="18"/>
                <w:szCs w:val="18"/>
                <w:color w:val="auto"/>
              </w:rPr>
              <w:t>5,494</w:t>
            </w:r>
          </w:p>
        </w:tc>
        <w:tc>
          <w:tcPr>
            <w:tcW w:w="160" w:type="dxa"/>
            <w:vAlign w:val="bottom"/>
          </w:tcPr>
          <w:p>
            <w:pPr>
              <w:spacing w:after="0"/>
              <w:rPr>
                <w:sz w:val="18"/>
                <w:szCs w:val="18"/>
                <w:color w:val="auto"/>
              </w:rPr>
            </w:pPr>
          </w:p>
        </w:tc>
        <w:tc>
          <w:tcPr>
            <w:tcW w:w="3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57.38</w:t>
            </w:r>
          </w:p>
        </w:tc>
        <w:tc>
          <w:tcPr>
            <w:tcW w:w="2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Options forfeited/canceled/expired</w:t>
            </w:r>
          </w:p>
        </w:tc>
        <w:tc>
          <w:tcPr>
            <w:tcW w:w="13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(595)</w:t>
            </w:r>
          </w:p>
        </w:tc>
        <w:tc>
          <w:tcPr>
            <w:tcW w:w="3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25.43</w:t>
            </w:r>
          </w:p>
        </w:tc>
        <w:tc>
          <w:tcPr>
            <w:tcW w:w="26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40" w:type="dxa"/>
            <w:vAlign w:val="bottom"/>
          </w:tcPr>
          <w:p>
            <w:pPr>
              <w:ind w:left="180"/>
              <w:spacing w:after="0"/>
              <w:rPr>
                <w:sz w:val="20"/>
                <w:szCs w:val="20"/>
                <w:color w:val="auto"/>
              </w:rPr>
            </w:pPr>
            <w:r>
              <w:rPr>
                <w:rFonts w:ascii="Arial" w:cs="Arial" w:eastAsia="Arial" w:hAnsi="Arial"/>
                <w:sz w:val="18"/>
                <w:szCs w:val="18"/>
                <w:color w:val="auto"/>
              </w:rPr>
              <w:t>Options exercised</w:t>
            </w:r>
          </w:p>
        </w:tc>
        <w:tc>
          <w:tcPr>
            <w:tcW w:w="1320" w:type="dxa"/>
            <w:vAlign w:val="bottom"/>
            <w:gridSpan w:val="2"/>
          </w:tcPr>
          <w:p>
            <w:pPr>
              <w:jc w:val="right"/>
              <w:ind w:right="100"/>
              <w:spacing w:after="0"/>
              <w:rPr>
                <w:sz w:val="20"/>
                <w:szCs w:val="20"/>
                <w:color w:val="auto"/>
              </w:rPr>
            </w:pPr>
            <w:r>
              <w:rPr>
                <w:rFonts w:ascii="Arial" w:cs="Arial" w:eastAsia="Arial" w:hAnsi="Arial"/>
                <w:sz w:val="18"/>
                <w:szCs w:val="18"/>
                <w:color w:val="auto"/>
              </w:rPr>
              <w:t>(982)</w:t>
            </w:r>
          </w:p>
        </w:tc>
        <w:tc>
          <w:tcPr>
            <w:tcW w:w="3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11.11</w:t>
            </w:r>
          </w:p>
        </w:tc>
        <w:tc>
          <w:tcPr>
            <w:tcW w:w="2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604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April 30, 2006</w:t>
            </w: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51,039</w:t>
            </w: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300" w:type="dxa"/>
            <w:vAlign w:val="bottom"/>
            <w:tcBorders>
              <w:top w:val="single" w:sz="8" w:color="CCEEFF"/>
              <w:bottom w:val="single" w:sz="8" w:color="CCEEFF"/>
            </w:tcBorders>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4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23.91</w:t>
            </w:r>
          </w:p>
        </w:tc>
        <w:tc>
          <w:tcPr>
            <w:tcW w:w="260" w:type="dxa"/>
            <w:vAlign w:val="bottom"/>
            <w:tcBorders>
              <w:top w:val="single" w:sz="8" w:color="CCEEFF"/>
              <w:bottom w:val="single" w:sz="8" w:color="CCEEFF"/>
            </w:tcBorders>
            <w:shd w:val="clear" w:color="auto" w:fill="CCEEFF"/>
          </w:tcPr>
          <w:p>
            <w:pPr>
              <w:spacing w:after="0"/>
              <w:rPr>
                <w:sz w:val="18"/>
                <w:szCs w:val="18"/>
                <w:color w:val="auto"/>
              </w:rPr>
            </w:pPr>
          </w:p>
        </w:tc>
        <w:tc>
          <w:tcPr>
            <w:tcW w:w="1140" w:type="dxa"/>
            <w:vAlign w:val="bottom"/>
            <w:tcBorders>
              <w:top w:val="single" w:sz="8" w:color="CCEEFF"/>
              <w:bottom w:val="single" w:sz="8" w:color="CCEEFF"/>
            </w:tcBorders>
            <w:shd w:val="clear" w:color="auto" w:fill="CCEEFF"/>
          </w:tcPr>
          <w:p>
            <w:pPr>
              <w:spacing w:after="0"/>
              <w:rPr>
                <w:sz w:val="18"/>
                <w:szCs w:val="18"/>
                <w:color w:val="auto"/>
              </w:rPr>
            </w:pP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02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040" w:type="dxa"/>
            <w:vAlign w:val="bottom"/>
            <w:vMerge w:val="restart"/>
          </w:tcPr>
          <w:p>
            <w:pPr>
              <w:spacing w:after="0"/>
              <w:rPr>
                <w:sz w:val="20"/>
                <w:szCs w:val="20"/>
                <w:color w:val="auto"/>
              </w:rPr>
            </w:pPr>
            <w:r>
              <w:rPr>
                <w:rFonts w:ascii="Arial" w:cs="Arial" w:eastAsia="Arial" w:hAnsi="Arial"/>
                <w:sz w:val="18"/>
                <w:szCs w:val="18"/>
                <w:color w:val="auto"/>
              </w:rPr>
              <w:t>Vested or expected to vest at April 30, 2006</w:t>
            </w:r>
          </w:p>
        </w:tc>
        <w:tc>
          <w:tcPr>
            <w:tcW w:w="116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gridSpan w:val="2"/>
            <w:vMerge w:val="restart"/>
          </w:tcPr>
          <w:p>
            <w:pPr>
              <w:jc w:val="right"/>
              <w:ind w:right="100"/>
              <w:spacing w:after="0"/>
              <w:rPr>
                <w:sz w:val="20"/>
                <w:szCs w:val="20"/>
                <w:color w:val="auto"/>
              </w:rPr>
            </w:pPr>
            <w:r>
              <w:rPr>
                <w:rFonts w:ascii="Arial" w:cs="Arial" w:eastAsia="Arial" w:hAnsi="Arial"/>
                <w:sz w:val="18"/>
                <w:szCs w:val="18"/>
                <w:color w:val="auto"/>
              </w:rPr>
              <w:t>$</w:t>
            </w:r>
          </w:p>
        </w:tc>
        <w:tc>
          <w:tcPr>
            <w:tcW w:w="940" w:type="dxa"/>
            <w:vAlign w:val="bottom"/>
            <w:vMerge w:val="restart"/>
          </w:tcPr>
          <w:p>
            <w:pPr>
              <w:jc w:val="right"/>
              <w:spacing w:after="0"/>
              <w:rPr>
                <w:sz w:val="20"/>
                <w:szCs w:val="20"/>
                <w:color w:val="auto"/>
              </w:rPr>
            </w:pPr>
            <w:r>
              <w:rPr>
                <w:rFonts w:ascii="Arial" w:cs="Arial" w:eastAsia="Arial" w:hAnsi="Arial"/>
                <w:sz w:val="18"/>
                <w:szCs w:val="18"/>
                <w:color w:val="auto"/>
              </w:rPr>
              <w:t>23.24</w:t>
            </w:r>
          </w:p>
        </w:tc>
        <w:tc>
          <w:tcPr>
            <w:tcW w:w="260" w:type="dxa"/>
            <w:vAlign w:val="bottom"/>
          </w:tcPr>
          <w:p>
            <w:pPr>
              <w:spacing w:after="0" w:line="20" w:lineRule="exact"/>
              <w:rPr>
                <w:sz w:val="1"/>
                <w:szCs w:val="1"/>
                <w:color w:val="auto"/>
              </w:rPr>
            </w:pPr>
          </w:p>
        </w:tc>
        <w:tc>
          <w:tcPr>
            <w:tcW w:w="1140" w:type="dxa"/>
            <w:vAlign w:val="bottom"/>
            <w:vMerge w:val="restart"/>
          </w:tcPr>
          <w:p>
            <w:pPr>
              <w:jc w:val="right"/>
              <w:spacing w:after="0"/>
              <w:rPr>
                <w:sz w:val="20"/>
                <w:szCs w:val="20"/>
                <w:color w:val="auto"/>
              </w:rPr>
            </w:pPr>
            <w:r>
              <w:rPr>
                <w:rFonts w:ascii="Arial" w:cs="Arial" w:eastAsia="Arial" w:hAnsi="Arial"/>
                <w:sz w:val="18"/>
                <w:szCs w:val="18"/>
                <w:color w:val="auto"/>
              </w:rPr>
              <w:t>7.34</w:t>
            </w:r>
          </w:p>
        </w:tc>
        <w:tc>
          <w:tcPr>
            <w:tcW w:w="280" w:type="dxa"/>
            <w:vAlign w:val="bottom"/>
          </w:tcPr>
          <w:p>
            <w:pPr>
              <w:spacing w:after="0" w:line="20" w:lineRule="exact"/>
              <w:rPr>
                <w:sz w:val="1"/>
                <w:szCs w:val="1"/>
                <w:color w:val="auto"/>
              </w:rPr>
            </w:pPr>
          </w:p>
        </w:tc>
        <w:tc>
          <w:tcPr>
            <w:tcW w:w="100" w:type="dxa"/>
            <w:vAlign w:val="bottom"/>
            <w:vMerge w:val="restart"/>
          </w:tcPr>
          <w:p>
            <w:pPr>
              <w:jc w:val="right"/>
              <w:spacing w:after="0"/>
              <w:rPr>
                <w:sz w:val="20"/>
                <w:szCs w:val="20"/>
                <w:color w:val="auto"/>
              </w:rPr>
            </w:pPr>
            <w:r>
              <w:rPr>
                <w:rFonts w:ascii="Arial" w:cs="Arial" w:eastAsia="Arial" w:hAnsi="Arial"/>
                <w:sz w:val="15"/>
                <w:szCs w:val="15"/>
                <w:color w:val="auto"/>
                <w:w w:val="71"/>
              </w:rPr>
              <w:t>$</w:t>
            </w:r>
          </w:p>
        </w:tc>
        <w:tc>
          <w:tcPr>
            <w:tcW w:w="1020" w:type="dxa"/>
            <w:vAlign w:val="bottom"/>
            <w:vMerge w:val="restart"/>
          </w:tcPr>
          <w:p>
            <w:pPr>
              <w:jc w:val="right"/>
              <w:spacing w:after="0"/>
              <w:rPr>
                <w:sz w:val="20"/>
                <w:szCs w:val="20"/>
                <w:color w:val="auto"/>
              </w:rPr>
            </w:pPr>
            <w:r>
              <w:rPr>
                <w:rFonts w:ascii="Arial" w:cs="Arial" w:eastAsia="Arial" w:hAnsi="Arial"/>
                <w:sz w:val="18"/>
                <w:szCs w:val="18"/>
                <w:color w:val="auto"/>
              </w:rPr>
              <w:t>1,646,715</w:t>
            </w: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7"/>
        </w:trPr>
        <w:tc>
          <w:tcPr>
            <w:tcW w:w="6040" w:type="dxa"/>
            <w:vAlign w:val="bottom"/>
            <w:vMerge w:val="continue"/>
          </w:tcPr>
          <w:p>
            <w:pPr>
              <w:spacing w:after="0"/>
              <w:rPr>
                <w:sz w:val="20"/>
                <w:szCs w:val="20"/>
                <w:color w:val="auto"/>
              </w:rPr>
            </w:pPr>
          </w:p>
        </w:tc>
        <w:tc>
          <w:tcPr>
            <w:tcW w:w="116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48,247</w:t>
            </w:r>
          </w:p>
        </w:tc>
        <w:tc>
          <w:tcPr>
            <w:tcW w:w="160" w:type="dxa"/>
            <w:vAlign w:val="bottom"/>
          </w:tcPr>
          <w:p>
            <w:pPr>
              <w:spacing w:after="0"/>
              <w:rPr>
                <w:sz w:val="20"/>
                <w:szCs w:val="20"/>
                <w:color w:val="auto"/>
              </w:rPr>
            </w:pPr>
          </w:p>
        </w:tc>
        <w:tc>
          <w:tcPr>
            <w:tcW w:w="300" w:type="dxa"/>
            <w:vAlign w:val="bottom"/>
            <w:gridSpan w:val="2"/>
            <w:vMerge w:val="continue"/>
          </w:tcPr>
          <w:p>
            <w:pPr>
              <w:spacing w:after="0"/>
              <w:rPr>
                <w:sz w:val="20"/>
                <w:szCs w:val="20"/>
                <w:color w:val="auto"/>
              </w:rPr>
            </w:pPr>
          </w:p>
        </w:tc>
        <w:tc>
          <w:tcPr>
            <w:tcW w:w="940" w:type="dxa"/>
            <w:vAlign w:val="bottom"/>
            <w:vMerge w:val="continue"/>
          </w:tcPr>
          <w:p>
            <w:pPr>
              <w:spacing w:after="0"/>
              <w:rPr>
                <w:sz w:val="20"/>
                <w:szCs w:val="20"/>
                <w:color w:val="auto"/>
              </w:rPr>
            </w:pPr>
          </w:p>
        </w:tc>
        <w:tc>
          <w:tcPr>
            <w:tcW w:w="260" w:type="dxa"/>
            <w:vAlign w:val="bottom"/>
          </w:tcPr>
          <w:p>
            <w:pPr>
              <w:spacing w:after="0"/>
              <w:rPr>
                <w:sz w:val="20"/>
                <w:szCs w:val="20"/>
                <w:color w:val="auto"/>
              </w:rPr>
            </w:pPr>
          </w:p>
        </w:tc>
        <w:tc>
          <w:tcPr>
            <w:tcW w:w="1140" w:type="dxa"/>
            <w:vAlign w:val="bottom"/>
            <w:vMerge w:val="continue"/>
          </w:tcPr>
          <w:p>
            <w:pPr>
              <w:spacing w:after="0"/>
              <w:rPr>
                <w:sz w:val="20"/>
                <w:szCs w:val="20"/>
                <w:color w:val="auto"/>
              </w:rPr>
            </w:pPr>
          </w:p>
        </w:tc>
        <w:tc>
          <w:tcPr>
            <w:tcW w:w="280" w:type="dxa"/>
            <w:vAlign w:val="bottom"/>
          </w:tcPr>
          <w:p>
            <w:pPr>
              <w:spacing w:after="0"/>
              <w:rPr>
                <w:sz w:val="20"/>
                <w:szCs w:val="20"/>
                <w:color w:val="auto"/>
              </w:rPr>
            </w:pPr>
          </w:p>
        </w:tc>
        <w:tc>
          <w:tcPr>
            <w:tcW w:w="100" w:type="dxa"/>
            <w:vAlign w:val="bottom"/>
            <w:tcBorders>
              <w:bottom w:val="single" w:sz="8" w:color="auto"/>
            </w:tcBorders>
            <w:vMerge w:val="continue"/>
          </w:tcPr>
          <w:p>
            <w:pPr>
              <w:spacing w:after="0"/>
              <w:rPr>
                <w:sz w:val="20"/>
                <w:szCs w:val="20"/>
                <w:color w:val="auto"/>
              </w:rPr>
            </w:pPr>
          </w:p>
        </w:tc>
        <w:tc>
          <w:tcPr>
            <w:tcW w:w="1020" w:type="dxa"/>
            <w:vAlign w:val="bottom"/>
            <w:tcBorders>
              <w:bottom w:val="single" w:sz="8" w:color="auto"/>
            </w:tcBorders>
            <w:vMerge w:val="continue"/>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56" w:lineRule="exact"/>
        <w:rPr>
          <w:sz w:val="20"/>
          <w:szCs w:val="20"/>
          <w:color w:val="auto"/>
        </w:rPr>
      </w:pPr>
    </w:p>
    <w:p>
      <w:pPr>
        <w:jc w:val="both"/>
        <w:ind w:right="80" w:firstLine="243"/>
        <w:spacing w:after="0" w:line="279" w:lineRule="auto"/>
        <w:rPr>
          <w:sz w:val="20"/>
          <w:szCs w:val="20"/>
          <w:color w:val="auto"/>
        </w:rPr>
      </w:pPr>
      <w:r>
        <w:rPr>
          <w:rFonts w:ascii="Arial" w:cs="Arial" w:eastAsia="Arial" w:hAnsi="Arial"/>
          <w:sz w:val="17"/>
          <w:szCs w:val="17"/>
          <w:color w:val="auto"/>
        </w:rPr>
        <w:t>The aggregate intrinsic value in the table below represents the total pretax intrinsic value (the aggregate difference between the closing stock price of the Company’s common stock on April 28, 2006 of $57.09 and the exercise price for in-the-money options) that would have been received by the option holders if all options had been exercised on April 30, 2006. The total intrinsic value of options exercised in the three months ended April 30, 2006 was $47.4 million. Cash received from option exercises for the three months ended April 30, 2006 was $10.9 million.</w:t>
      </w:r>
    </w:p>
    <w:p>
      <w:pPr>
        <w:spacing w:after="0" w:line="16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980" w:type="dxa"/>
            <w:vAlign w:val="bottom"/>
          </w:tcPr>
          <w:p>
            <w:pPr>
              <w:spacing w:after="0"/>
              <w:rPr>
                <w:sz w:val="14"/>
                <w:szCs w:val="14"/>
                <w:color w:val="auto"/>
              </w:rPr>
            </w:pPr>
          </w:p>
        </w:tc>
        <w:tc>
          <w:tcPr>
            <w:tcW w:w="110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2480" w:type="dxa"/>
            <w:vAlign w:val="bottom"/>
            <w:tcBorders>
              <w:bottom w:val="single" w:sz="8" w:color="auto"/>
            </w:tcBorders>
            <w:gridSpan w:val="4"/>
          </w:tcPr>
          <w:p>
            <w:pPr>
              <w:jc w:val="right"/>
              <w:ind w:right="559"/>
              <w:spacing w:after="0"/>
              <w:rPr>
                <w:sz w:val="20"/>
                <w:szCs w:val="20"/>
                <w:color w:val="auto"/>
              </w:rPr>
            </w:pPr>
            <w:r>
              <w:rPr>
                <w:rFonts w:ascii="Arial" w:cs="Arial" w:eastAsia="Arial" w:hAnsi="Arial"/>
                <w:sz w:val="14"/>
                <w:szCs w:val="14"/>
                <w:b w:val="1"/>
                <w:bCs w:val="1"/>
                <w:color w:val="auto"/>
              </w:rPr>
              <w:t>Options Outstanding</w:t>
            </w:r>
          </w:p>
        </w:tc>
        <w:tc>
          <w:tcPr>
            <w:tcW w:w="2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spacing w:after="0"/>
              <w:rPr>
                <w:sz w:val="14"/>
                <w:szCs w:val="14"/>
                <w:color w:val="auto"/>
              </w:rPr>
            </w:pPr>
          </w:p>
        </w:tc>
        <w:tc>
          <w:tcPr>
            <w:tcW w:w="260" w:type="dxa"/>
            <w:vAlign w:val="bottom"/>
          </w:tcPr>
          <w:p>
            <w:pPr>
              <w:spacing w:after="0"/>
              <w:rPr>
                <w:sz w:val="14"/>
                <w:szCs w:val="14"/>
                <w:color w:val="auto"/>
              </w:rPr>
            </w:pPr>
          </w:p>
        </w:tc>
        <w:tc>
          <w:tcPr>
            <w:tcW w:w="1140" w:type="dxa"/>
            <w:vAlign w:val="bottom"/>
            <w:tcBorders>
              <w:bottom w:val="single" w:sz="8" w:color="auto"/>
            </w:tcBorders>
          </w:tcPr>
          <w:p>
            <w:pPr>
              <w:spacing w:after="0"/>
              <w:rPr>
                <w:sz w:val="14"/>
                <w:szCs w:val="14"/>
                <w:color w:val="auto"/>
              </w:rPr>
            </w:pPr>
          </w:p>
        </w:tc>
        <w:tc>
          <w:tcPr>
            <w:tcW w:w="1640" w:type="dxa"/>
            <w:vAlign w:val="bottom"/>
            <w:tcBorders>
              <w:bottom w:val="single" w:sz="8" w:color="auto"/>
            </w:tcBorders>
            <w:gridSpan w:val="4"/>
          </w:tcPr>
          <w:p>
            <w:pPr>
              <w:jc w:val="center"/>
              <w:ind w:right="20"/>
              <w:spacing w:after="0"/>
              <w:rPr>
                <w:sz w:val="20"/>
                <w:szCs w:val="20"/>
                <w:color w:val="auto"/>
              </w:rPr>
            </w:pPr>
            <w:r>
              <w:rPr>
                <w:rFonts w:ascii="Arial" w:cs="Arial" w:eastAsia="Arial" w:hAnsi="Arial"/>
                <w:sz w:val="14"/>
                <w:szCs w:val="14"/>
                <w:b w:val="1"/>
                <w:bCs w:val="1"/>
                <w:color w:val="auto"/>
                <w:w w:val="84"/>
              </w:rPr>
              <w:t>Options Exercisable</w:t>
            </w:r>
          </w:p>
        </w:tc>
        <w:tc>
          <w:tcPr>
            <w:tcW w:w="100" w:type="dxa"/>
            <w:vAlign w:val="bottom"/>
            <w:tcBorders>
              <w:bottom w:val="single" w:sz="8" w:color="auto"/>
            </w:tcBorders>
          </w:tcPr>
          <w:p>
            <w:pPr>
              <w:spacing w:after="0"/>
              <w:rPr>
                <w:sz w:val="14"/>
                <w:szCs w:val="14"/>
                <w:color w:val="auto"/>
              </w:rPr>
            </w:pPr>
          </w:p>
        </w:tc>
        <w:tc>
          <w:tcPr>
            <w:tcW w:w="1020" w:type="dxa"/>
            <w:vAlign w:val="bottom"/>
            <w:tcBorders>
              <w:bottom w:val="single" w:sz="8" w:color="auto"/>
            </w:tcBorders>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1980" w:type="dxa"/>
            <w:vAlign w:val="bottom"/>
          </w:tcPr>
          <w:p>
            <w:pPr>
              <w:spacing w:after="0"/>
              <w:rPr>
                <w:sz w:val="8"/>
                <w:szCs w:val="8"/>
                <w:color w:val="auto"/>
              </w:rPr>
            </w:pPr>
          </w:p>
        </w:tc>
        <w:tc>
          <w:tcPr>
            <w:tcW w:w="1100" w:type="dxa"/>
            <w:vAlign w:val="bottom"/>
          </w:tcPr>
          <w:p>
            <w:pPr>
              <w:spacing w:after="0"/>
              <w:rPr>
                <w:sz w:val="8"/>
                <w:szCs w:val="8"/>
                <w:color w:val="auto"/>
              </w:rPr>
            </w:pPr>
          </w:p>
        </w:tc>
        <w:tc>
          <w:tcPr>
            <w:tcW w:w="280" w:type="dxa"/>
            <w:vAlign w:val="bottom"/>
          </w:tcPr>
          <w:p>
            <w:pPr>
              <w:spacing w:after="0"/>
              <w:rPr>
                <w:sz w:val="8"/>
                <w:szCs w:val="8"/>
                <w:color w:val="auto"/>
              </w:rPr>
            </w:pPr>
          </w:p>
        </w:tc>
        <w:tc>
          <w:tcPr>
            <w:tcW w:w="1100" w:type="dxa"/>
            <w:vAlign w:val="bottom"/>
          </w:tcPr>
          <w:p>
            <w:pPr>
              <w:jc w:val="center"/>
              <w:spacing w:after="0" w:line="103" w:lineRule="exact"/>
              <w:rPr>
                <w:sz w:val="20"/>
                <w:szCs w:val="20"/>
                <w:color w:val="auto"/>
              </w:rPr>
            </w:pPr>
            <w:r>
              <w:rPr>
                <w:rFonts w:ascii="Arial" w:cs="Arial" w:eastAsia="Arial" w:hAnsi="Arial"/>
                <w:sz w:val="11"/>
                <w:szCs w:val="11"/>
                <w:b w:val="1"/>
                <w:bCs w:val="1"/>
                <w:color w:val="auto"/>
              </w:rPr>
              <w:t>Weighted</w:t>
            </w:r>
          </w:p>
        </w:tc>
        <w:tc>
          <w:tcPr>
            <w:tcW w:w="280" w:type="dxa"/>
            <w:vAlign w:val="bottom"/>
          </w:tcPr>
          <w:p>
            <w:pPr>
              <w:spacing w:after="0"/>
              <w:rPr>
                <w:sz w:val="8"/>
                <w:szCs w:val="8"/>
                <w:color w:val="auto"/>
              </w:rPr>
            </w:pPr>
          </w:p>
        </w:tc>
        <w:tc>
          <w:tcPr>
            <w:tcW w:w="180" w:type="dxa"/>
            <w:vAlign w:val="bottom"/>
          </w:tcPr>
          <w:p>
            <w:pPr>
              <w:spacing w:after="0"/>
              <w:rPr>
                <w:sz w:val="8"/>
                <w:szCs w:val="8"/>
                <w:color w:val="auto"/>
              </w:rPr>
            </w:pPr>
          </w:p>
        </w:tc>
        <w:tc>
          <w:tcPr>
            <w:tcW w:w="920" w:type="dxa"/>
            <w:vAlign w:val="bottom"/>
            <w:vMerge w:val="restart"/>
          </w:tcPr>
          <w:p>
            <w:pPr>
              <w:jc w:val="center"/>
              <w:ind w:right="119"/>
              <w:spacing w:after="0"/>
              <w:rPr>
                <w:sz w:val="20"/>
                <w:szCs w:val="20"/>
                <w:color w:val="auto"/>
              </w:rPr>
            </w:pPr>
            <w:r>
              <w:rPr>
                <w:rFonts w:ascii="Arial" w:cs="Arial" w:eastAsia="Arial" w:hAnsi="Arial"/>
                <w:sz w:val="14"/>
                <w:szCs w:val="14"/>
                <w:b w:val="1"/>
                <w:bCs w:val="1"/>
                <w:color w:val="auto"/>
                <w:w w:val="88"/>
              </w:rPr>
              <w:t>Weighted</w:t>
            </w:r>
          </w:p>
        </w:tc>
        <w:tc>
          <w:tcPr>
            <w:tcW w:w="280" w:type="dxa"/>
            <w:vAlign w:val="bottom"/>
          </w:tcPr>
          <w:p>
            <w:pPr>
              <w:spacing w:after="0"/>
              <w:rPr>
                <w:sz w:val="8"/>
                <w:szCs w:val="8"/>
                <w:color w:val="auto"/>
              </w:rPr>
            </w:pPr>
          </w:p>
        </w:tc>
        <w:tc>
          <w:tcPr>
            <w:tcW w:w="120" w:type="dxa"/>
            <w:vAlign w:val="bottom"/>
          </w:tcPr>
          <w:p>
            <w:pPr>
              <w:spacing w:after="0"/>
              <w:rPr>
                <w:sz w:val="8"/>
                <w:szCs w:val="8"/>
                <w:color w:val="auto"/>
              </w:rPr>
            </w:pPr>
          </w:p>
        </w:tc>
        <w:tc>
          <w:tcPr>
            <w:tcW w:w="980" w:type="dxa"/>
            <w:vAlign w:val="bottom"/>
          </w:tcPr>
          <w:p>
            <w:pPr>
              <w:spacing w:after="0"/>
              <w:rPr>
                <w:sz w:val="8"/>
                <w:szCs w:val="8"/>
                <w:color w:val="auto"/>
              </w:rPr>
            </w:pPr>
          </w:p>
        </w:tc>
        <w:tc>
          <w:tcPr>
            <w:tcW w:w="260" w:type="dxa"/>
            <w:vAlign w:val="bottom"/>
          </w:tcPr>
          <w:p>
            <w:pPr>
              <w:spacing w:after="0"/>
              <w:rPr>
                <w:sz w:val="8"/>
                <w:szCs w:val="8"/>
                <w:color w:val="auto"/>
              </w:rPr>
            </w:pPr>
          </w:p>
        </w:tc>
        <w:tc>
          <w:tcPr>
            <w:tcW w:w="1140" w:type="dxa"/>
            <w:vAlign w:val="bottom"/>
          </w:tcPr>
          <w:p>
            <w:pPr>
              <w:spacing w:after="0"/>
              <w:rPr>
                <w:sz w:val="8"/>
                <w:szCs w:val="8"/>
                <w:color w:val="auto"/>
              </w:rPr>
            </w:pPr>
          </w:p>
        </w:tc>
        <w:tc>
          <w:tcPr>
            <w:tcW w:w="260" w:type="dxa"/>
            <w:vAlign w:val="bottom"/>
          </w:tcPr>
          <w:p>
            <w:pPr>
              <w:spacing w:after="0"/>
              <w:rPr>
                <w:sz w:val="8"/>
                <w:szCs w:val="8"/>
                <w:color w:val="auto"/>
              </w:rPr>
            </w:pPr>
          </w:p>
        </w:tc>
        <w:tc>
          <w:tcPr>
            <w:tcW w:w="180" w:type="dxa"/>
            <w:vAlign w:val="bottom"/>
          </w:tcPr>
          <w:p>
            <w:pPr>
              <w:spacing w:after="0"/>
              <w:rPr>
                <w:sz w:val="8"/>
                <w:szCs w:val="8"/>
                <w:color w:val="auto"/>
              </w:rPr>
            </w:pPr>
          </w:p>
        </w:tc>
        <w:tc>
          <w:tcPr>
            <w:tcW w:w="1200" w:type="dxa"/>
            <w:vAlign w:val="bottom"/>
            <w:gridSpan w:val="2"/>
            <w:vMerge w:val="restart"/>
          </w:tcPr>
          <w:p>
            <w:pPr>
              <w:jc w:val="center"/>
              <w:ind w:right="460"/>
              <w:spacing w:after="0"/>
              <w:rPr>
                <w:sz w:val="20"/>
                <w:szCs w:val="20"/>
                <w:color w:val="auto"/>
              </w:rPr>
            </w:pPr>
            <w:r>
              <w:rPr>
                <w:rFonts w:ascii="Arial" w:cs="Arial" w:eastAsia="Arial" w:hAnsi="Arial"/>
                <w:sz w:val="14"/>
                <w:szCs w:val="14"/>
                <w:b w:val="1"/>
                <w:bCs w:val="1"/>
                <w:color w:val="auto"/>
                <w:w w:val="85"/>
              </w:rPr>
              <w:t>Weighted</w:t>
            </w:r>
          </w:p>
        </w:tc>
        <w:tc>
          <w:tcPr>
            <w:tcW w:w="100" w:type="dxa"/>
            <w:vAlign w:val="bottom"/>
          </w:tcPr>
          <w:p>
            <w:pPr>
              <w:spacing w:after="0"/>
              <w:rPr>
                <w:sz w:val="8"/>
                <w:szCs w:val="8"/>
                <w:color w:val="auto"/>
              </w:rPr>
            </w:pPr>
          </w:p>
        </w:tc>
        <w:tc>
          <w:tcPr>
            <w:tcW w:w="1020" w:type="dxa"/>
            <w:vAlign w:val="bottom"/>
          </w:tcPr>
          <w:p>
            <w:pPr>
              <w:spacing w:after="0"/>
              <w:rPr>
                <w:sz w:val="8"/>
                <w:szCs w:val="8"/>
                <w:color w:val="auto"/>
              </w:rPr>
            </w:pP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35"/>
        </w:trPr>
        <w:tc>
          <w:tcPr>
            <w:tcW w:w="19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10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86"/>
              </w:rPr>
              <w:t>Average</w:t>
            </w:r>
          </w:p>
        </w:tc>
        <w:tc>
          <w:tcPr>
            <w:tcW w:w="2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920" w:type="dxa"/>
            <w:vAlign w:val="bottom"/>
            <w:vMerge w:val="continue"/>
          </w:tcPr>
          <w:p>
            <w:pPr>
              <w:spacing w:after="0"/>
              <w:rPr>
                <w:sz w:val="11"/>
                <w:szCs w:val="11"/>
                <w:color w:val="auto"/>
              </w:rPr>
            </w:pPr>
          </w:p>
        </w:tc>
        <w:tc>
          <w:tcPr>
            <w:tcW w:w="2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40" w:type="dxa"/>
            <w:vAlign w:val="bottom"/>
            <w:gridSpan w:val="2"/>
            <w:vMerge w:val="restart"/>
          </w:tcPr>
          <w:p>
            <w:pPr>
              <w:jc w:val="center"/>
              <w:ind w:right="400"/>
              <w:spacing w:after="0"/>
              <w:rPr>
                <w:sz w:val="20"/>
                <w:szCs w:val="20"/>
                <w:color w:val="auto"/>
              </w:rPr>
            </w:pPr>
            <w:r>
              <w:rPr>
                <w:rFonts w:ascii="Arial" w:cs="Arial" w:eastAsia="Arial" w:hAnsi="Arial"/>
                <w:sz w:val="14"/>
                <w:szCs w:val="14"/>
                <w:b w:val="1"/>
                <w:bCs w:val="1"/>
                <w:color w:val="auto"/>
                <w:w w:val="86"/>
              </w:rPr>
              <w:t>Average</w:t>
            </w:r>
          </w:p>
        </w:tc>
        <w:tc>
          <w:tcPr>
            <w:tcW w:w="11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00" w:type="dxa"/>
            <w:vAlign w:val="bottom"/>
            <w:gridSpan w:val="2"/>
            <w:vMerge w:val="continue"/>
          </w:tcPr>
          <w:p>
            <w:pPr>
              <w:spacing w:after="0"/>
              <w:rPr>
                <w:sz w:val="11"/>
                <w:szCs w:val="11"/>
                <w:color w:val="auto"/>
              </w:rPr>
            </w:pPr>
          </w:p>
        </w:tc>
        <w:tc>
          <w:tcPr>
            <w:tcW w:w="100" w:type="dxa"/>
            <w:vAlign w:val="bottom"/>
          </w:tcPr>
          <w:p>
            <w:pPr>
              <w:spacing w:after="0"/>
              <w:rPr>
                <w:sz w:val="11"/>
                <w:szCs w:val="11"/>
                <w:color w:val="auto"/>
              </w:rPr>
            </w:pPr>
          </w:p>
        </w:tc>
        <w:tc>
          <w:tcPr>
            <w:tcW w:w="10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1980" w:type="dxa"/>
            <w:vAlign w:val="bottom"/>
          </w:tcPr>
          <w:p>
            <w:pPr>
              <w:spacing w:after="0"/>
              <w:rPr>
                <w:sz w:val="11"/>
                <w:szCs w:val="11"/>
                <w:color w:val="auto"/>
              </w:rPr>
            </w:pPr>
          </w:p>
        </w:tc>
        <w:tc>
          <w:tcPr>
            <w:tcW w:w="110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0"/>
              </w:rPr>
              <w:t>Number</w:t>
            </w:r>
          </w:p>
        </w:tc>
        <w:tc>
          <w:tcPr>
            <w:tcW w:w="280" w:type="dxa"/>
            <w:vAlign w:val="bottom"/>
          </w:tcPr>
          <w:p>
            <w:pPr>
              <w:spacing w:after="0"/>
              <w:rPr>
                <w:sz w:val="11"/>
                <w:szCs w:val="11"/>
                <w:color w:val="auto"/>
              </w:rPr>
            </w:pPr>
          </w:p>
        </w:tc>
        <w:tc>
          <w:tcPr>
            <w:tcW w:w="110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89"/>
              </w:rPr>
              <w:t>Remaining</w:t>
            </w:r>
          </w:p>
        </w:tc>
        <w:tc>
          <w:tcPr>
            <w:tcW w:w="2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920" w:type="dxa"/>
            <w:vAlign w:val="bottom"/>
          </w:tcPr>
          <w:p>
            <w:pPr>
              <w:jc w:val="center"/>
              <w:ind w:right="119"/>
              <w:spacing w:after="0" w:line="135" w:lineRule="exact"/>
              <w:rPr>
                <w:sz w:val="20"/>
                <w:szCs w:val="20"/>
                <w:color w:val="auto"/>
              </w:rPr>
            </w:pPr>
            <w:r>
              <w:rPr>
                <w:rFonts w:ascii="Arial" w:cs="Arial" w:eastAsia="Arial" w:hAnsi="Arial"/>
                <w:sz w:val="14"/>
                <w:szCs w:val="14"/>
                <w:b w:val="1"/>
                <w:bCs w:val="1"/>
                <w:color w:val="auto"/>
                <w:w w:val="86"/>
              </w:rPr>
              <w:t>Average</w:t>
            </w:r>
          </w:p>
        </w:tc>
        <w:tc>
          <w:tcPr>
            <w:tcW w:w="2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40" w:type="dxa"/>
            <w:vAlign w:val="bottom"/>
            <w:gridSpan w:val="2"/>
            <w:vMerge w:val="continue"/>
          </w:tcPr>
          <w:p>
            <w:pPr>
              <w:spacing w:after="0"/>
              <w:rPr>
                <w:sz w:val="11"/>
                <w:szCs w:val="11"/>
                <w:color w:val="auto"/>
              </w:rPr>
            </w:pPr>
          </w:p>
        </w:tc>
        <w:tc>
          <w:tcPr>
            <w:tcW w:w="114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0"/>
              </w:rPr>
              <w:t>Number</w:t>
            </w:r>
          </w:p>
        </w:tc>
        <w:tc>
          <w:tcPr>
            <w:tcW w:w="2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00" w:type="dxa"/>
            <w:vAlign w:val="bottom"/>
            <w:gridSpan w:val="2"/>
          </w:tcPr>
          <w:p>
            <w:pPr>
              <w:jc w:val="center"/>
              <w:ind w:right="460"/>
              <w:spacing w:after="0" w:line="135" w:lineRule="exact"/>
              <w:rPr>
                <w:sz w:val="20"/>
                <w:szCs w:val="20"/>
                <w:color w:val="auto"/>
              </w:rPr>
            </w:pPr>
            <w:r>
              <w:rPr>
                <w:rFonts w:ascii="Arial" w:cs="Arial" w:eastAsia="Arial" w:hAnsi="Arial"/>
                <w:sz w:val="14"/>
                <w:szCs w:val="14"/>
                <w:b w:val="1"/>
                <w:bCs w:val="1"/>
                <w:color w:val="auto"/>
                <w:w w:val="83"/>
              </w:rPr>
              <w:t>Average</w:t>
            </w:r>
          </w:p>
        </w:tc>
        <w:tc>
          <w:tcPr>
            <w:tcW w:w="100" w:type="dxa"/>
            <w:vAlign w:val="bottom"/>
          </w:tcPr>
          <w:p>
            <w:pPr>
              <w:spacing w:after="0"/>
              <w:rPr>
                <w:sz w:val="11"/>
                <w:szCs w:val="11"/>
                <w:color w:val="auto"/>
              </w:rPr>
            </w:pPr>
          </w:p>
        </w:tc>
        <w:tc>
          <w:tcPr>
            <w:tcW w:w="106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83"/>
              </w:rPr>
              <w:t>Average</w:t>
            </w:r>
          </w:p>
        </w:tc>
        <w:tc>
          <w:tcPr>
            <w:tcW w:w="0" w:type="dxa"/>
            <w:vAlign w:val="bottom"/>
          </w:tcPr>
          <w:p>
            <w:pPr>
              <w:spacing w:after="0"/>
              <w:rPr>
                <w:sz w:val="1"/>
                <w:szCs w:val="1"/>
                <w:color w:val="auto"/>
              </w:rPr>
            </w:pPr>
          </w:p>
        </w:tc>
      </w:tr>
      <w:tr>
        <w:trPr>
          <w:trHeight w:val="135"/>
        </w:trPr>
        <w:tc>
          <w:tcPr>
            <w:tcW w:w="1980" w:type="dxa"/>
            <w:vAlign w:val="bottom"/>
          </w:tcPr>
          <w:p>
            <w:pPr>
              <w:spacing w:after="0"/>
              <w:rPr>
                <w:sz w:val="11"/>
                <w:szCs w:val="11"/>
                <w:color w:val="auto"/>
              </w:rPr>
            </w:pPr>
          </w:p>
        </w:tc>
        <w:tc>
          <w:tcPr>
            <w:tcW w:w="1100" w:type="dxa"/>
            <w:vAlign w:val="bottom"/>
            <w:vMerge w:val="continue"/>
          </w:tcPr>
          <w:p>
            <w:pPr>
              <w:spacing w:after="0"/>
              <w:rPr>
                <w:sz w:val="11"/>
                <w:szCs w:val="11"/>
                <w:color w:val="auto"/>
              </w:rPr>
            </w:pPr>
          </w:p>
        </w:tc>
        <w:tc>
          <w:tcPr>
            <w:tcW w:w="280" w:type="dxa"/>
            <w:vAlign w:val="bottom"/>
          </w:tcPr>
          <w:p>
            <w:pPr>
              <w:spacing w:after="0"/>
              <w:rPr>
                <w:sz w:val="11"/>
                <w:szCs w:val="11"/>
                <w:color w:val="auto"/>
              </w:rPr>
            </w:pPr>
          </w:p>
        </w:tc>
        <w:tc>
          <w:tcPr>
            <w:tcW w:w="110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89"/>
              </w:rPr>
              <w:t>Contractual</w:t>
            </w:r>
          </w:p>
        </w:tc>
        <w:tc>
          <w:tcPr>
            <w:tcW w:w="2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920" w:type="dxa"/>
            <w:vAlign w:val="bottom"/>
          </w:tcPr>
          <w:p>
            <w:pPr>
              <w:jc w:val="center"/>
              <w:ind w:right="119"/>
              <w:spacing w:after="0" w:line="135" w:lineRule="exact"/>
              <w:rPr>
                <w:sz w:val="20"/>
                <w:szCs w:val="20"/>
                <w:color w:val="auto"/>
              </w:rPr>
            </w:pPr>
            <w:r>
              <w:rPr>
                <w:rFonts w:ascii="Arial" w:cs="Arial" w:eastAsia="Arial" w:hAnsi="Arial"/>
                <w:sz w:val="14"/>
                <w:szCs w:val="14"/>
                <w:b w:val="1"/>
                <w:bCs w:val="1"/>
                <w:color w:val="auto"/>
                <w:w w:val="83"/>
              </w:rPr>
              <w:t>Exercise</w:t>
            </w:r>
          </w:p>
        </w:tc>
        <w:tc>
          <w:tcPr>
            <w:tcW w:w="2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40" w:type="dxa"/>
            <w:vAlign w:val="bottom"/>
            <w:gridSpan w:val="2"/>
          </w:tcPr>
          <w:p>
            <w:pPr>
              <w:jc w:val="center"/>
              <w:ind w:right="400"/>
              <w:spacing w:after="0" w:line="135" w:lineRule="exact"/>
              <w:rPr>
                <w:sz w:val="20"/>
                <w:szCs w:val="20"/>
                <w:color w:val="auto"/>
              </w:rPr>
            </w:pPr>
            <w:r>
              <w:rPr>
                <w:rFonts w:ascii="Arial" w:cs="Arial" w:eastAsia="Arial" w:hAnsi="Arial"/>
                <w:sz w:val="14"/>
                <w:szCs w:val="14"/>
                <w:b w:val="1"/>
                <w:bCs w:val="1"/>
                <w:color w:val="auto"/>
                <w:w w:val="88"/>
              </w:rPr>
              <w:t>Intrinsic</w:t>
            </w:r>
          </w:p>
        </w:tc>
        <w:tc>
          <w:tcPr>
            <w:tcW w:w="11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00" w:type="dxa"/>
            <w:vAlign w:val="bottom"/>
            <w:gridSpan w:val="2"/>
          </w:tcPr>
          <w:p>
            <w:pPr>
              <w:jc w:val="center"/>
              <w:ind w:right="460"/>
              <w:spacing w:after="0" w:line="135" w:lineRule="exact"/>
              <w:rPr>
                <w:sz w:val="20"/>
                <w:szCs w:val="20"/>
                <w:color w:val="auto"/>
              </w:rPr>
            </w:pPr>
            <w:r>
              <w:rPr>
                <w:rFonts w:ascii="Arial" w:cs="Arial" w:eastAsia="Arial" w:hAnsi="Arial"/>
                <w:sz w:val="14"/>
                <w:szCs w:val="14"/>
                <w:b w:val="1"/>
                <w:bCs w:val="1"/>
                <w:color w:val="auto"/>
                <w:w w:val="86"/>
              </w:rPr>
              <w:t>Exercise</w:t>
            </w:r>
          </w:p>
        </w:tc>
        <w:tc>
          <w:tcPr>
            <w:tcW w:w="100" w:type="dxa"/>
            <w:vAlign w:val="bottom"/>
          </w:tcPr>
          <w:p>
            <w:pPr>
              <w:spacing w:after="0"/>
              <w:rPr>
                <w:sz w:val="11"/>
                <w:szCs w:val="11"/>
                <w:color w:val="auto"/>
              </w:rPr>
            </w:pPr>
          </w:p>
        </w:tc>
        <w:tc>
          <w:tcPr>
            <w:tcW w:w="10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1980" w:type="dxa"/>
            <w:vAlign w:val="bottom"/>
          </w:tcPr>
          <w:p>
            <w:pPr>
              <w:spacing w:after="0"/>
              <w:rPr>
                <w:sz w:val="14"/>
                <w:szCs w:val="14"/>
                <w:color w:val="auto"/>
              </w:rPr>
            </w:pPr>
          </w:p>
        </w:tc>
        <w:tc>
          <w:tcPr>
            <w:tcW w:w="1100" w:type="dxa"/>
            <w:vAlign w:val="bottom"/>
          </w:tcPr>
          <w:p>
            <w:pPr>
              <w:jc w:val="center"/>
              <w:spacing w:after="0"/>
              <w:rPr>
                <w:sz w:val="20"/>
                <w:szCs w:val="20"/>
                <w:color w:val="auto"/>
              </w:rPr>
            </w:pPr>
            <w:r>
              <w:rPr>
                <w:rFonts w:ascii="Arial" w:cs="Arial" w:eastAsia="Arial" w:hAnsi="Arial"/>
                <w:sz w:val="14"/>
                <w:szCs w:val="14"/>
                <w:b w:val="1"/>
                <w:bCs w:val="1"/>
                <w:color w:val="auto"/>
                <w:w w:val="87"/>
              </w:rPr>
              <w:t>Outstanding</w:t>
            </w:r>
          </w:p>
        </w:tc>
        <w:tc>
          <w:tcPr>
            <w:tcW w:w="280" w:type="dxa"/>
            <w:vAlign w:val="bottom"/>
          </w:tcPr>
          <w:p>
            <w:pPr>
              <w:spacing w:after="0"/>
              <w:rPr>
                <w:sz w:val="14"/>
                <w:szCs w:val="14"/>
                <w:color w:val="auto"/>
              </w:rPr>
            </w:pPr>
          </w:p>
        </w:tc>
        <w:tc>
          <w:tcPr>
            <w:tcW w:w="1100" w:type="dxa"/>
            <w:vAlign w:val="bottom"/>
          </w:tcPr>
          <w:p>
            <w:pPr>
              <w:jc w:val="center"/>
              <w:spacing w:after="0"/>
              <w:rPr>
                <w:sz w:val="20"/>
                <w:szCs w:val="20"/>
                <w:color w:val="auto"/>
              </w:rPr>
            </w:pPr>
            <w:r>
              <w:rPr>
                <w:rFonts w:ascii="Arial" w:cs="Arial" w:eastAsia="Arial" w:hAnsi="Arial"/>
                <w:sz w:val="14"/>
                <w:szCs w:val="14"/>
                <w:b w:val="1"/>
                <w:bCs w:val="1"/>
                <w:color w:val="auto"/>
                <w:w w:val="96"/>
              </w:rPr>
              <w:t>Life</w:t>
            </w:r>
          </w:p>
        </w:tc>
        <w:tc>
          <w:tcPr>
            <w:tcW w:w="2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20" w:type="dxa"/>
            <w:vAlign w:val="bottom"/>
          </w:tcPr>
          <w:p>
            <w:pPr>
              <w:jc w:val="center"/>
              <w:ind w:right="99"/>
              <w:spacing w:after="0"/>
              <w:rPr>
                <w:sz w:val="20"/>
                <w:szCs w:val="20"/>
                <w:color w:val="auto"/>
              </w:rPr>
            </w:pPr>
            <w:r>
              <w:rPr>
                <w:rFonts w:ascii="Arial" w:cs="Arial" w:eastAsia="Arial" w:hAnsi="Arial"/>
                <w:sz w:val="14"/>
                <w:szCs w:val="14"/>
                <w:b w:val="1"/>
                <w:bCs w:val="1"/>
                <w:color w:val="auto"/>
                <w:w w:val="87"/>
              </w:rPr>
              <w:t>Price</w:t>
            </w: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4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5"/>
              </w:rPr>
              <w:t>Value</w:t>
            </w:r>
          </w:p>
        </w:tc>
        <w:tc>
          <w:tcPr>
            <w:tcW w:w="1140" w:type="dxa"/>
            <w:vAlign w:val="bottom"/>
          </w:tcPr>
          <w:p>
            <w:pPr>
              <w:jc w:val="center"/>
              <w:spacing w:after="0"/>
              <w:rPr>
                <w:sz w:val="20"/>
                <w:szCs w:val="20"/>
                <w:color w:val="auto"/>
              </w:rPr>
            </w:pPr>
            <w:r>
              <w:rPr>
                <w:rFonts w:ascii="Arial" w:cs="Arial" w:eastAsia="Arial" w:hAnsi="Arial"/>
                <w:sz w:val="14"/>
                <w:szCs w:val="14"/>
                <w:b w:val="1"/>
                <w:bCs w:val="1"/>
                <w:color w:val="auto"/>
                <w:w w:val="84"/>
              </w:rPr>
              <w:t>Exercisable</w:t>
            </w:r>
          </w:p>
        </w:tc>
        <w:tc>
          <w:tcPr>
            <w:tcW w:w="2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0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87"/>
              </w:rPr>
              <w:t>Price</w:t>
            </w:r>
          </w:p>
        </w:tc>
        <w:tc>
          <w:tcPr>
            <w:tcW w:w="100" w:type="dxa"/>
            <w:vAlign w:val="bottom"/>
          </w:tcPr>
          <w:p>
            <w:pPr>
              <w:spacing w:after="0"/>
              <w:rPr>
                <w:sz w:val="14"/>
                <w:szCs w:val="14"/>
                <w:color w:val="auto"/>
              </w:rPr>
            </w:pPr>
          </w:p>
        </w:tc>
        <w:tc>
          <w:tcPr>
            <w:tcW w:w="106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9"/>
              </w:rPr>
              <w:t>Intrinsic Value</w:t>
            </w:r>
          </w:p>
        </w:tc>
        <w:tc>
          <w:tcPr>
            <w:tcW w:w="0" w:type="dxa"/>
            <w:vAlign w:val="bottom"/>
          </w:tcPr>
          <w:p>
            <w:pPr>
              <w:spacing w:after="0"/>
              <w:rPr>
                <w:sz w:val="1"/>
                <w:szCs w:val="1"/>
                <w:color w:val="auto"/>
              </w:rPr>
            </w:pPr>
          </w:p>
        </w:tc>
      </w:tr>
      <w:tr>
        <w:trPr>
          <w:trHeight w:val="129"/>
        </w:trPr>
        <w:tc>
          <w:tcPr>
            <w:tcW w:w="1980" w:type="dxa"/>
            <w:vAlign w:val="bottom"/>
          </w:tcPr>
          <w:p>
            <w:pPr>
              <w:spacing w:after="0"/>
              <w:rPr>
                <w:sz w:val="11"/>
                <w:szCs w:val="11"/>
                <w:color w:val="auto"/>
              </w:rPr>
            </w:pPr>
          </w:p>
        </w:tc>
        <w:tc>
          <w:tcPr>
            <w:tcW w:w="110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7"/>
              </w:rPr>
              <w:t>(In thousands)</w:t>
            </w:r>
          </w:p>
        </w:tc>
        <w:tc>
          <w:tcPr>
            <w:tcW w:w="280" w:type="dxa"/>
            <w:vAlign w:val="bottom"/>
          </w:tcPr>
          <w:p>
            <w:pPr>
              <w:spacing w:after="0"/>
              <w:rPr>
                <w:sz w:val="11"/>
                <w:szCs w:val="11"/>
                <w:color w:val="auto"/>
              </w:rPr>
            </w:pPr>
          </w:p>
        </w:tc>
        <w:tc>
          <w:tcPr>
            <w:tcW w:w="1100" w:type="dxa"/>
            <w:vAlign w:val="bottom"/>
            <w:tcBorders>
              <w:top w:val="single" w:sz="8" w:color="auto"/>
            </w:tcBorders>
          </w:tcPr>
          <w:p>
            <w:pPr>
              <w:spacing w:after="0"/>
              <w:rPr>
                <w:sz w:val="11"/>
                <w:szCs w:val="11"/>
                <w:color w:val="auto"/>
              </w:rPr>
            </w:pPr>
          </w:p>
        </w:tc>
        <w:tc>
          <w:tcPr>
            <w:tcW w:w="280" w:type="dxa"/>
            <w:vAlign w:val="bottom"/>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920" w:type="dxa"/>
            <w:vAlign w:val="bottom"/>
            <w:tcBorders>
              <w:top w:val="single" w:sz="8" w:color="auto"/>
            </w:tcBorders>
          </w:tcPr>
          <w:p>
            <w:pPr>
              <w:spacing w:after="0"/>
              <w:rPr>
                <w:sz w:val="11"/>
                <w:szCs w:val="11"/>
                <w:color w:val="auto"/>
              </w:rPr>
            </w:pPr>
          </w:p>
        </w:tc>
        <w:tc>
          <w:tcPr>
            <w:tcW w:w="28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980" w:type="dxa"/>
            <w:vAlign w:val="bottom"/>
            <w:tcBorders>
              <w:top w:val="single" w:sz="8" w:color="auto"/>
            </w:tcBorders>
          </w:tcPr>
          <w:p>
            <w:pPr>
              <w:jc w:val="center"/>
              <w:ind w:right="59"/>
              <w:spacing w:after="0" w:line="129" w:lineRule="exact"/>
              <w:rPr>
                <w:sz w:val="20"/>
                <w:szCs w:val="20"/>
                <w:color w:val="auto"/>
              </w:rPr>
            </w:pPr>
            <w:r>
              <w:rPr>
                <w:rFonts w:ascii="Arial" w:cs="Arial" w:eastAsia="Arial" w:hAnsi="Arial"/>
                <w:sz w:val="14"/>
                <w:szCs w:val="14"/>
                <w:b w:val="1"/>
                <w:bCs w:val="1"/>
                <w:color w:val="auto"/>
                <w:w w:val="87"/>
              </w:rPr>
              <w:t>(In thousands</w:t>
            </w:r>
          </w:p>
        </w:tc>
        <w:tc>
          <w:tcPr>
            <w:tcW w:w="260" w:type="dxa"/>
            <w:vAlign w:val="bottom"/>
          </w:tcPr>
          <w:p>
            <w:pPr>
              <w:spacing w:after="0"/>
              <w:rPr>
                <w:sz w:val="11"/>
                <w:szCs w:val="11"/>
                <w:color w:val="auto"/>
              </w:rPr>
            </w:pPr>
          </w:p>
        </w:tc>
        <w:tc>
          <w:tcPr>
            <w:tcW w:w="114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7"/>
              </w:rPr>
              <w:t>(In thousands)</w:t>
            </w:r>
          </w:p>
        </w:tc>
        <w:tc>
          <w:tcPr>
            <w:tcW w:w="260" w:type="dxa"/>
            <w:vAlign w:val="bottom"/>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920" w:type="dxa"/>
            <w:vAlign w:val="bottom"/>
            <w:tcBorders>
              <w:top w:val="single" w:sz="8" w:color="auto"/>
            </w:tcBorders>
          </w:tcPr>
          <w:p>
            <w:pPr>
              <w:spacing w:after="0"/>
              <w:rPr>
                <w:sz w:val="11"/>
                <w:szCs w:val="11"/>
                <w:color w:val="auto"/>
              </w:rPr>
            </w:pPr>
          </w:p>
        </w:tc>
        <w:tc>
          <w:tcPr>
            <w:tcW w:w="28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020" w:type="dxa"/>
            <w:vAlign w:val="bottom"/>
            <w:tcBorders>
              <w:top w:val="single" w:sz="8" w:color="auto"/>
            </w:tcBorders>
          </w:tcPr>
          <w:p>
            <w:pPr>
              <w:jc w:val="center"/>
              <w:ind w:right="17"/>
              <w:spacing w:after="0" w:line="129" w:lineRule="exact"/>
              <w:rPr>
                <w:sz w:val="20"/>
                <w:szCs w:val="20"/>
                <w:color w:val="auto"/>
              </w:rPr>
            </w:pPr>
            <w:r>
              <w:rPr>
                <w:rFonts w:ascii="Arial" w:cs="Arial" w:eastAsia="Arial" w:hAnsi="Arial"/>
                <w:sz w:val="14"/>
                <w:szCs w:val="14"/>
                <w:b w:val="1"/>
                <w:bCs w:val="1"/>
                <w:color w:val="auto"/>
                <w:w w:val="87"/>
              </w:rPr>
              <w:t>(In thousands)</w:t>
            </w: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198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Range of exercise</w:t>
            </w:r>
          </w:p>
        </w:tc>
        <w:tc>
          <w:tcPr>
            <w:tcW w:w="11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1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14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19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prices:</w:t>
            </w:r>
          </w:p>
        </w:tc>
        <w:tc>
          <w:tcPr>
            <w:tcW w:w="110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10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92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98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14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92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020" w:type="dxa"/>
            <w:vAlign w:val="bottom"/>
            <w:shd w:val="clear" w:color="auto" w:fill="CCEEFF"/>
          </w:tcPr>
          <w:p>
            <w:pPr>
              <w:spacing w:after="0"/>
              <w:rPr>
                <w:sz w:val="20"/>
                <w:szCs w:val="20"/>
                <w:color w:val="auto"/>
              </w:rPr>
            </w:pPr>
          </w:p>
        </w:tc>
        <w:tc>
          <w:tcPr>
            <w:tcW w:w="4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1980" w:type="dxa"/>
            <w:vAlign w:val="bottom"/>
          </w:tcPr>
          <w:p>
            <w:pPr>
              <w:spacing w:after="0"/>
              <w:rPr>
                <w:sz w:val="20"/>
                <w:szCs w:val="20"/>
                <w:color w:val="auto"/>
              </w:rPr>
            </w:pPr>
            <w:r>
              <w:rPr>
                <w:rFonts w:ascii="Arial" w:cs="Arial" w:eastAsia="Arial" w:hAnsi="Arial"/>
                <w:sz w:val="18"/>
                <w:szCs w:val="18"/>
                <w:color w:val="auto"/>
              </w:rPr>
              <w:t>$0.00 - $9.35</w:t>
            </w:r>
          </w:p>
        </w:tc>
        <w:tc>
          <w:tcPr>
            <w:tcW w:w="1100" w:type="dxa"/>
            <w:vAlign w:val="bottom"/>
          </w:tcPr>
          <w:p>
            <w:pPr>
              <w:jc w:val="right"/>
              <w:spacing w:after="0"/>
              <w:rPr>
                <w:sz w:val="20"/>
                <w:szCs w:val="20"/>
                <w:color w:val="auto"/>
              </w:rPr>
            </w:pPr>
            <w:r>
              <w:rPr>
                <w:rFonts w:ascii="Arial" w:cs="Arial" w:eastAsia="Arial" w:hAnsi="Arial"/>
                <w:sz w:val="18"/>
                <w:szCs w:val="18"/>
                <w:color w:val="auto"/>
              </w:rPr>
              <w:t>12,100</w:t>
            </w:r>
          </w:p>
        </w:tc>
        <w:tc>
          <w:tcPr>
            <w:tcW w:w="1380" w:type="dxa"/>
            <w:vAlign w:val="bottom"/>
            <w:gridSpan w:val="2"/>
          </w:tcPr>
          <w:p>
            <w:pPr>
              <w:jc w:val="right"/>
              <w:spacing w:after="0"/>
              <w:rPr>
                <w:sz w:val="20"/>
                <w:szCs w:val="20"/>
                <w:color w:val="auto"/>
              </w:rPr>
            </w:pPr>
            <w:r>
              <w:rPr>
                <w:rFonts w:ascii="Arial" w:cs="Arial" w:eastAsia="Arial" w:hAnsi="Arial"/>
                <w:sz w:val="18"/>
                <w:szCs w:val="18"/>
                <w:color w:val="auto"/>
              </w:rPr>
              <w:t>5.84</w:t>
            </w:r>
          </w:p>
        </w:tc>
        <w:tc>
          <w:tcPr>
            <w:tcW w:w="46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6.68</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610,026</w:t>
            </w:r>
          </w:p>
        </w:tc>
        <w:tc>
          <w:tcPr>
            <w:tcW w:w="260" w:type="dxa"/>
            <w:vAlign w:val="bottom"/>
          </w:tcPr>
          <w:p>
            <w:pPr>
              <w:spacing w:after="0"/>
              <w:rPr>
                <w:sz w:val="18"/>
                <w:szCs w:val="18"/>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5,244</w:t>
            </w:r>
          </w:p>
        </w:tc>
        <w:tc>
          <w:tcPr>
            <w:tcW w:w="44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4.83</w:t>
            </w:r>
          </w:p>
        </w:tc>
        <w:tc>
          <w:tcPr>
            <w:tcW w:w="2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20" w:type="dxa"/>
            <w:vAlign w:val="bottom"/>
          </w:tcPr>
          <w:p>
            <w:pPr>
              <w:jc w:val="right"/>
              <w:spacing w:after="0"/>
              <w:rPr>
                <w:sz w:val="20"/>
                <w:szCs w:val="20"/>
                <w:color w:val="auto"/>
              </w:rPr>
            </w:pPr>
            <w:r>
              <w:rPr>
                <w:rFonts w:ascii="Arial" w:cs="Arial" w:eastAsia="Arial" w:hAnsi="Arial"/>
                <w:sz w:val="18"/>
                <w:szCs w:val="18"/>
                <w:color w:val="auto"/>
              </w:rPr>
              <w:t>274,077</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80" w:type="dxa"/>
            <w:vAlign w:val="bottom"/>
            <w:shd w:val="clear" w:color="auto" w:fill="CCEEFF"/>
          </w:tcPr>
          <w:p>
            <w:pPr>
              <w:spacing w:after="0"/>
              <w:rPr>
                <w:sz w:val="20"/>
                <w:szCs w:val="20"/>
                <w:color w:val="auto"/>
              </w:rPr>
            </w:pPr>
            <w:r>
              <w:rPr>
                <w:rFonts w:ascii="Arial" w:cs="Arial" w:eastAsia="Arial" w:hAnsi="Arial"/>
                <w:sz w:val="18"/>
                <w:szCs w:val="18"/>
                <w:color w:val="auto"/>
              </w:rPr>
              <w:t>$9.36 - $18.25</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12,391</w:t>
            </w:r>
          </w:p>
        </w:tc>
        <w:tc>
          <w:tcPr>
            <w:tcW w:w="1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6.41</w:t>
            </w:r>
          </w:p>
        </w:tc>
        <w:tc>
          <w:tcPr>
            <w:tcW w:w="4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14.93</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522,406</w:t>
            </w:r>
          </w:p>
        </w:tc>
        <w:tc>
          <w:tcPr>
            <w:tcW w:w="260" w:type="dxa"/>
            <w:vAlign w:val="bottom"/>
            <w:shd w:val="clear" w:color="auto" w:fill="CCEEFF"/>
          </w:tcPr>
          <w:p>
            <w:pPr>
              <w:spacing w:after="0"/>
              <w:rPr>
                <w:sz w:val="18"/>
                <w:szCs w:val="18"/>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7,526</w:t>
            </w:r>
          </w:p>
        </w:tc>
        <w:tc>
          <w:tcPr>
            <w:tcW w:w="4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14.21</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322,745</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80" w:type="dxa"/>
            <w:vAlign w:val="bottom"/>
          </w:tcPr>
          <w:p>
            <w:pPr>
              <w:spacing w:after="0"/>
              <w:rPr>
                <w:sz w:val="20"/>
                <w:szCs w:val="20"/>
                <w:color w:val="auto"/>
              </w:rPr>
            </w:pPr>
            <w:r>
              <w:rPr>
                <w:rFonts w:ascii="Arial" w:cs="Arial" w:eastAsia="Arial" w:hAnsi="Arial"/>
                <w:sz w:val="18"/>
                <w:szCs w:val="18"/>
                <w:color w:val="auto"/>
              </w:rPr>
              <w:t>$18.26 - $24.05</w:t>
            </w:r>
          </w:p>
        </w:tc>
        <w:tc>
          <w:tcPr>
            <w:tcW w:w="1100" w:type="dxa"/>
            <w:vAlign w:val="bottom"/>
          </w:tcPr>
          <w:p>
            <w:pPr>
              <w:jc w:val="right"/>
              <w:spacing w:after="0"/>
              <w:rPr>
                <w:sz w:val="20"/>
                <w:szCs w:val="20"/>
                <w:color w:val="auto"/>
              </w:rPr>
            </w:pPr>
            <w:r>
              <w:rPr>
                <w:rFonts w:ascii="Arial" w:cs="Arial" w:eastAsia="Arial" w:hAnsi="Arial"/>
                <w:sz w:val="18"/>
                <w:szCs w:val="18"/>
                <w:color w:val="auto"/>
              </w:rPr>
              <w:t>10,218</w:t>
            </w:r>
          </w:p>
        </w:tc>
        <w:tc>
          <w:tcPr>
            <w:tcW w:w="1380" w:type="dxa"/>
            <w:vAlign w:val="bottom"/>
            <w:gridSpan w:val="2"/>
          </w:tcPr>
          <w:p>
            <w:pPr>
              <w:jc w:val="right"/>
              <w:spacing w:after="0"/>
              <w:rPr>
                <w:sz w:val="20"/>
                <w:szCs w:val="20"/>
                <w:color w:val="auto"/>
              </w:rPr>
            </w:pPr>
            <w:r>
              <w:rPr>
                <w:rFonts w:ascii="Arial" w:cs="Arial" w:eastAsia="Arial" w:hAnsi="Arial"/>
                <w:sz w:val="18"/>
                <w:szCs w:val="18"/>
                <w:color w:val="auto"/>
              </w:rPr>
              <w:t>7.54</w:t>
            </w:r>
          </w:p>
        </w:tc>
        <w:tc>
          <w:tcPr>
            <w:tcW w:w="46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19.56</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383,519</w:t>
            </w:r>
          </w:p>
        </w:tc>
        <w:tc>
          <w:tcPr>
            <w:tcW w:w="260" w:type="dxa"/>
            <w:vAlign w:val="bottom"/>
          </w:tcPr>
          <w:p>
            <w:pPr>
              <w:spacing w:after="0"/>
              <w:rPr>
                <w:sz w:val="18"/>
                <w:szCs w:val="18"/>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1,962</w:t>
            </w:r>
          </w:p>
        </w:tc>
        <w:tc>
          <w:tcPr>
            <w:tcW w:w="44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20.20</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72,356</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80" w:type="dxa"/>
            <w:vAlign w:val="bottom"/>
            <w:shd w:val="clear" w:color="auto" w:fill="CCEEFF"/>
          </w:tcPr>
          <w:p>
            <w:pPr>
              <w:spacing w:after="0"/>
              <w:rPr>
                <w:sz w:val="20"/>
                <w:szCs w:val="20"/>
                <w:color w:val="auto"/>
              </w:rPr>
            </w:pPr>
            <w:r>
              <w:rPr>
                <w:rFonts w:ascii="Arial" w:cs="Arial" w:eastAsia="Arial" w:hAnsi="Arial"/>
                <w:sz w:val="18"/>
                <w:szCs w:val="18"/>
                <w:color w:val="auto"/>
              </w:rPr>
              <w:t>$24.06 - $54.21</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13,319</w:t>
            </w:r>
          </w:p>
        </w:tc>
        <w:tc>
          <w:tcPr>
            <w:tcW w:w="1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9.12</w:t>
            </w:r>
          </w:p>
        </w:tc>
        <w:tc>
          <w:tcPr>
            <w:tcW w:w="4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42.64</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192,477</w:t>
            </w:r>
          </w:p>
        </w:tc>
        <w:tc>
          <w:tcPr>
            <w:tcW w:w="260" w:type="dxa"/>
            <w:vAlign w:val="bottom"/>
            <w:shd w:val="clear" w:color="auto" w:fill="CCEEFF"/>
          </w:tcPr>
          <w:p>
            <w:pPr>
              <w:spacing w:after="0"/>
              <w:rPr>
                <w:sz w:val="18"/>
                <w:szCs w:val="18"/>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935</w:t>
            </w:r>
          </w:p>
        </w:tc>
        <w:tc>
          <w:tcPr>
            <w:tcW w:w="4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31.99</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23,469</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80" w:type="dxa"/>
            <w:vAlign w:val="bottom"/>
          </w:tcPr>
          <w:p>
            <w:pPr>
              <w:spacing w:after="0"/>
              <w:rPr>
                <w:sz w:val="20"/>
                <w:szCs w:val="20"/>
                <w:color w:val="auto"/>
              </w:rPr>
            </w:pPr>
            <w:r>
              <w:rPr>
                <w:rFonts w:ascii="Arial" w:cs="Arial" w:eastAsia="Arial" w:hAnsi="Arial"/>
                <w:sz w:val="18"/>
                <w:szCs w:val="18"/>
                <w:color w:val="auto"/>
              </w:rPr>
              <w:t>$54.22 - $66.41</w:t>
            </w:r>
          </w:p>
        </w:tc>
        <w:tc>
          <w:tcPr>
            <w:tcW w:w="1100" w:type="dxa"/>
            <w:vAlign w:val="bottom"/>
          </w:tcPr>
          <w:p>
            <w:pPr>
              <w:jc w:val="right"/>
              <w:spacing w:after="0"/>
              <w:rPr>
                <w:sz w:val="20"/>
                <w:szCs w:val="20"/>
                <w:color w:val="auto"/>
              </w:rPr>
            </w:pPr>
            <w:r>
              <w:rPr>
                <w:rFonts w:ascii="Arial" w:cs="Arial" w:eastAsia="Arial" w:hAnsi="Arial"/>
                <w:sz w:val="18"/>
                <w:szCs w:val="18"/>
                <w:color w:val="auto"/>
              </w:rPr>
              <w:t>3,011</w:t>
            </w:r>
          </w:p>
        </w:tc>
        <w:tc>
          <w:tcPr>
            <w:tcW w:w="1380" w:type="dxa"/>
            <w:vAlign w:val="bottom"/>
            <w:gridSpan w:val="2"/>
          </w:tcPr>
          <w:p>
            <w:pPr>
              <w:jc w:val="right"/>
              <w:spacing w:after="0"/>
              <w:rPr>
                <w:sz w:val="20"/>
                <w:szCs w:val="20"/>
                <w:color w:val="auto"/>
              </w:rPr>
            </w:pPr>
            <w:r>
              <w:rPr>
                <w:rFonts w:ascii="Arial" w:cs="Arial" w:eastAsia="Arial" w:hAnsi="Arial"/>
                <w:sz w:val="18"/>
                <w:szCs w:val="18"/>
                <w:color w:val="auto"/>
              </w:rPr>
              <w:t>9.77</w:t>
            </w:r>
          </w:p>
        </w:tc>
        <w:tc>
          <w:tcPr>
            <w:tcW w:w="46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62.14</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4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63</w:t>
            </w:r>
          </w:p>
        </w:tc>
        <w:tc>
          <w:tcPr>
            <w:tcW w:w="44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59.74</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1980" w:type="dxa"/>
            <w:vAlign w:val="bottom"/>
            <w:tcBorders>
              <w:top w:val="single" w:sz="8" w:color="CCEEFF"/>
              <w:bottom w:val="single" w:sz="8" w:color="CCEEFF"/>
            </w:tcBorders>
            <w:shd w:val="clear" w:color="auto" w:fill="CCEEFF"/>
          </w:tcPr>
          <w:p>
            <w:pPr>
              <w:spacing w:after="0"/>
              <w:rPr>
                <w:sz w:val="18"/>
                <w:szCs w:val="18"/>
                <w:color w:val="auto"/>
              </w:rPr>
            </w:pP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51,039</w:t>
            </w:r>
          </w:p>
        </w:tc>
        <w:tc>
          <w:tcPr>
            <w:tcW w:w="1380" w:type="dxa"/>
            <w:vAlign w:val="bottom"/>
            <w:tcBorders>
              <w:top w:val="single" w:sz="8" w:color="CCEEFF"/>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7.41</w:t>
            </w:r>
          </w:p>
        </w:tc>
        <w:tc>
          <w:tcPr>
            <w:tcW w:w="460" w:type="dxa"/>
            <w:vAlign w:val="bottom"/>
            <w:tcBorders>
              <w:top w:val="single" w:sz="8" w:color="CCEEFF"/>
              <w:bottom w:val="single" w:sz="8" w:color="CCEEFF"/>
            </w:tcBorders>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2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23.91</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1,708,428</w:t>
            </w:r>
          </w:p>
        </w:tc>
        <w:tc>
          <w:tcPr>
            <w:tcW w:w="260" w:type="dxa"/>
            <w:vAlign w:val="bottom"/>
            <w:tcBorders>
              <w:top w:val="single" w:sz="8" w:color="CCEEFF"/>
              <w:bottom w:val="single" w:sz="8" w:color="CCEEFF"/>
            </w:tcBorders>
            <w:shd w:val="clear" w:color="auto" w:fill="CCEEFF"/>
          </w:tcPr>
          <w:p>
            <w:pPr>
              <w:spacing w:after="0"/>
              <w:rPr>
                <w:sz w:val="18"/>
                <w:szCs w:val="18"/>
                <w:color w:val="auto"/>
              </w:rPr>
            </w:pPr>
          </w:p>
        </w:tc>
        <w:tc>
          <w:tcPr>
            <w:tcW w:w="1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15,730</w:t>
            </w:r>
          </w:p>
        </w:tc>
        <w:tc>
          <w:tcPr>
            <w:tcW w:w="440" w:type="dxa"/>
            <w:vAlign w:val="bottom"/>
            <w:tcBorders>
              <w:top w:val="single" w:sz="8" w:color="CCEEFF"/>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2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13.07</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692,647</w:t>
            </w: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980" w:type="dxa"/>
            <w:vAlign w:val="bottom"/>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right="520" w:firstLine="162"/>
        <w:spacing w:after="0" w:line="308" w:lineRule="auto"/>
        <w:rPr>
          <w:sz w:val="20"/>
          <w:szCs w:val="20"/>
          <w:color w:val="auto"/>
        </w:rPr>
      </w:pPr>
      <w:r>
        <w:rPr>
          <w:rFonts w:ascii="Arial" w:cs="Arial" w:eastAsia="Arial" w:hAnsi="Arial"/>
          <w:sz w:val="17"/>
          <w:szCs w:val="17"/>
          <w:color w:val="auto"/>
        </w:rPr>
        <w:t>The aggregate pretax intrinsic values in the preceding table were calculated based on the closing price of the Company’s common stock of $57.09 on April 28, 2006. At April 30, 2006, the weighted average remaining contractual life of the exercisable options was 5.7 years.</w:t>
      </w: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20" w:firstLine="243"/>
        <w:spacing w:after="0" w:line="342" w:lineRule="auto"/>
        <w:rPr>
          <w:sz w:val="20"/>
          <w:szCs w:val="20"/>
          <w:color w:val="auto"/>
        </w:rPr>
      </w:pPr>
      <w:r>
        <w:rPr>
          <w:rFonts w:ascii="Arial" w:cs="Arial" w:eastAsia="Arial" w:hAnsi="Arial"/>
          <w:sz w:val="16"/>
          <w:szCs w:val="16"/>
          <w:color w:val="auto"/>
        </w:rPr>
        <w:t>As of April 30, 2006, there was $376.8 million, net of forfeitures, of unrecognized compensation cost related to unvested stock options which is expected to be recognized over a weighted average period of 1.8 years. The Company’s current practice is to issue new shares to satisfy share option exercises.</w:t>
      </w:r>
    </w:p>
    <w:p>
      <w:pPr>
        <w:spacing w:after="0" w:line="124" w:lineRule="exact"/>
        <w:rPr>
          <w:sz w:val="20"/>
          <w:szCs w:val="20"/>
          <w:color w:val="auto"/>
        </w:rPr>
      </w:pPr>
    </w:p>
    <w:p>
      <w:pPr>
        <w:ind w:right="260" w:firstLine="162"/>
        <w:spacing w:after="0" w:line="259" w:lineRule="auto"/>
        <w:rPr>
          <w:sz w:val="20"/>
          <w:szCs w:val="20"/>
          <w:color w:val="auto"/>
        </w:rPr>
      </w:pPr>
      <w:r>
        <w:rPr>
          <w:rFonts w:ascii="Arial" w:cs="Arial" w:eastAsia="Arial" w:hAnsi="Arial"/>
          <w:sz w:val="18"/>
          <w:szCs w:val="18"/>
          <w:color w:val="auto"/>
        </w:rPr>
        <w:t>Total tax benefit attributable to options exercised in the three months ended April 30, 2006 was $0.7 million. The excess tax benefits from stock-based compensation of $0.7 million as reported on the condensed consolidated statement of cash flows in financing activities represents the reduction, in income taxes otherwise payable during the period, attributable to the actual gross tax benefits in excess of the expected tax benefits for options exercised in current and prior periods.</w:t>
      </w:r>
    </w:p>
    <w:p>
      <w:pPr>
        <w:spacing w:after="0" w:line="187"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Stock Award Activity</w:t>
      </w:r>
    </w:p>
    <w:p>
      <w:pPr>
        <w:spacing w:after="0" w:line="225" w:lineRule="exact"/>
        <w:rPr>
          <w:sz w:val="20"/>
          <w:szCs w:val="20"/>
          <w:color w:val="auto"/>
        </w:rPr>
      </w:pPr>
    </w:p>
    <w:p>
      <w:pPr>
        <w:ind w:right="60" w:firstLine="243"/>
        <w:spacing w:after="0" w:line="273" w:lineRule="auto"/>
        <w:rPr>
          <w:sz w:val="20"/>
          <w:szCs w:val="20"/>
          <w:color w:val="auto"/>
        </w:rPr>
      </w:pPr>
      <w:r>
        <w:rPr>
          <w:rFonts w:ascii="Arial" w:cs="Arial" w:eastAsia="Arial" w:hAnsi="Arial"/>
          <w:sz w:val="17"/>
          <w:szCs w:val="17"/>
          <w:color w:val="auto"/>
        </w:rPr>
        <w:t>In the first quarter of fiscal 2007, the Company granted 70,000 restricted stock awards to its employees under the 1995 Stock Option Plan. Such awards generally vest over a period of five years from the date of grant. The restricted stock awards have the voting rights of common stock and the shares underlying the restricted are considered issued and outstanding. The Company expenses the cost of the restricted stock awards, which is determined to be the fair market value of the shares at the date of grant, ratably over the period during which the restrictions lapse. The grant of restricted stock awards is deducted from the shares available for grant under the Company’s stock option plan. Restricted stock activity under the Company’s stock option plans for the three months ended April 30, 2006 is summarized below (in thousands, except per share amounts):</w:t>
      </w:r>
    </w:p>
    <w:p>
      <w:pPr>
        <w:spacing w:after="0" w:line="140"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3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1"/>
              </w:rPr>
              <w:t>Weighted</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5340" w:type="dxa"/>
            <w:vAlign w:val="bottom"/>
          </w:tcPr>
          <w:p>
            <w:pPr>
              <w:spacing w:after="0"/>
              <w:rPr>
                <w:sz w:val="11"/>
                <w:szCs w:val="11"/>
                <w:color w:val="auto"/>
              </w:rPr>
            </w:pPr>
          </w:p>
        </w:tc>
        <w:tc>
          <w:tcPr>
            <w:tcW w:w="1040" w:type="dxa"/>
            <w:vAlign w:val="bottom"/>
            <w:vMerge w:val="restart"/>
          </w:tcPr>
          <w:p>
            <w:pPr>
              <w:jc w:val="right"/>
              <w:spacing w:after="0"/>
              <w:rPr>
                <w:sz w:val="20"/>
                <w:szCs w:val="20"/>
                <w:color w:val="auto"/>
              </w:rPr>
            </w:pPr>
            <w:r>
              <w:rPr>
                <w:rFonts w:ascii="Arial" w:cs="Arial" w:eastAsia="Arial" w:hAnsi="Arial"/>
                <w:sz w:val="14"/>
                <w:szCs w:val="14"/>
                <w:b w:val="1"/>
                <w:bCs w:val="1"/>
                <w:color w:val="auto"/>
                <w:w w:val="90"/>
              </w:rPr>
              <w:t>Restricted Stock</w:t>
            </w:r>
          </w:p>
        </w:tc>
        <w:tc>
          <w:tcPr>
            <w:tcW w:w="2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980" w:type="dxa"/>
            <w:vAlign w:val="bottom"/>
            <w:gridSpan w:val="2"/>
          </w:tcPr>
          <w:p>
            <w:pPr>
              <w:jc w:val="center"/>
              <w:ind w:right="280"/>
              <w:spacing w:after="0" w:line="135"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5340" w:type="dxa"/>
            <w:vAlign w:val="bottom"/>
          </w:tcPr>
          <w:p>
            <w:pPr>
              <w:spacing w:after="0"/>
              <w:rPr>
                <w:sz w:val="11"/>
                <w:szCs w:val="11"/>
                <w:color w:val="auto"/>
              </w:rPr>
            </w:pPr>
          </w:p>
        </w:tc>
        <w:tc>
          <w:tcPr>
            <w:tcW w:w="104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980" w:type="dxa"/>
            <w:vAlign w:val="bottom"/>
            <w:gridSpan w:val="2"/>
          </w:tcPr>
          <w:p>
            <w:pPr>
              <w:jc w:val="center"/>
              <w:ind w:right="260"/>
              <w:spacing w:after="0" w:line="135" w:lineRule="exact"/>
              <w:rPr>
                <w:sz w:val="20"/>
                <w:szCs w:val="20"/>
                <w:color w:val="auto"/>
              </w:rPr>
            </w:pPr>
            <w:r>
              <w:rPr>
                <w:rFonts w:ascii="Arial" w:cs="Arial" w:eastAsia="Arial" w:hAnsi="Arial"/>
                <w:sz w:val="14"/>
                <w:szCs w:val="14"/>
                <w:b w:val="1"/>
                <w:bCs w:val="1"/>
                <w:color w:val="auto"/>
                <w:w w:val="90"/>
              </w:rPr>
              <w:t>Exercise</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5340" w:type="dxa"/>
            <w:vAlign w:val="bottom"/>
          </w:tcPr>
          <w:p>
            <w:pPr>
              <w:spacing w:after="0"/>
              <w:rPr>
                <w:sz w:val="14"/>
                <w:szCs w:val="14"/>
                <w:color w:val="auto"/>
              </w:rPr>
            </w:pPr>
          </w:p>
        </w:tc>
        <w:tc>
          <w:tcPr>
            <w:tcW w:w="1040" w:type="dxa"/>
            <w:vAlign w:val="bottom"/>
          </w:tcPr>
          <w:p>
            <w:pPr>
              <w:jc w:val="right"/>
              <w:ind w:right="55"/>
              <w:spacing w:after="0"/>
              <w:rPr>
                <w:sz w:val="20"/>
                <w:szCs w:val="20"/>
                <w:color w:val="auto"/>
              </w:rPr>
            </w:pPr>
            <w:r>
              <w:rPr>
                <w:rFonts w:ascii="Arial" w:cs="Arial" w:eastAsia="Arial" w:hAnsi="Arial"/>
                <w:sz w:val="14"/>
                <w:szCs w:val="14"/>
                <w:b w:val="1"/>
                <w:bCs w:val="1"/>
                <w:color w:val="auto"/>
              </w:rPr>
              <w:t>Outstanding</w:t>
            </w:r>
          </w:p>
        </w:tc>
        <w:tc>
          <w:tcPr>
            <w:tcW w:w="2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3"/>
              </w:rPr>
              <w:t>Price</w:t>
            </w: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5340" w:type="dxa"/>
            <w:vAlign w:val="bottom"/>
          </w:tcPr>
          <w:p>
            <w:pPr>
              <w:spacing w:after="0"/>
              <w:rPr>
                <w:sz w:val="18"/>
                <w:szCs w:val="18"/>
                <w:color w:val="auto"/>
              </w:rPr>
            </w:pPr>
          </w:p>
        </w:tc>
        <w:tc>
          <w:tcPr>
            <w:tcW w:w="1040" w:type="dxa"/>
            <w:vAlign w:val="bottom"/>
            <w:tcBorders>
              <w:top w:val="single" w:sz="8" w:color="auto"/>
            </w:tcBorders>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900" w:type="dxa"/>
            <w:vAlign w:val="bottom"/>
            <w:tcBorders>
              <w:top w:val="single" w:sz="8" w:color="auto"/>
            </w:tcBorders>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31, 2006</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tcPr>
          <w:p>
            <w:pPr>
              <w:ind w:left="160"/>
              <w:spacing w:after="0"/>
              <w:rPr>
                <w:sz w:val="20"/>
                <w:szCs w:val="20"/>
                <w:color w:val="auto"/>
              </w:rPr>
            </w:pPr>
            <w:r>
              <w:rPr>
                <w:rFonts w:ascii="Arial" w:cs="Arial" w:eastAsia="Arial" w:hAnsi="Arial"/>
                <w:sz w:val="18"/>
                <w:szCs w:val="18"/>
                <w:color w:val="auto"/>
              </w:rPr>
              <w:t>Restricted stock granted</w:t>
            </w:r>
          </w:p>
        </w:tc>
        <w:tc>
          <w:tcPr>
            <w:tcW w:w="1040" w:type="dxa"/>
            <w:vAlign w:val="bottom"/>
          </w:tcPr>
          <w:p>
            <w:pPr>
              <w:jc w:val="right"/>
              <w:spacing w:after="0"/>
              <w:rPr>
                <w:sz w:val="20"/>
                <w:szCs w:val="20"/>
                <w:color w:val="auto"/>
              </w:rPr>
            </w:pPr>
            <w:r>
              <w:rPr>
                <w:rFonts w:ascii="Arial" w:cs="Arial" w:eastAsia="Arial" w:hAnsi="Arial"/>
                <w:sz w:val="18"/>
                <w:szCs w:val="18"/>
                <w:color w:val="auto"/>
              </w:rPr>
              <w:t>70</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64.42</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Restricted stock forfeited</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tcBorders>
              <w:bottom w:val="single" w:sz="8" w:color="CCEEFF"/>
            </w:tcBorders>
          </w:tcPr>
          <w:p>
            <w:pPr>
              <w:ind w:left="160"/>
              <w:spacing w:after="0"/>
              <w:rPr>
                <w:sz w:val="20"/>
                <w:szCs w:val="20"/>
                <w:color w:val="auto"/>
              </w:rPr>
            </w:pPr>
            <w:r>
              <w:rPr>
                <w:rFonts w:ascii="Arial" w:cs="Arial" w:eastAsia="Arial" w:hAnsi="Arial"/>
                <w:sz w:val="18"/>
                <w:szCs w:val="18"/>
                <w:color w:val="auto"/>
              </w:rPr>
              <w:t>Restricted stock vested</w:t>
            </w: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tcPr>
          <w:p>
            <w:pPr>
              <w:spacing w:after="0"/>
              <w:rPr>
                <w:sz w:val="18"/>
                <w:szCs w:val="18"/>
                <w:color w:val="auto"/>
              </w:rPr>
            </w:pPr>
          </w:p>
        </w:tc>
        <w:tc>
          <w:tcPr>
            <w:tcW w:w="180" w:type="dxa"/>
            <w:vAlign w:val="bottom"/>
            <w:tcBorders>
              <w:bottom w:val="single" w:sz="8" w:color="CCEEFF"/>
            </w:tcBorders>
          </w:tcPr>
          <w:p>
            <w:pPr>
              <w:spacing w:after="0"/>
              <w:rPr>
                <w:sz w:val="18"/>
                <w:szCs w:val="18"/>
                <w:color w:val="auto"/>
              </w:rPr>
            </w:pPr>
          </w:p>
        </w:tc>
        <w:tc>
          <w:tcPr>
            <w:tcW w:w="980" w:type="dxa"/>
            <w:vAlign w:val="bottom"/>
            <w:tcBorders>
              <w:bottom w:val="single" w:sz="8" w:color="CCEEFF"/>
            </w:tcBorders>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34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April 30, 2006</w:t>
            </w: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w:t>
            </w:r>
          </w:p>
        </w:tc>
        <w:tc>
          <w:tcPr>
            <w:tcW w:w="38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64.42</w:t>
            </w:r>
          </w:p>
        </w:tc>
        <w:tc>
          <w:tcPr>
            <w:tcW w:w="8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340" w:type="dxa"/>
            <w:vAlign w:val="bottom"/>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right="680" w:firstLine="243"/>
        <w:spacing w:after="0" w:line="277" w:lineRule="auto"/>
        <w:rPr>
          <w:sz w:val="20"/>
          <w:szCs w:val="20"/>
          <w:color w:val="auto"/>
        </w:rPr>
      </w:pPr>
      <w:r>
        <w:rPr>
          <w:rFonts w:ascii="Arial" w:cs="Arial" w:eastAsia="Arial" w:hAnsi="Arial"/>
          <w:sz w:val="18"/>
          <w:szCs w:val="18"/>
          <w:color w:val="auto"/>
        </w:rPr>
        <w:t>No restricted stock awards vested during the three months ended April 30, 2006. Based on the closing price of the Company’s stock of $57.09, on April 28, 2006, the total pretax intrinsic value of all outstanding restricted stock was $4.0 million.</w:t>
      </w:r>
    </w:p>
    <w:p>
      <w:pPr>
        <w:spacing w:after="0" w:line="170" w:lineRule="exact"/>
        <w:rPr>
          <w:sz w:val="20"/>
          <w:szCs w:val="20"/>
          <w:color w:val="auto"/>
        </w:rPr>
      </w:pPr>
    </w:p>
    <w:p>
      <w:pPr>
        <w:ind w:left="260"/>
        <w:spacing w:after="0"/>
        <w:rPr>
          <w:sz w:val="20"/>
          <w:szCs w:val="20"/>
          <w:color w:val="auto"/>
        </w:rPr>
      </w:pPr>
      <w:r>
        <w:rPr>
          <w:rFonts w:ascii="Arial" w:cs="Arial" w:eastAsia="Arial" w:hAnsi="Arial"/>
          <w:sz w:val="18"/>
          <w:szCs w:val="18"/>
          <w:color w:val="auto"/>
        </w:rPr>
        <w:t>The following table presents details of stock-based compensation expenses by functional line item (in thousands):</w:t>
      </w:r>
    </w:p>
    <w:p>
      <w:pPr>
        <w:spacing w:after="0" w:line="201" w:lineRule="exact"/>
        <w:rPr>
          <w:sz w:val="20"/>
          <w:szCs w:val="20"/>
          <w:color w:val="auto"/>
        </w:rPr>
      </w:pPr>
    </w:p>
    <w:p>
      <w:pPr>
        <w:jc w:val="center"/>
        <w:ind w:left="5800"/>
        <w:spacing w:after="0"/>
        <w:rPr>
          <w:sz w:val="20"/>
          <w:szCs w:val="20"/>
          <w:color w:val="auto"/>
        </w:rPr>
      </w:pPr>
      <w:r>
        <w:rPr>
          <w:rFonts w:ascii="Arial" w:cs="Arial" w:eastAsia="Arial" w:hAnsi="Arial"/>
          <w:sz w:val="14"/>
          <w:szCs w:val="14"/>
          <w:b w:val="1"/>
          <w:bCs w:val="1"/>
          <w:color w:val="auto"/>
        </w:rPr>
        <w:t>Three Months Ended</w:t>
      </w:r>
    </w:p>
    <w:p>
      <w:pPr>
        <w:jc w:val="center"/>
        <w:ind w:left="5800"/>
        <w:spacing w:after="0" w:line="209" w:lineRule="auto"/>
        <w:rPr>
          <w:sz w:val="20"/>
          <w:szCs w:val="20"/>
          <w:color w:val="auto"/>
        </w:rPr>
      </w:pPr>
      <w:r>
        <w:rPr>
          <w:rFonts w:ascii="Arial" w:cs="Arial" w:eastAsia="Arial" w:hAnsi="Arial"/>
          <w:sz w:val="14"/>
          <w:szCs w:val="14"/>
          <w:b w:val="1"/>
          <w:bCs w:val="1"/>
          <w:color w:val="auto"/>
        </w:rPr>
        <w:t>April 30,</w:t>
      </w:r>
    </w:p>
    <w:p>
      <w:pPr>
        <w:ind w:left="7940"/>
        <w:spacing w:after="0"/>
        <w:tabs>
          <w:tab w:leader="none" w:pos="8960" w:val="left"/>
        </w:tabs>
        <w:rPr>
          <w:sz w:val="20"/>
          <w:szCs w:val="20"/>
          <w:color w:val="auto"/>
        </w:rPr>
      </w:pPr>
      <w:r>
        <w:rPr>
          <w:rFonts w:ascii="Arial" w:cs="Arial" w:eastAsia="Arial" w:hAnsi="Arial"/>
          <w:sz w:val="14"/>
          <w:szCs w:val="14"/>
          <w:b w:val="1"/>
          <w:bCs w:val="1"/>
          <w:color w:val="auto"/>
        </w:rPr>
        <w:t>2006</w:t>
      </w:r>
      <w:r>
        <w:rPr>
          <w:sz w:val="20"/>
          <w:szCs w:val="20"/>
          <w:color w:val="auto"/>
        </w:rPr>
        <w:tab/>
      </w:r>
      <w:r>
        <w:rPr>
          <w:rFonts w:ascii="Arial" w:cs="Arial" w:eastAsia="Arial" w:hAnsi="Arial"/>
          <w:sz w:val="14"/>
          <w:szCs w:val="14"/>
          <w:b w:val="1"/>
          <w:bCs w:val="1"/>
          <w:color w:val="auto"/>
        </w:rPr>
        <w:t>2005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1162685</wp:posOffset>
            </wp:positionH>
            <wp:positionV relativeFrom="paragraph">
              <wp:posOffset>-3175</wp:posOffset>
            </wp:positionV>
            <wp:extent cx="4931410" cy="9588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3">
                      <a:extLst>
                        <a:ext uri="{28A0092B-C50C-407E-A947-70E740481C1C}"/>
                      </a:extLst>
                    </a:blip>
                    <a:srcRect/>
                    <a:stretch>
                      <a:fillRect/>
                    </a:stretch>
                  </pic:blipFill>
                  <pic:spPr bwMode="auto">
                    <a:xfrm>
                      <a:off x="0" y="0"/>
                      <a:ext cx="4931410" cy="95885"/>
                    </a:xfrm>
                    <a:prstGeom prst="rect">
                      <a:avLst/>
                    </a:prstGeom>
                    <a:noFill/>
                  </pic:spPr>
                </pic:pic>
              </a:graphicData>
            </a:graphic>
          </wp:anchor>
        </w:drawing>
        <w:drawing>
          <wp:anchor simplePos="0" relativeHeight="251657728" behindDoc="1" locked="0" layoutInCell="0" allowOverlap="1">
            <wp:simplePos x="0" y="0"/>
            <wp:positionH relativeFrom="column">
              <wp:posOffset>4885055</wp:posOffset>
            </wp:positionH>
            <wp:positionV relativeFrom="paragraph">
              <wp:posOffset>-97155</wp:posOffset>
            </wp:positionV>
            <wp:extent cx="117475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4">
                      <a:extLst>
                        <a:ext uri="{28A0092B-C50C-407E-A947-70E740481C1C}"/>
                      </a:extLst>
                    </a:blip>
                    <a:srcRect/>
                    <a:stretch>
                      <a:fillRect/>
                    </a:stretch>
                  </pic:blipFill>
                  <pic:spPr bwMode="auto">
                    <a:xfrm>
                      <a:off x="0" y="0"/>
                      <a:ext cx="1174750" cy="8890"/>
                    </a:xfrm>
                    <a:prstGeom prst="rect">
                      <a:avLst/>
                    </a:prstGeom>
                    <a:noFill/>
                  </pic:spPr>
                </pic:pic>
              </a:graphicData>
            </a:graphic>
          </wp:anchor>
        </w:drawing>
      </w:r>
    </w:p>
    <w:p>
      <w:pPr>
        <w:sectPr>
          <w:pgSz w:w="11900" w:h="16838" w:orient="portrait"/>
          <w:cols w:equalWidth="0" w:num="1">
            <w:col w:w="11420"/>
          </w:cols>
          <w:pgMar w:left="240" w:top="125" w:right="239" w:bottom="0" w:gutter="0" w:footer="0" w:header="0"/>
        </w:sectPr>
      </w:pPr>
    </w:p>
    <w:bookmarkStart w:id="13" w:name="page14"/>
    <w:bookmarkEnd w:id="13"/>
    <w:tbl>
      <w:tblPr>
        <w:tblLayout w:type="fixed"/>
        <w:tblInd w:w="1840" w:type="dxa"/>
        <w:tblCellMar>
          <w:top w:w="0" w:type="dxa"/>
          <w:left w:w="0" w:type="dxa"/>
          <w:bottom w:w="0" w:type="dxa"/>
          <w:right w:w="0" w:type="dxa"/>
        </w:tblCellMar>
      </w:tblPr>
      <w:tr>
        <w:trPr>
          <w:trHeight w:val="216"/>
        </w:trPr>
        <w:tc>
          <w:tcPr>
            <w:tcW w:w="586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2,865</w:t>
            </w:r>
          </w:p>
        </w:tc>
        <w:tc>
          <w:tcPr>
            <w:tcW w:w="220" w:type="dxa"/>
            <w:vAlign w:val="bottom"/>
            <w:shd w:val="clear" w:color="auto" w:fill="CCEEFF"/>
          </w:tcPr>
          <w:p>
            <w:pPr>
              <w:spacing w:after="0"/>
              <w:rPr>
                <w:sz w:val="18"/>
                <w:szCs w:val="18"/>
                <w:color w:val="auto"/>
              </w:rPr>
            </w:pPr>
          </w:p>
        </w:tc>
        <w:tc>
          <w:tcPr>
            <w:tcW w:w="320" w:type="dxa"/>
            <w:vAlign w:val="bottom"/>
            <w:shd w:val="clear" w:color="auto" w:fill="CCEEFF"/>
          </w:tcPr>
          <w:p>
            <w:pPr>
              <w:jc w:val="right"/>
              <w:ind w:right="165"/>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w:t>
            </w:r>
          </w:p>
        </w:tc>
        <w:tc>
          <w:tcPr>
            <w:tcW w:w="60" w:type="dxa"/>
            <w:vAlign w:val="bottom"/>
            <w:shd w:val="clear" w:color="auto" w:fill="CCEEFF"/>
          </w:tcPr>
          <w:p>
            <w:pPr>
              <w:spacing w:after="0"/>
              <w:rPr>
                <w:sz w:val="18"/>
                <w:szCs w:val="18"/>
                <w:color w:val="auto"/>
              </w:rPr>
            </w:pPr>
          </w:p>
        </w:tc>
      </w:tr>
      <w:tr>
        <w:trPr>
          <w:trHeight w:val="216"/>
        </w:trPr>
        <w:tc>
          <w:tcPr>
            <w:tcW w:w="586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27,477</w:t>
            </w: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511</w:t>
            </w:r>
          </w:p>
        </w:tc>
        <w:tc>
          <w:tcPr>
            <w:tcW w:w="60" w:type="dxa"/>
            <w:vAlign w:val="bottom"/>
          </w:tcPr>
          <w:p>
            <w:pPr>
              <w:spacing w:after="0"/>
              <w:rPr>
                <w:sz w:val="18"/>
                <w:szCs w:val="18"/>
                <w:color w:val="auto"/>
              </w:rPr>
            </w:pPr>
          </w:p>
        </w:tc>
      </w:tr>
      <w:tr>
        <w:trPr>
          <w:trHeight w:val="216"/>
        </w:trPr>
        <w:tc>
          <w:tcPr>
            <w:tcW w:w="586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8,131</w:t>
            </w:r>
          </w:p>
        </w:tc>
        <w:tc>
          <w:tcPr>
            <w:tcW w:w="2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214</w:t>
            </w:r>
          </w:p>
        </w:tc>
        <w:tc>
          <w:tcPr>
            <w:tcW w:w="60" w:type="dxa"/>
            <w:vAlign w:val="bottom"/>
            <w:shd w:val="clear" w:color="auto" w:fill="CCEEFF"/>
          </w:tcPr>
          <w:p>
            <w:pPr>
              <w:spacing w:after="0"/>
              <w:rPr>
                <w:sz w:val="18"/>
                <w:szCs w:val="18"/>
                <w:color w:val="auto"/>
              </w:rPr>
            </w:pPr>
          </w:p>
        </w:tc>
      </w:tr>
      <w:tr>
        <w:trPr>
          <w:trHeight w:val="216"/>
        </w:trPr>
        <w:tc>
          <w:tcPr>
            <w:tcW w:w="586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General and administrative</w:t>
            </w:r>
          </w:p>
        </w:tc>
        <w:tc>
          <w:tcPr>
            <w:tcW w:w="180" w:type="dxa"/>
            <w:vAlign w:val="bottom"/>
            <w:tcBorders>
              <w:bottom w:val="single" w:sz="8" w:color="auto"/>
            </w:tcBorders>
          </w:tcPr>
          <w:p>
            <w:pPr>
              <w:spacing w:after="0"/>
              <w:rPr>
                <w:sz w:val="18"/>
                <w:szCs w:val="18"/>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6,063</w:t>
            </w:r>
          </w:p>
        </w:tc>
        <w:tc>
          <w:tcPr>
            <w:tcW w:w="220" w:type="dxa"/>
            <w:vAlign w:val="bottom"/>
            <w:tcBorders>
              <w:bottom w:val="single" w:sz="8" w:color="CCEEFF"/>
            </w:tcBorders>
          </w:tcPr>
          <w:p>
            <w:pPr>
              <w:spacing w:after="0"/>
              <w:rPr>
                <w:sz w:val="18"/>
                <w:szCs w:val="18"/>
                <w:color w:val="auto"/>
              </w:rPr>
            </w:pPr>
          </w:p>
        </w:tc>
        <w:tc>
          <w:tcPr>
            <w:tcW w:w="320" w:type="dxa"/>
            <w:vAlign w:val="bottom"/>
            <w:tcBorders>
              <w:bottom w:val="single" w:sz="8" w:color="auto"/>
            </w:tcBorders>
          </w:tcPr>
          <w:p>
            <w:pPr>
              <w:spacing w:after="0"/>
              <w:rPr>
                <w:sz w:val="18"/>
                <w:szCs w:val="18"/>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139</w:t>
            </w:r>
          </w:p>
        </w:tc>
        <w:tc>
          <w:tcPr>
            <w:tcW w:w="60" w:type="dxa"/>
            <w:vAlign w:val="bottom"/>
            <w:tcBorders>
              <w:bottom w:val="single" w:sz="8" w:color="CCEEFF"/>
            </w:tcBorders>
          </w:tcPr>
          <w:p>
            <w:pPr>
              <w:spacing w:after="0"/>
              <w:rPr>
                <w:sz w:val="18"/>
                <w:szCs w:val="18"/>
                <w:color w:val="auto"/>
              </w:rPr>
            </w:pPr>
          </w:p>
        </w:tc>
      </w:tr>
      <w:tr>
        <w:trPr>
          <w:trHeight w:val="210"/>
        </w:trPr>
        <w:tc>
          <w:tcPr>
            <w:tcW w:w="5860" w:type="dxa"/>
            <w:vAlign w:val="bottom"/>
            <w:tcBorders>
              <w:bottom w:val="single" w:sz="8" w:color="CCEEFF"/>
            </w:tcBorders>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44,536</w:t>
            </w:r>
          </w:p>
        </w:tc>
        <w:tc>
          <w:tcPr>
            <w:tcW w:w="220" w:type="dxa"/>
            <w:vAlign w:val="bottom"/>
            <w:tcBorders>
              <w:bottom w:val="single" w:sz="8" w:color="CCEEFF"/>
            </w:tcBorders>
            <w:shd w:val="clear" w:color="auto" w:fill="CCEEFF"/>
          </w:tcPr>
          <w:p>
            <w:pPr>
              <w:spacing w:after="0"/>
              <w:rPr>
                <w:sz w:val="18"/>
                <w:szCs w:val="18"/>
                <w:color w:val="auto"/>
              </w:rPr>
            </w:pPr>
          </w:p>
        </w:tc>
        <w:tc>
          <w:tcPr>
            <w:tcW w:w="320" w:type="dxa"/>
            <w:vAlign w:val="bottom"/>
            <w:tcBorders>
              <w:bottom w:val="single" w:sz="8" w:color="auto"/>
            </w:tcBorders>
            <w:shd w:val="clear" w:color="auto" w:fill="CCEEFF"/>
          </w:tcPr>
          <w:p>
            <w:pPr>
              <w:jc w:val="right"/>
              <w:ind w:right="165"/>
              <w:spacing w:after="0"/>
              <w:rPr>
                <w:sz w:val="20"/>
                <w:szCs w:val="20"/>
                <w:color w:val="auto"/>
              </w:rPr>
            </w:pPr>
            <w:r>
              <w:rPr>
                <w:rFonts w:ascii="Arial" w:cs="Arial" w:eastAsia="Arial" w:hAnsi="Arial"/>
                <w:sz w:val="15"/>
                <w:szCs w:val="15"/>
                <w:color w:val="auto"/>
                <w:w w:val="71"/>
              </w:rPr>
              <w:t>$</w:t>
            </w:r>
          </w:p>
        </w:tc>
        <w:tc>
          <w:tcPr>
            <w:tcW w:w="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871</w:t>
            </w:r>
          </w:p>
        </w:tc>
        <w:tc>
          <w:tcPr>
            <w:tcW w:w="60" w:type="dxa"/>
            <w:vAlign w:val="bottom"/>
            <w:tcBorders>
              <w:bottom w:val="single" w:sz="8" w:color="CCEEFF"/>
            </w:tcBorders>
            <w:shd w:val="clear" w:color="auto" w:fill="CCEEFF"/>
          </w:tcPr>
          <w:p>
            <w:pPr>
              <w:spacing w:after="0"/>
              <w:rPr>
                <w:sz w:val="18"/>
                <w:szCs w:val="18"/>
                <w:color w:val="auto"/>
              </w:rPr>
            </w:pPr>
          </w:p>
        </w:tc>
      </w:tr>
      <w:tr>
        <w:trPr>
          <w:trHeight w:val="20"/>
        </w:trPr>
        <w:tc>
          <w:tcPr>
            <w:tcW w:w="586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56" w:lineRule="exact"/>
        <w:rPr>
          <w:sz w:val="20"/>
          <w:szCs w:val="20"/>
          <w:color w:val="auto"/>
        </w:rPr>
      </w:pPr>
    </w:p>
    <w:p>
      <w:pPr>
        <w:ind w:left="260"/>
        <w:spacing w:after="0"/>
        <w:rPr>
          <w:sz w:val="20"/>
          <w:szCs w:val="20"/>
          <w:color w:val="auto"/>
        </w:rPr>
      </w:pPr>
      <w:r>
        <w:rPr>
          <w:rFonts w:ascii="Arial" w:cs="Arial" w:eastAsia="Arial" w:hAnsi="Arial"/>
          <w:sz w:val="18"/>
          <w:szCs w:val="18"/>
          <w:color w:val="auto"/>
        </w:rPr>
        <w:t>During the quarter ended April 30, 2006, the Company capitalized $0.1 million of stock-based compensation into inventory.</w:t>
      </w:r>
    </w:p>
    <w:p>
      <w:pPr>
        <w:spacing w:after="0" w:line="225" w:lineRule="exact"/>
        <w:rPr>
          <w:sz w:val="20"/>
          <w:szCs w:val="20"/>
          <w:color w:val="auto"/>
        </w:rPr>
      </w:pPr>
    </w:p>
    <w:p>
      <w:pPr>
        <w:ind w:right="360" w:firstLine="243"/>
        <w:spacing w:after="0" w:line="277" w:lineRule="auto"/>
        <w:rPr>
          <w:sz w:val="20"/>
          <w:szCs w:val="20"/>
          <w:color w:val="auto"/>
        </w:rPr>
      </w:pPr>
      <w:r>
        <w:rPr>
          <w:rFonts w:ascii="Arial" w:cs="Arial" w:eastAsia="Arial" w:hAnsi="Arial"/>
          <w:sz w:val="18"/>
          <w:szCs w:val="18"/>
          <w:color w:val="auto"/>
        </w:rPr>
        <w:t>The following assumptions were used for each respective period to calculate the weighted average fair value of each option award on the date of grant using the Black-Scholes option pricing model:</w:t>
      </w:r>
    </w:p>
    <w:p>
      <w:pPr>
        <w:spacing w:after="0" w:line="149" w:lineRule="exact"/>
        <w:rPr>
          <w:sz w:val="20"/>
          <w:szCs w:val="20"/>
          <w:color w:val="auto"/>
        </w:rPr>
      </w:pPr>
    </w:p>
    <w:tbl>
      <w:tblPr>
        <w:tblLayout w:type="fixed"/>
        <w:tblInd w:w="1800" w:type="dxa"/>
        <w:tblCellMar>
          <w:top w:w="0" w:type="dxa"/>
          <w:left w:w="0" w:type="dxa"/>
          <w:bottom w:w="0" w:type="dxa"/>
          <w:right w:w="0" w:type="dxa"/>
        </w:tblCellMar>
      </w:tblPr>
      <w:tr>
        <w:trPr>
          <w:trHeight w:val="171"/>
        </w:trPr>
        <w:tc>
          <w:tcPr>
            <w:tcW w:w="3300" w:type="dxa"/>
            <w:vAlign w:val="bottom"/>
          </w:tcPr>
          <w:p>
            <w:pPr>
              <w:spacing w:after="0"/>
              <w:rPr>
                <w:sz w:val="14"/>
                <w:szCs w:val="14"/>
                <w:color w:val="auto"/>
              </w:rPr>
            </w:pPr>
          </w:p>
        </w:tc>
        <w:tc>
          <w:tcPr>
            <w:tcW w:w="2180" w:type="dxa"/>
            <w:vAlign w:val="bottom"/>
            <w:gridSpan w:val="5"/>
          </w:tcPr>
          <w:p>
            <w:pPr>
              <w:jc w:val="center"/>
              <w:ind w:right="220"/>
              <w:spacing w:after="0"/>
              <w:rPr>
                <w:sz w:val="20"/>
                <w:szCs w:val="20"/>
                <w:color w:val="auto"/>
              </w:rPr>
            </w:pPr>
            <w:r>
              <w:rPr>
                <w:rFonts w:ascii="Arial" w:cs="Arial" w:eastAsia="Arial" w:hAnsi="Arial"/>
                <w:sz w:val="14"/>
                <w:szCs w:val="14"/>
                <w:b w:val="1"/>
                <w:bCs w:val="1"/>
                <w:color w:val="auto"/>
                <w:w w:val="93"/>
              </w:rPr>
              <w:t>Stock Option Plans</w:t>
            </w:r>
          </w:p>
        </w:tc>
        <w:tc>
          <w:tcPr>
            <w:tcW w:w="1380" w:type="dxa"/>
            <w:vAlign w:val="bottom"/>
            <w:gridSpan w:val="3"/>
          </w:tcPr>
          <w:p>
            <w:pPr>
              <w:jc w:val="center"/>
              <w:ind w:left="621"/>
              <w:spacing w:after="0"/>
              <w:rPr>
                <w:sz w:val="20"/>
                <w:szCs w:val="20"/>
                <w:color w:val="auto"/>
              </w:rPr>
            </w:pPr>
            <w:r>
              <w:rPr>
                <w:rFonts w:ascii="Arial" w:cs="Arial" w:eastAsia="Arial" w:hAnsi="Arial"/>
                <w:sz w:val="14"/>
                <w:szCs w:val="14"/>
                <w:b w:val="1"/>
                <w:bCs w:val="1"/>
                <w:color w:val="auto"/>
                <w:w w:val="96"/>
              </w:rPr>
              <w:t>ESPP</w:t>
            </w: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3300" w:type="dxa"/>
            <w:vAlign w:val="bottom"/>
          </w:tcPr>
          <w:p>
            <w:pPr>
              <w:spacing w:after="0"/>
              <w:rPr>
                <w:sz w:val="8"/>
                <w:szCs w:val="8"/>
                <w:color w:val="auto"/>
              </w:rPr>
            </w:pPr>
          </w:p>
        </w:tc>
        <w:tc>
          <w:tcPr>
            <w:tcW w:w="1980" w:type="dxa"/>
            <w:vAlign w:val="bottom"/>
            <w:tcBorders>
              <w:top w:val="single" w:sz="8" w:color="auto"/>
            </w:tcBorders>
            <w:gridSpan w:val="4"/>
          </w:tcPr>
          <w:p>
            <w:pPr>
              <w:jc w:val="center"/>
              <w:spacing w:after="0" w:line="102" w:lineRule="exact"/>
              <w:rPr>
                <w:sz w:val="20"/>
                <w:szCs w:val="20"/>
                <w:color w:val="auto"/>
              </w:rPr>
            </w:pPr>
            <w:r>
              <w:rPr>
                <w:rFonts w:ascii="Arial" w:cs="Arial" w:eastAsia="Arial" w:hAnsi="Arial"/>
                <w:sz w:val="11"/>
                <w:szCs w:val="11"/>
                <w:b w:val="1"/>
                <w:bCs w:val="1"/>
                <w:color w:val="auto"/>
              </w:rPr>
              <w:t>Three Months Ended</w:t>
            </w:r>
          </w:p>
        </w:tc>
        <w:tc>
          <w:tcPr>
            <w:tcW w:w="200" w:type="dxa"/>
            <w:vAlign w:val="bottom"/>
          </w:tcPr>
          <w:p>
            <w:pPr>
              <w:spacing w:after="0"/>
              <w:rPr>
                <w:sz w:val="8"/>
                <w:szCs w:val="8"/>
                <w:color w:val="auto"/>
              </w:rPr>
            </w:pPr>
          </w:p>
        </w:tc>
        <w:tc>
          <w:tcPr>
            <w:tcW w:w="2080" w:type="dxa"/>
            <w:vAlign w:val="bottom"/>
            <w:tcBorders>
              <w:top w:val="single" w:sz="8" w:color="auto"/>
            </w:tcBorders>
            <w:gridSpan w:val="4"/>
          </w:tcPr>
          <w:p>
            <w:pPr>
              <w:jc w:val="center"/>
              <w:spacing w:after="0" w:line="102" w:lineRule="exact"/>
              <w:rPr>
                <w:sz w:val="20"/>
                <w:szCs w:val="20"/>
                <w:color w:val="auto"/>
              </w:rPr>
            </w:pPr>
            <w:r>
              <w:rPr>
                <w:rFonts w:ascii="Arial" w:cs="Arial" w:eastAsia="Arial" w:hAnsi="Arial"/>
                <w:sz w:val="11"/>
                <w:szCs w:val="11"/>
                <w:b w:val="1"/>
                <w:bCs w:val="1"/>
                <w:color w:val="auto"/>
              </w:rPr>
              <w:t>Three Months Ended</w:t>
            </w: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35"/>
        </w:trPr>
        <w:tc>
          <w:tcPr>
            <w:tcW w:w="3300" w:type="dxa"/>
            <w:vAlign w:val="bottom"/>
          </w:tcPr>
          <w:p>
            <w:pPr>
              <w:spacing w:after="0"/>
              <w:rPr>
                <w:sz w:val="11"/>
                <w:szCs w:val="11"/>
                <w:color w:val="auto"/>
              </w:rPr>
            </w:pPr>
          </w:p>
        </w:tc>
        <w:tc>
          <w:tcPr>
            <w:tcW w:w="1320" w:type="dxa"/>
            <w:vAlign w:val="bottom"/>
            <w:gridSpan w:val="3"/>
          </w:tcPr>
          <w:p>
            <w:pPr>
              <w:jc w:val="center"/>
              <w:ind w:left="560"/>
              <w:spacing w:after="0" w:line="135" w:lineRule="exact"/>
              <w:rPr>
                <w:sz w:val="20"/>
                <w:szCs w:val="20"/>
                <w:color w:val="auto"/>
              </w:rPr>
            </w:pPr>
            <w:r>
              <w:rPr>
                <w:rFonts w:ascii="Arial" w:cs="Arial" w:eastAsia="Arial" w:hAnsi="Arial"/>
                <w:sz w:val="14"/>
                <w:szCs w:val="14"/>
                <w:b w:val="1"/>
                <w:bCs w:val="1"/>
                <w:color w:val="auto"/>
              </w:rPr>
              <w:t>April 30,</w:t>
            </w:r>
          </w:p>
        </w:tc>
        <w:tc>
          <w:tcPr>
            <w:tcW w:w="660" w:type="dxa"/>
            <w:vAlign w:val="bottom"/>
            <w:vMerge w:val="restart"/>
          </w:tcPr>
          <w:p>
            <w:pPr>
              <w:jc w:val="right"/>
              <w:ind w:right="214"/>
              <w:spacing w:after="0"/>
              <w:rPr>
                <w:sz w:val="20"/>
                <w:szCs w:val="20"/>
                <w:color w:val="auto"/>
              </w:rPr>
            </w:pPr>
            <w:r>
              <w:rPr>
                <w:rFonts w:ascii="Arial" w:cs="Arial" w:eastAsia="Arial" w:hAnsi="Arial"/>
                <w:sz w:val="14"/>
                <w:szCs w:val="14"/>
                <w:b w:val="1"/>
                <w:bCs w:val="1"/>
                <w:color w:val="auto"/>
              </w:rPr>
              <w:t>2005</w:t>
            </w:r>
          </w:p>
        </w:tc>
        <w:tc>
          <w:tcPr>
            <w:tcW w:w="200" w:type="dxa"/>
            <w:vAlign w:val="bottom"/>
          </w:tcPr>
          <w:p>
            <w:pPr>
              <w:spacing w:after="0"/>
              <w:rPr>
                <w:sz w:val="11"/>
                <w:szCs w:val="11"/>
                <w:color w:val="auto"/>
              </w:rPr>
            </w:pPr>
          </w:p>
        </w:tc>
        <w:tc>
          <w:tcPr>
            <w:tcW w:w="1380" w:type="dxa"/>
            <w:vAlign w:val="bottom"/>
            <w:gridSpan w:val="3"/>
          </w:tcPr>
          <w:p>
            <w:pPr>
              <w:jc w:val="center"/>
              <w:ind w:left="601"/>
              <w:spacing w:after="0" w:line="135" w:lineRule="exact"/>
              <w:rPr>
                <w:sz w:val="20"/>
                <w:szCs w:val="20"/>
                <w:color w:val="auto"/>
              </w:rPr>
            </w:pPr>
            <w:r>
              <w:rPr>
                <w:rFonts w:ascii="Arial" w:cs="Arial" w:eastAsia="Arial" w:hAnsi="Arial"/>
                <w:sz w:val="14"/>
                <w:szCs w:val="14"/>
                <w:b w:val="1"/>
                <w:bCs w:val="1"/>
                <w:color w:val="auto"/>
                <w:w w:val="97"/>
              </w:rPr>
              <w:t>April 30,</w:t>
            </w:r>
          </w:p>
        </w:tc>
        <w:tc>
          <w:tcPr>
            <w:tcW w:w="700" w:type="dxa"/>
            <w:vAlign w:val="bottom"/>
            <w:vMerge w:val="restart"/>
          </w:tcPr>
          <w:p>
            <w:pPr>
              <w:jc w:val="right"/>
              <w:ind w:right="234"/>
              <w:spacing w:after="0"/>
              <w:rPr>
                <w:sz w:val="20"/>
                <w:szCs w:val="20"/>
                <w:color w:val="auto"/>
              </w:rPr>
            </w:pPr>
            <w:r>
              <w:rPr>
                <w:rFonts w:ascii="Arial" w:cs="Arial" w:eastAsia="Arial" w:hAnsi="Arial"/>
                <w:sz w:val="14"/>
                <w:szCs w:val="14"/>
                <w:b w:val="1"/>
                <w:bCs w:val="1"/>
                <w:color w:val="auto"/>
              </w:rPr>
              <w:t>2005</w:t>
            </w:r>
          </w:p>
        </w:tc>
        <w:tc>
          <w:tcPr>
            <w:tcW w:w="2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3300" w:type="dxa"/>
            <w:vAlign w:val="bottom"/>
            <w:tcBorders>
              <w:bottom w:val="single" w:sz="8" w:color="CCEEFF"/>
            </w:tcBorders>
          </w:tcPr>
          <w:p>
            <w:pPr>
              <w:spacing w:after="0"/>
              <w:rPr>
                <w:sz w:val="14"/>
                <w:szCs w:val="14"/>
                <w:color w:val="auto"/>
              </w:rPr>
            </w:pPr>
          </w:p>
        </w:tc>
        <w:tc>
          <w:tcPr>
            <w:tcW w:w="880" w:type="dxa"/>
            <w:vAlign w:val="bottom"/>
            <w:tcBorders>
              <w:bottom w:val="single" w:sz="8" w:color="auto"/>
            </w:tcBorders>
          </w:tcPr>
          <w:p>
            <w:pPr>
              <w:jc w:val="right"/>
              <w:ind w:right="220"/>
              <w:spacing w:after="0"/>
              <w:rPr>
                <w:sz w:val="20"/>
                <w:szCs w:val="20"/>
                <w:color w:val="auto"/>
              </w:rPr>
            </w:pPr>
            <w:r>
              <w:rPr>
                <w:rFonts w:ascii="Arial" w:cs="Arial" w:eastAsia="Arial" w:hAnsi="Arial"/>
                <w:sz w:val="14"/>
                <w:szCs w:val="14"/>
                <w:b w:val="1"/>
                <w:bCs w:val="1"/>
                <w:color w:val="auto"/>
              </w:rPr>
              <w:t>2006</w:t>
            </w:r>
          </w:p>
        </w:tc>
        <w:tc>
          <w:tcPr>
            <w:tcW w:w="220" w:type="dxa"/>
            <w:vAlign w:val="bottom"/>
            <w:tcBorders>
              <w:bottom w:val="single" w:sz="8" w:color="CCEEFF"/>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vMerge w:val="continue"/>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880" w:type="dxa"/>
            <w:vAlign w:val="bottom"/>
            <w:tcBorders>
              <w:bottom w:val="single" w:sz="8" w:color="auto"/>
            </w:tcBorders>
          </w:tcPr>
          <w:p>
            <w:pPr>
              <w:jc w:val="right"/>
              <w:ind w:right="221"/>
              <w:spacing w:after="0"/>
              <w:rPr>
                <w:sz w:val="20"/>
                <w:szCs w:val="20"/>
                <w:color w:val="auto"/>
              </w:rPr>
            </w:pPr>
            <w:r>
              <w:rPr>
                <w:rFonts w:ascii="Arial" w:cs="Arial" w:eastAsia="Arial" w:hAnsi="Arial"/>
                <w:sz w:val="14"/>
                <w:szCs w:val="14"/>
                <w:b w:val="1"/>
                <w:bCs w:val="1"/>
                <w:color w:val="auto"/>
              </w:rPr>
              <w:t>2006</w:t>
            </w:r>
          </w:p>
        </w:tc>
        <w:tc>
          <w:tcPr>
            <w:tcW w:w="280" w:type="dxa"/>
            <w:vAlign w:val="bottom"/>
            <w:tcBorders>
              <w:bottom w:val="single" w:sz="8" w:color="CCEEFF"/>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vMerge w:val="continue"/>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300" w:type="dxa"/>
            <w:vAlign w:val="bottom"/>
            <w:shd w:val="clear" w:color="auto" w:fill="CCEEFF"/>
          </w:tcPr>
          <w:p>
            <w:pPr>
              <w:spacing w:after="0"/>
              <w:rPr>
                <w:sz w:val="20"/>
                <w:szCs w:val="20"/>
                <w:color w:val="auto"/>
              </w:rPr>
            </w:pPr>
            <w:r>
              <w:rPr>
                <w:rFonts w:ascii="Arial" w:cs="Arial" w:eastAsia="Arial" w:hAnsi="Arial"/>
                <w:sz w:val="18"/>
                <w:szCs w:val="18"/>
                <w:color w:val="auto"/>
              </w:rPr>
              <w:t>Volatility</w:t>
            </w:r>
          </w:p>
        </w:tc>
        <w:tc>
          <w:tcPr>
            <w:tcW w:w="11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57%</w:t>
            </w:r>
          </w:p>
        </w:tc>
        <w:tc>
          <w:tcPr>
            <w:tcW w:w="2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73%</w:t>
            </w:r>
          </w:p>
        </w:tc>
        <w:tc>
          <w:tcPr>
            <w:tcW w:w="11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59% - 73%</w:t>
            </w:r>
          </w:p>
        </w:tc>
        <w:tc>
          <w:tcPr>
            <w:tcW w:w="120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w w:val="96"/>
              </w:rPr>
              <w:t>110% - 112%</w:t>
            </w:r>
          </w:p>
        </w:tc>
        <w:tc>
          <w:tcPr>
            <w:tcW w:w="0" w:type="dxa"/>
            <w:vAlign w:val="bottom"/>
          </w:tcPr>
          <w:p>
            <w:pPr>
              <w:spacing w:after="0"/>
              <w:rPr>
                <w:sz w:val="1"/>
                <w:szCs w:val="1"/>
                <w:color w:val="auto"/>
              </w:rPr>
            </w:pPr>
          </w:p>
        </w:tc>
      </w:tr>
      <w:tr>
        <w:trPr>
          <w:trHeight w:val="216"/>
        </w:trPr>
        <w:tc>
          <w:tcPr>
            <w:tcW w:w="3300" w:type="dxa"/>
            <w:vAlign w:val="bottom"/>
          </w:tcPr>
          <w:p>
            <w:pPr>
              <w:spacing w:after="0"/>
              <w:rPr>
                <w:sz w:val="20"/>
                <w:szCs w:val="20"/>
                <w:color w:val="auto"/>
              </w:rPr>
            </w:pPr>
            <w:r>
              <w:rPr>
                <w:rFonts w:ascii="Arial" w:cs="Arial" w:eastAsia="Arial" w:hAnsi="Arial"/>
                <w:sz w:val="18"/>
                <w:szCs w:val="18"/>
                <w:color w:val="auto"/>
              </w:rPr>
              <w:t>Expected life (in years)</w:t>
            </w:r>
          </w:p>
        </w:tc>
        <w:tc>
          <w:tcPr>
            <w:tcW w:w="880" w:type="dxa"/>
            <w:vAlign w:val="bottom"/>
          </w:tcPr>
          <w:p>
            <w:pPr>
              <w:jc w:val="right"/>
              <w:spacing w:after="0"/>
              <w:rPr>
                <w:sz w:val="20"/>
                <w:szCs w:val="20"/>
                <w:color w:val="auto"/>
              </w:rPr>
            </w:pPr>
            <w:r>
              <w:rPr>
                <w:rFonts w:ascii="Arial" w:cs="Arial" w:eastAsia="Arial" w:hAnsi="Arial"/>
                <w:sz w:val="18"/>
                <w:szCs w:val="18"/>
                <w:color w:val="auto"/>
              </w:rPr>
              <w:t>4.9</w:t>
            </w: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4.6</w:t>
            </w:r>
          </w:p>
        </w:tc>
        <w:tc>
          <w:tcPr>
            <w:tcW w:w="20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1.3</w:t>
            </w: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30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11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4.7%</w:t>
            </w:r>
          </w:p>
        </w:tc>
        <w:tc>
          <w:tcPr>
            <w:tcW w:w="2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4.0%</w:t>
            </w:r>
          </w:p>
        </w:tc>
        <w:tc>
          <w:tcPr>
            <w:tcW w:w="11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3.9%</w:t>
            </w:r>
          </w:p>
        </w:tc>
        <w:tc>
          <w:tcPr>
            <w:tcW w:w="2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230"/>
        </w:trPr>
        <w:tc>
          <w:tcPr>
            <w:tcW w:w="3300" w:type="dxa"/>
            <w:vAlign w:val="bottom"/>
          </w:tcPr>
          <w:p>
            <w:pPr>
              <w:spacing w:after="0"/>
              <w:rPr>
                <w:sz w:val="20"/>
                <w:szCs w:val="20"/>
                <w:color w:val="auto"/>
              </w:rPr>
            </w:pPr>
            <w:r>
              <w:rPr>
                <w:rFonts w:ascii="Arial" w:cs="Arial" w:eastAsia="Arial" w:hAnsi="Arial"/>
                <w:sz w:val="18"/>
                <w:szCs w:val="18"/>
                <w:color w:val="auto"/>
              </w:rPr>
              <w:t>Dividend yield</w:t>
            </w:r>
          </w:p>
        </w:tc>
        <w:tc>
          <w:tcPr>
            <w:tcW w:w="1320" w:type="dxa"/>
            <w:vAlign w:val="bottom"/>
            <w:gridSpan w:val="3"/>
          </w:tcPr>
          <w:p>
            <w:pPr>
              <w:jc w:val="right"/>
              <w:ind w:right="460"/>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380" w:type="dxa"/>
            <w:vAlign w:val="bottom"/>
            <w:gridSpan w:val="3"/>
          </w:tcPr>
          <w:p>
            <w:pPr>
              <w:jc w:val="right"/>
              <w:ind w:right="41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688"/>
        </w:trPr>
        <w:tc>
          <w:tcPr>
            <w:tcW w:w="3300" w:type="dxa"/>
            <w:vAlign w:val="bottom"/>
          </w:tcPr>
          <w:p>
            <w:pPr>
              <w:spacing w:after="0"/>
              <w:rPr>
                <w:sz w:val="24"/>
                <w:szCs w:val="24"/>
                <w:color w:val="auto"/>
              </w:rPr>
            </w:pPr>
          </w:p>
        </w:tc>
        <w:tc>
          <w:tcPr>
            <w:tcW w:w="880" w:type="dxa"/>
            <w:vAlign w:val="bottom"/>
          </w:tcPr>
          <w:p>
            <w:pPr>
              <w:jc w:val="right"/>
              <w:ind w:right="100"/>
              <w:spacing w:after="0"/>
              <w:rPr>
                <w:sz w:val="20"/>
                <w:szCs w:val="20"/>
                <w:color w:val="auto"/>
              </w:rPr>
            </w:pPr>
            <w:r>
              <w:rPr>
                <w:rFonts w:ascii="Arial" w:cs="Arial" w:eastAsia="Arial" w:hAnsi="Arial"/>
                <w:sz w:val="18"/>
                <w:szCs w:val="18"/>
                <w:color w:val="auto"/>
              </w:rPr>
              <w:t>18</w:t>
            </w: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ind w:right="80" w:firstLine="243"/>
        <w:spacing w:after="0" w:line="275" w:lineRule="auto"/>
        <w:rPr>
          <w:sz w:val="20"/>
          <w:szCs w:val="20"/>
          <w:color w:val="auto"/>
        </w:rPr>
      </w:pPr>
      <w:r>
        <w:rPr>
          <w:rFonts w:ascii="Arial" w:cs="Arial" w:eastAsia="Arial" w:hAnsi="Arial"/>
          <w:sz w:val="17"/>
          <w:szCs w:val="17"/>
          <w:color w:val="auto"/>
        </w:rPr>
        <w:t xml:space="preserve">The volatility assumption was determined using the historical volatility of the Company’s common stock for the three months ended April 30, 2006 and 2005. The expected life assumption was determined based on historical exercise patterns of similar awards, giving consideration to the contractual terms of the stock-based awards and vesting schedules. The risk-free interest rate is based on the U.S. Treasury yield for a term consistent with the expected life of the awards in effect in effect at the time of grant. </w:t>
      </w:r>
      <w:r>
        <w:rPr>
          <w:rFonts w:ascii="Arial" w:cs="Arial" w:eastAsia="Arial" w:hAnsi="Arial"/>
          <w:sz w:val="16"/>
          <w:szCs w:val="16"/>
          <w:color w:val="auto"/>
        </w:rPr>
        <w:t>The Company has not paid any cash dividends in the past and does not anticipate paying any cash dividends in the</w:t>
      </w:r>
      <w:r>
        <w:rPr>
          <w:rFonts w:ascii="Arial" w:cs="Arial" w:eastAsia="Arial" w:hAnsi="Arial"/>
          <w:sz w:val="17"/>
          <w:szCs w:val="17"/>
          <w:color w:val="auto"/>
        </w:rPr>
        <w:t xml:space="preserve"> </w:t>
      </w:r>
      <w:r>
        <w:rPr>
          <w:rFonts w:ascii="Arial" w:cs="Arial" w:eastAsia="Arial" w:hAnsi="Arial"/>
          <w:sz w:val="16"/>
          <w:szCs w:val="16"/>
          <w:color w:val="auto"/>
        </w:rPr>
        <w:t>foreseeable future and therefore used an expected dividend yield of zero in its option-pricing models.</w:t>
      </w:r>
    </w:p>
    <w:p>
      <w:pPr>
        <w:spacing w:after="0" w:line="177" w:lineRule="exact"/>
        <w:rPr>
          <w:sz w:val="20"/>
          <w:szCs w:val="20"/>
          <w:color w:val="auto"/>
        </w:rPr>
      </w:pPr>
    </w:p>
    <w:p>
      <w:pPr>
        <w:ind w:right="360" w:firstLine="243"/>
        <w:spacing w:after="0" w:line="277" w:lineRule="auto"/>
        <w:rPr>
          <w:sz w:val="20"/>
          <w:szCs w:val="20"/>
          <w:color w:val="auto"/>
        </w:rPr>
      </w:pPr>
      <w:r>
        <w:rPr>
          <w:rFonts w:ascii="Arial" w:cs="Arial" w:eastAsia="Arial" w:hAnsi="Arial"/>
          <w:sz w:val="18"/>
          <w:szCs w:val="18"/>
          <w:color w:val="auto"/>
        </w:rPr>
        <w:t>The weighted average fair values per share of the of options granted in the three month period ended April 30, 2006 and 2005 was $30.79 and $21.22, respectively.</w:t>
      </w:r>
    </w:p>
    <w:p>
      <w:pPr>
        <w:spacing w:after="0" w:line="170" w:lineRule="exact"/>
        <w:rPr>
          <w:sz w:val="20"/>
          <w:szCs w:val="20"/>
          <w:color w:val="auto"/>
        </w:rPr>
      </w:pPr>
    </w:p>
    <w:p>
      <w:pPr>
        <w:ind w:right="120" w:firstLine="243"/>
        <w:spacing w:after="0" w:line="264" w:lineRule="auto"/>
        <w:rPr>
          <w:sz w:val="20"/>
          <w:szCs w:val="20"/>
          <w:color w:val="auto"/>
        </w:rPr>
      </w:pPr>
      <w:r>
        <w:rPr>
          <w:rFonts w:ascii="Arial" w:cs="Arial" w:eastAsia="Arial" w:hAnsi="Arial"/>
          <w:sz w:val="18"/>
          <w:szCs w:val="18"/>
          <w:color w:val="auto"/>
        </w:rPr>
        <w:t>In accordance with the requirements of the disclosure-only alternative of SFAS 123, set forth below are pro forma statements of operations data of the Company giving effect to the valuation of stock-based awards to employees using the Black-Scholes option pricing model instead of the guidelines provided by APB 25 in the three months ended April 30, 2005 (in thousands, except for per share amounts):</w:t>
      </w:r>
    </w:p>
    <w:p>
      <w:pPr>
        <w:spacing w:after="0" w:line="143" w:lineRule="exact"/>
        <w:rPr>
          <w:sz w:val="20"/>
          <w:szCs w:val="20"/>
          <w:color w:val="auto"/>
        </w:rPr>
      </w:pPr>
    </w:p>
    <w:tbl>
      <w:tblPr>
        <w:tblLayout w:type="fixed"/>
        <w:tblInd w:w="1860" w:type="dxa"/>
        <w:tblCellMar>
          <w:top w:w="0" w:type="dxa"/>
          <w:left w:w="0" w:type="dxa"/>
          <w:bottom w:w="0" w:type="dxa"/>
          <w:right w:w="0" w:type="dxa"/>
        </w:tblCellMar>
      </w:tblPr>
      <w:tr>
        <w:trPr>
          <w:trHeight w:val="161"/>
        </w:trPr>
        <w:tc>
          <w:tcPr>
            <w:tcW w:w="64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10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93"/>
              </w:rPr>
              <w:t>Three Months</w:t>
            </w:r>
          </w:p>
        </w:tc>
      </w:tr>
      <w:tr>
        <w:trPr>
          <w:trHeight w:val="135"/>
        </w:trPr>
        <w:tc>
          <w:tcPr>
            <w:tcW w:w="64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00" w:type="dxa"/>
            <w:vAlign w:val="bottom"/>
            <w:gridSpan w:val="3"/>
          </w:tcPr>
          <w:p>
            <w:pPr>
              <w:jc w:val="center"/>
              <w:ind w:right="120"/>
              <w:spacing w:after="0" w:line="135" w:lineRule="exact"/>
              <w:rPr>
                <w:sz w:val="20"/>
                <w:szCs w:val="20"/>
                <w:color w:val="auto"/>
              </w:rPr>
            </w:pPr>
            <w:r>
              <w:rPr>
                <w:rFonts w:ascii="Arial" w:cs="Arial" w:eastAsia="Arial" w:hAnsi="Arial"/>
                <w:sz w:val="14"/>
                <w:szCs w:val="14"/>
                <w:b w:val="1"/>
                <w:bCs w:val="1"/>
                <w:color w:val="auto"/>
                <w:w w:val="96"/>
              </w:rPr>
              <w:t>Ended April 30,</w:t>
            </w:r>
          </w:p>
        </w:tc>
      </w:tr>
      <w:tr>
        <w:trPr>
          <w:trHeight w:val="162"/>
        </w:trPr>
        <w:tc>
          <w:tcPr>
            <w:tcW w:w="64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center"/>
              <w:ind w:right="152"/>
              <w:spacing w:after="0"/>
              <w:rPr>
                <w:sz w:val="20"/>
                <w:szCs w:val="20"/>
                <w:color w:val="auto"/>
              </w:rPr>
            </w:pPr>
            <w:r>
              <w:rPr>
                <w:rFonts w:ascii="Arial" w:cs="Arial" w:eastAsia="Arial" w:hAnsi="Arial"/>
                <w:sz w:val="14"/>
                <w:szCs w:val="14"/>
                <w:b w:val="1"/>
                <w:bCs w:val="1"/>
                <w:color w:val="auto"/>
                <w:w w:val="96"/>
              </w:rPr>
              <w:t>2005</w:t>
            </w:r>
          </w:p>
        </w:tc>
        <w:tc>
          <w:tcPr>
            <w:tcW w:w="100" w:type="dxa"/>
            <w:vAlign w:val="bottom"/>
            <w:tcBorders>
              <w:bottom w:val="single" w:sz="8" w:color="CCEEFF"/>
            </w:tcBorders>
          </w:tcPr>
          <w:p>
            <w:pPr>
              <w:spacing w:after="0"/>
              <w:rPr>
                <w:sz w:val="14"/>
                <w:szCs w:val="14"/>
                <w:color w:val="auto"/>
              </w:rPr>
            </w:pPr>
          </w:p>
        </w:tc>
      </w:tr>
      <w:tr>
        <w:trPr>
          <w:trHeight w:val="196"/>
        </w:trPr>
        <w:tc>
          <w:tcPr>
            <w:tcW w:w="648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Net income:</w:t>
            </w:r>
          </w:p>
        </w:tc>
        <w:tc>
          <w:tcPr>
            <w:tcW w:w="1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6480" w:type="dxa"/>
            <w:vAlign w:val="bottom"/>
          </w:tcPr>
          <w:p>
            <w:pPr>
              <w:ind w:left="180"/>
              <w:spacing w:after="0"/>
              <w:rPr>
                <w:sz w:val="20"/>
                <w:szCs w:val="20"/>
                <w:color w:val="auto"/>
              </w:rPr>
            </w:pPr>
            <w:r>
              <w:rPr>
                <w:rFonts w:ascii="Arial" w:cs="Arial" w:eastAsia="Arial" w:hAnsi="Arial"/>
                <w:sz w:val="18"/>
                <w:szCs w:val="18"/>
                <w:color w:val="auto"/>
              </w:rPr>
              <w:t>As reported</w:t>
            </w:r>
          </w:p>
        </w:tc>
        <w:tc>
          <w:tcPr>
            <w:tcW w:w="360" w:type="dxa"/>
            <w:vAlign w:val="bottom"/>
            <w:gridSpan w:val="2"/>
          </w:tcPr>
          <w:p>
            <w:pPr>
              <w:jc w:val="right"/>
              <w:ind w:right="67"/>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63,532</w:t>
            </w:r>
          </w:p>
        </w:tc>
        <w:tc>
          <w:tcPr>
            <w:tcW w:w="100" w:type="dxa"/>
            <w:vAlign w:val="bottom"/>
          </w:tcPr>
          <w:p>
            <w:pPr>
              <w:spacing w:after="0"/>
              <w:rPr>
                <w:sz w:val="18"/>
                <w:szCs w:val="18"/>
                <w:color w:val="auto"/>
              </w:rPr>
            </w:pPr>
          </w:p>
        </w:tc>
      </w:tr>
      <w:tr>
        <w:trPr>
          <w:trHeight w:val="216"/>
        </w:trPr>
        <w:tc>
          <w:tcPr>
            <w:tcW w:w="6480" w:type="dxa"/>
            <w:vAlign w:val="bottom"/>
            <w:shd w:val="clear" w:color="auto" w:fill="CCEEFF"/>
          </w:tcPr>
          <w:p>
            <w:pPr>
              <w:spacing w:after="0"/>
              <w:rPr>
                <w:sz w:val="20"/>
                <w:szCs w:val="20"/>
                <w:color w:val="auto"/>
              </w:rPr>
            </w:pPr>
            <w:r>
              <w:rPr>
                <w:rFonts w:ascii="Arial" w:cs="Arial" w:eastAsia="Arial" w:hAnsi="Arial"/>
                <w:sz w:val="18"/>
                <w:szCs w:val="18"/>
                <w:color w:val="auto"/>
              </w:rPr>
              <w:t>Adjustments:</w:t>
            </w:r>
          </w:p>
        </w:tc>
        <w:tc>
          <w:tcPr>
            <w:tcW w:w="1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02"/>
        </w:trPr>
        <w:tc>
          <w:tcPr>
            <w:tcW w:w="6480" w:type="dxa"/>
            <w:vAlign w:val="bottom"/>
          </w:tcPr>
          <w:p>
            <w:pPr>
              <w:spacing w:after="0" w:line="201" w:lineRule="exact"/>
              <w:rPr>
                <w:sz w:val="20"/>
                <w:szCs w:val="20"/>
                <w:color w:val="auto"/>
              </w:rPr>
            </w:pPr>
            <w:r>
              <w:rPr>
                <w:rFonts w:ascii="Arial" w:cs="Arial" w:eastAsia="Arial" w:hAnsi="Arial"/>
                <w:sz w:val="18"/>
                <w:szCs w:val="18"/>
                <w:color w:val="auto"/>
                <w:w w:val="94"/>
              </w:rPr>
              <w:t>Stock-based employee compensation expense included in reported net income, net of</w:t>
            </w:r>
          </w:p>
        </w:tc>
        <w:tc>
          <w:tcPr>
            <w:tcW w:w="1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100" w:type="dxa"/>
            <w:vAlign w:val="bottom"/>
          </w:tcPr>
          <w:p>
            <w:pPr>
              <w:spacing w:after="0"/>
              <w:rPr>
                <w:sz w:val="17"/>
                <w:szCs w:val="17"/>
                <w:color w:val="auto"/>
              </w:rPr>
            </w:pPr>
          </w:p>
        </w:tc>
      </w:tr>
      <w:tr>
        <w:trPr>
          <w:trHeight w:val="230"/>
        </w:trPr>
        <w:tc>
          <w:tcPr>
            <w:tcW w:w="6480" w:type="dxa"/>
            <w:vAlign w:val="bottom"/>
          </w:tcPr>
          <w:p>
            <w:pPr>
              <w:ind w:left="180"/>
              <w:spacing w:after="0"/>
              <w:rPr>
                <w:sz w:val="20"/>
                <w:szCs w:val="20"/>
                <w:color w:val="auto"/>
              </w:rPr>
            </w:pPr>
            <w:r>
              <w:rPr>
                <w:rFonts w:ascii="Arial" w:cs="Arial" w:eastAsia="Arial" w:hAnsi="Arial"/>
                <w:sz w:val="18"/>
                <w:szCs w:val="18"/>
                <w:color w:val="auto"/>
              </w:rPr>
              <w:t>tax effects</w:t>
            </w:r>
          </w:p>
        </w:tc>
        <w:tc>
          <w:tcPr>
            <w:tcW w:w="1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871</w:t>
            </w:r>
          </w:p>
        </w:tc>
        <w:tc>
          <w:tcPr>
            <w:tcW w:w="100" w:type="dxa"/>
            <w:vAlign w:val="bottom"/>
          </w:tcPr>
          <w:p>
            <w:pPr>
              <w:spacing w:after="0"/>
              <w:rPr>
                <w:sz w:val="20"/>
                <w:szCs w:val="20"/>
                <w:color w:val="auto"/>
              </w:rPr>
            </w:pPr>
          </w:p>
        </w:tc>
      </w:tr>
      <w:tr>
        <w:trPr>
          <w:trHeight w:val="202"/>
        </w:trPr>
        <w:tc>
          <w:tcPr>
            <w:tcW w:w="648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0"/>
              </w:rPr>
              <w:t>Stock-based employee compensation expense determined under fair value based method</w:t>
            </w:r>
          </w:p>
        </w:tc>
        <w:tc>
          <w:tcPr>
            <w:tcW w:w="1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30"/>
        </w:trPr>
        <w:tc>
          <w:tcPr>
            <w:tcW w:w="64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for all awards, net of tax effects</w:t>
            </w:r>
          </w:p>
        </w:tc>
        <w:tc>
          <w:tcPr>
            <w:tcW w:w="14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(33,581)</w:t>
            </w:r>
          </w:p>
        </w:tc>
      </w:tr>
      <w:tr>
        <w:trPr>
          <w:trHeight w:val="250"/>
        </w:trPr>
        <w:tc>
          <w:tcPr>
            <w:tcW w:w="6480" w:type="dxa"/>
            <w:vAlign w:val="bottom"/>
            <w:tcBorders>
              <w:bottom w:val="single" w:sz="8" w:color="CCEEFF"/>
            </w:tcBorders>
          </w:tcPr>
          <w:p>
            <w:pPr>
              <w:ind w:left="180"/>
              <w:spacing w:after="0"/>
              <w:rPr>
                <w:sz w:val="20"/>
                <w:szCs w:val="20"/>
                <w:color w:val="auto"/>
              </w:rPr>
            </w:pPr>
            <w:r>
              <w:rPr>
                <w:rFonts w:ascii="Arial" w:cs="Arial" w:eastAsia="Arial" w:hAnsi="Arial"/>
                <w:sz w:val="18"/>
                <w:szCs w:val="18"/>
                <w:color w:val="auto"/>
              </w:rPr>
              <w:t>Pro forma</w:t>
            </w:r>
          </w:p>
        </w:tc>
        <w:tc>
          <w:tcPr>
            <w:tcW w:w="140" w:type="dxa"/>
            <w:vAlign w:val="bottom"/>
            <w:tcBorders>
              <w:bottom w:val="single" w:sz="8" w:color="CCEEFF"/>
            </w:tcBorders>
          </w:tcPr>
          <w:p>
            <w:pPr>
              <w:spacing w:after="0"/>
              <w:rPr>
                <w:sz w:val="21"/>
                <w:szCs w:val="21"/>
                <w:color w:val="auto"/>
              </w:rPr>
            </w:pPr>
          </w:p>
        </w:tc>
        <w:tc>
          <w:tcPr>
            <w:tcW w:w="220" w:type="dxa"/>
            <w:vAlign w:val="bottom"/>
            <w:tcBorders>
              <w:top w:val="single" w:sz="8" w:color="auto"/>
              <w:bottom w:val="single" w:sz="8" w:color="auto"/>
            </w:tcBorders>
          </w:tcPr>
          <w:p>
            <w:pPr>
              <w:jc w:val="right"/>
              <w:ind w:right="67"/>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30,822</w:t>
            </w:r>
          </w:p>
        </w:tc>
        <w:tc>
          <w:tcPr>
            <w:tcW w:w="100" w:type="dxa"/>
            <w:vAlign w:val="bottom"/>
            <w:tcBorders>
              <w:bottom w:val="single" w:sz="8" w:color="CCEEFF"/>
            </w:tcBorders>
          </w:tcPr>
          <w:p>
            <w:pPr>
              <w:spacing w:after="0"/>
              <w:rPr>
                <w:sz w:val="21"/>
                <w:szCs w:val="21"/>
                <w:color w:val="auto"/>
              </w:rPr>
            </w:pPr>
          </w:p>
        </w:tc>
      </w:tr>
      <w:tr>
        <w:trPr>
          <w:trHeight w:val="170"/>
        </w:trPr>
        <w:tc>
          <w:tcPr>
            <w:tcW w:w="6480" w:type="dxa"/>
            <w:vAlign w:val="bottom"/>
            <w:shd w:val="clear" w:color="auto" w:fill="CCEEFF"/>
          </w:tcPr>
          <w:p>
            <w:pPr>
              <w:spacing w:after="0" w:line="170" w:lineRule="exact"/>
              <w:rPr>
                <w:sz w:val="20"/>
                <w:szCs w:val="20"/>
                <w:color w:val="auto"/>
              </w:rPr>
            </w:pPr>
            <w:r>
              <w:rPr>
                <w:rFonts w:ascii="Arial" w:cs="Arial" w:eastAsia="Arial" w:hAnsi="Arial"/>
                <w:sz w:val="18"/>
                <w:szCs w:val="18"/>
                <w:color w:val="auto"/>
              </w:rPr>
              <w:t>Basic net income per share:</w:t>
            </w:r>
          </w:p>
        </w:tc>
        <w:tc>
          <w:tcPr>
            <w:tcW w:w="140" w:type="dxa"/>
            <w:vAlign w:val="bottom"/>
            <w:shd w:val="clear" w:color="auto" w:fill="CCEEFF"/>
          </w:tcPr>
          <w:p>
            <w:pPr>
              <w:spacing w:after="0"/>
              <w:rPr>
                <w:sz w:val="14"/>
                <w:szCs w:val="14"/>
                <w:color w:val="auto"/>
              </w:rPr>
            </w:pPr>
          </w:p>
        </w:tc>
        <w:tc>
          <w:tcPr>
            <w:tcW w:w="220" w:type="dxa"/>
            <w:vAlign w:val="bottom"/>
            <w:shd w:val="clear" w:color="auto" w:fill="CCEEFF"/>
          </w:tcPr>
          <w:p>
            <w:pPr>
              <w:spacing w:after="0"/>
              <w:rPr>
                <w:sz w:val="14"/>
                <w:szCs w:val="14"/>
                <w:color w:val="auto"/>
              </w:rPr>
            </w:pPr>
          </w:p>
        </w:tc>
        <w:tc>
          <w:tcPr>
            <w:tcW w:w="7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r>
      <w:tr>
        <w:trPr>
          <w:trHeight w:val="216"/>
        </w:trPr>
        <w:tc>
          <w:tcPr>
            <w:tcW w:w="6480" w:type="dxa"/>
            <w:vAlign w:val="bottom"/>
          </w:tcPr>
          <w:p>
            <w:pPr>
              <w:ind w:left="180"/>
              <w:spacing w:after="0"/>
              <w:rPr>
                <w:sz w:val="20"/>
                <w:szCs w:val="20"/>
                <w:color w:val="auto"/>
              </w:rPr>
            </w:pPr>
            <w:r>
              <w:rPr>
                <w:rFonts w:ascii="Arial" w:cs="Arial" w:eastAsia="Arial" w:hAnsi="Arial"/>
                <w:sz w:val="18"/>
                <w:szCs w:val="18"/>
                <w:color w:val="auto"/>
              </w:rPr>
              <w:t>As reported</w:t>
            </w:r>
          </w:p>
        </w:tc>
        <w:tc>
          <w:tcPr>
            <w:tcW w:w="360" w:type="dxa"/>
            <w:vAlign w:val="bottom"/>
            <w:gridSpan w:val="2"/>
          </w:tcPr>
          <w:p>
            <w:pPr>
              <w:jc w:val="right"/>
              <w:ind w:right="67"/>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0.23</w:t>
            </w:r>
          </w:p>
        </w:tc>
        <w:tc>
          <w:tcPr>
            <w:tcW w:w="100" w:type="dxa"/>
            <w:vAlign w:val="bottom"/>
          </w:tcPr>
          <w:p>
            <w:pPr>
              <w:spacing w:after="0"/>
              <w:rPr>
                <w:sz w:val="18"/>
                <w:szCs w:val="18"/>
                <w:color w:val="auto"/>
              </w:rPr>
            </w:pPr>
          </w:p>
        </w:tc>
      </w:tr>
      <w:tr>
        <w:trPr>
          <w:trHeight w:val="216"/>
        </w:trPr>
        <w:tc>
          <w:tcPr>
            <w:tcW w:w="64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Pro forma</w:t>
            </w:r>
          </w:p>
        </w:tc>
        <w:tc>
          <w:tcPr>
            <w:tcW w:w="360" w:type="dxa"/>
            <w:vAlign w:val="bottom"/>
            <w:gridSpan w:val="2"/>
            <w:shd w:val="clear" w:color="auto" w:fill="CCEEFF"/>
          </w:tcPr>
          <w:p>
            <w:pPr>
              <w:jc w:val="right"/>
              <w:ind w:right="67"/>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0.11</w:t>
            </w:r>
          </w:p>
        </w:tc>
        <w:tc>
          <w:tcPr>
            <w:tcW w:w="100" w:type="dxa"/>
            <w:vAlign w:val="bottom"/>
            <w:shd w:val="clear" w:color="auto" w:fill="CCEEFF"/>
          </w:tcPr>
          <w:p>
            <w:pPr>
              <w:spacing w:after="0"/>
              <w:rPr>
                <w:sz w:val="18"/>
                <w:szCs w:val="18"/>
                <w:color w:val="auto"/>
              </w:rPr>
            </w:pPr>
          </w:p>
        </w:tc>
      </w:tr>
      <w:tr>
        <w:trPr>
          <w:trHeight w:val="216"/>
        </w:trPr>
        <w:tc>
          <w:tcPr>
            <w:tcW w:w="6480" w:type="dxa"/>
            <w:vAlign w:val="bottom"/>
          </w:tcPr>
          <w:p>
            <w:pPr>
              <w:spacing w:after="0"/>
              <w:rPr>
                <w:sz w:val="20"/>
                <w:szCs w:val="20"/>
                <w:color w:val="auto"/>
              </w:rPr>
            </w:pPr>
            <w:r>
              <w:rPr>
                <w:rFonts w:ascii="Arial" w:cs="Arial" w:eastAsia="Arial" w:hAnsi="Arial"/>
                <w:sz w:val="18"/>
                <w:szCs w:val="18"/>
                <w:color w:val="auto"/>
              </w:rPr>
              <w:t>Diluted net income per share:</w:t>
            </w: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64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As reported</w:t>
            </w:r>
          </w:p>
        </w:tc>
        <w:tc>
          <w:tcPr>
            <w:tcW w:w="360" w:type="dxa"/>
            <w:vAlign w:val="bottom"/>
            <w:gridSpan w:val="2"/>
            <w:shd w:val="clear" w:color="auto" w:fill="CCEEFF"/>
          </w:tcPr>
          <w:p>
            <w:pPr>
              <w:jc w:val="right"/>
              <w:ind w:right="67"/>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0.20</w:t>
            </w:r>
          </w:p>
        </w:tc>
        <w:tc>
          <w:tcPr>
            <w:tcW w:w="100" w:type="dxa"/>
            <w:vAlign w:val="bottom"/>
            <w:shd w:val="clear" w:color="auto" w:fill="CCEEFF"/>
          </w:tcPr>
          <w:p>
            <w:pPr>
              <w:spacing w:after="0"/>
              <w:rPr>
                <w:sz w:val="18"/>
                <w:szCs w:val="18"/>
                <w:color w:val="auto"/>
              </w:rPr>
            </w:pPr>
          </w:p>
        </w:tc>
      </w:tr>
      <w:tr>
        <w:trPr>
          <w:trHeight w:val="230"/>
        </w:trPr>
        <w:tc>
          <w:tcPr>
            <w:tcW w:w="6480" w:type="dxa"/>
            <w:vAlign w:val="bottom"/>
          </w:tcPr>
          <w:p>
            <w:pPr>
              <w:ind w:left="180"/>
              <w:spacing w:after="0"/>
              <w:rPr>
                <w:sz w:val="20"/>
                <w:szCs w:val="20"/>
                <w:color w:val="auto"/>
              </w:rPr>
            </w:pPr>
            <w:r>
              <w:rPr>
                <w:rFonts w:ascii="Arial" w:cs="Arial" w:eastAsia="Arial" w:hAnsi="Arial"/>
                <w:sz w:val="18"/>
                <w:szCs w:val="18"/>
                <w:color w:val="auto"/>
              </w:rPr>
              <w:t>Pro forma</w:t>
            </w:r>
          </w:p>
        </w:tc>
        <w:tc>
          <w:tcPr>
            <w:tcW w:w="360" w:type="dxa"/>
            <w:vAlign w:val="bottom"/>
            <w:gridSpan w:val="2"/>
          </w:tcPr>
          <w:p>
            <w:pPr>
              <w:jc w:val="right"/>
              <w:ind w:right="67"/>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0.10</w:t>
            </w:r>
          </w:p>
        </w:tc>
        <w:tc>
          <w:tcPr>
            <w:tcW w:w="100" w:type="dxa"/>
            <w:vAlign w:val="bottom"/>
          </w:tcPr>
          <w:p>
            <w:pPr>
              <w:spacing w:after="0"/>
              <w:rPr>
                <w:sz w:val="20"/>
                <w:szCs w:val="20"/>
                <w:color w:val="auto"/>
              </w:rPr>
            </w:pPr>
          </w:p>
        </w:tc>
      </w:tr>
    </w:tbl>
    <w:p>
      <w:pPr>
        <w:spacing w:after="0" w:line="23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8. Related Party Transactions</w:t>
      </w:r>
    </w:p>
    <w:p>
      <w:pPr>
        <w:spacing w:after="0" w:line="229" w:lineRule="exact"/>
        <w:rPr>
          <w:sz w:val="20"/>
          <w:szCs w:val="20"/>
          <w:color w:val="auto"/>
        </w:rPr>
      </w:pPr>
    </w:p>
    <w:p>
      <w:pPr>
        <w:ind w:right="120" w:firstLine="259"/>
        <w:spacing w:after="0" w:line="255" w:lineRule="auto"/>
        <w:rPr>
          <w:sz w:val="20"/>
          <w:szCs w:val="20"/>
          <w:color w:val="auto"/>
        </w:rPr>
      </w:pPr>
      <w:r>
        <w:rPr>
          <w:rFonts w:ascii="Arial" w:cs="Arial" w:eastAsia="Arial" w:hAnsi="Arial"/>
          <w:sz w:val="18"/>
          <w:szCs w:val="18"/>
          <w:color w:val="auto"/>
        </w:rPr>
        <w:t>During the first quarters of fiscal 2007 and 2006, the Company incurred approximately $0.4 million and $0.3 million, respectively, of expenses from an unrelated third-party entity, ACM Aviation, Inc. (“ACM”), for charter aircraft services provided to MSI. The aircraft provided by ACM to the Company for such services is owned by Estopia Air LLC (“Estopia Air”). The Company’s Chairman, President and Chief Executive Officer, Sehat Sutardja, Ph.D, and the Company’s Director, Secretary and Chief Operating Officer, Weili Dai, through their control and ownership of Estopia Air, own the aircraft provided by ACM. The expenses incurred were the result of the Company’s use of the aircraft for business travel purposes. The cost of such usage was determined based on market prices.</w:t>
      </w:r>
    </w:p>
    <w:p>
      <w:pPr>
        <w:spacing w:after="0" w:line="193" w:lineRule="exact"/>
        <w:rPr>
          <w:sz w:val="20"/>
          <w:szCs w:val="20"/>
          <w:color w:val="auto"/>
        </w:rPr>
      </w:pPr>
    </w:p>
    <w:p>
      <w:pPr>
        <w:ind w:right="180" w:firstLine="259"/>
        <w:spacing w:after="0" w:line="273" w:lineRule="auto"/>
        <w:rPr>
          <w:sz w:val="20"/>
          <w:szCs w:val="20"/>
          <w:color w:val="auto"/>
        </w:rPr>
      </w:pPr>
      <w:r>
        <w:rPr>
          <w:rFonts w:ascii="Arial" w:cs="Arial" w:eastAsia="Arial" w:hAnsi="Arial"/>
          <w:sz w:val="17"/>
          <w:szCs w:val="17"/>
          <w:color w:val="auto"/>
        </w:rPr>
        <w:t>On February 19, 2005, the Company, through its subsidiaries MSI and Marvell Asia Pte. Ltd. (“MAPL”), entered into a development agreement with MagnetoX (“MagnetoX”). The development agreement is substantially on similar terms as other development agreements with other parties. The Company did not recognize any revenue from the development agreement or product revenue during the first quarter of fiscal 2007. Total revenue expected to be recognized from the development agreement is $1.0 million. Herbert Chang, one of the Company’s directors, is Chairman of the Board, President and Chief Executive Officer of MagnetoX. Estopia LLC (“Estopia”) is also a shareholder of MagnetoX. Sehat Sutardja, Ph.D., and Weili Dai, through their ownership and control of Estopia, are indirect shareholders of MagnetoX.</w:t>
      </w:r>
    </w:p>
    <w:p>
      <w:pPr>
        <w:spacing w:after="0" w:line="178" w:lineRule="exact"/>
        <w:rPr>
          <w:sz w:val="20"/>
          <w:szCs w:val="20"/>
          <w:color w:val="auto"/>
        </w:rPr>
      </w:pPr>
    </w:p>
    <w:p>
      <w:pPr>
        <w:ind w:firstLine="243"/>
        <w:spacing w:after="0" w:line="257" w:lineRule="auto"/>
        <w:rPr>
          <w:sz w:val="20"/>
          <w:szCs w:val="20"/>
          <w:color w:val="auto"/>
        </w:rPr>
      </w:pPr>
      <w:r>
        <w:rPr>
          <w:rFonts w:ascii="Arial" w:cs="Arial" w:eastAsia="Arial" w:hAnsi="Arial"/>
          <w:sz w:val="18"/>
          <w:szCs w:val="18"/>
          <w:color w:val="auto"/>
        </w:rPr>
        <w:t>On August 19, 2005, the Company, through its subsidiaries MSI and Marvell International Ltd., entered into a License and Manufacturing Services Agreement (the “License Agreement”) with C2 Microsystems, Inc. (“C2Micro”). The License Agreement is on substantially similar terms as other license and manufacturing services agreements with other third parties. The Company recognized $0.2 million of revenue from the License Agreement with C2 Microsystems during the first quarter of fiscal 2007. Sehat Sutardja, Ph.D., and Weili Dai, through their ownership and control of Estopia, are indirect shareholders of C2Micro. Herbert Chang,</w:t>
      </w:r>
    </w:p>
    <w:p>
      <w:pPr>
        <w:sectPr>
          <w:pgSz w:w="11900" w:h="16838" w:orient="portrait"/>
          <w:cols w:equalWidth="0" w:num="1">
            <w:col w:w="11420"/>
          </w:cols>
          <w:pgMar w:left="240" w:top="140" w:right="239" w:bottom="0" w:gutter="0" w:footer="0" w:header="0"/>
        </w:sectPr>
      </w:pPr>
    </w:p>
    <w:bookmarkStart w:id="14" w:name="page15"/>
    <w:bookmarkEnd w:id="14"/>
    <w:p>
      <w:pPr>
        <w:jc w:val="center"/>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320"/>
        <w:spacing w:after="0" w:line="277" w:lineRule="auto"/>
        <w:rPr>
          <w:sz w:val="20"/>
          <w:szCs w:val="20"/>
          <w:color w:val="auto"/>
        </w:rPr>
      </w:pPr>
      <w:r>
        <w:rPr>
          <w:rFonts w:ascii="Arial" w:cs="Arial" w:eastAsia="Arial" w:hAnsi="Arial"/>
          <w:sz w:val="18"/>
          <w:szCs w:val="18"/>
          <w:color w:val="auto"/>
        </w:rPr>
        <w:t>through his ownership and control of C-Squared venture entities, is also an indirect shareholder of C2Micro. Pantas Sutardja, Ph.D., the Company’s Chief Technology Officer, is also a shareholder of C2Micro.</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9. Subsequent Events</w:t>
      </w:r>
    </w:p>
    <w:p>
      <w:pPr>
        <w:spacing w:after="0" w:line="229" w:lineRule="exact"/>
        <w:rPr>
          <w:sz w:val="20"/>
          <w:szCs w:val="20"/>
          <w:color w:val="auto"/>
        </w:rPr>
      </w:pPr>
    </w:p>
    <w:p>
      <w:pPr>
        <w:ind w:right="280" w:firstLine="243"/>
        <w:spacing w:after="0" w:line="264" w:lineRule="auto"/>
        <w:rPr>
          <w:sz w:val="20"/>
          <w:szCs w:val="20"/>
          <w:color w:val="auto"/>
        </w:rPr>
      </w:pPr>
      <w:r>
        <w:rPr>
          <w:rFonts w:ascii="Arial" w:cs="Arial" w:eastAsia="Arial" w:hAnsi="Arial"/>
          <w:sz w:val="18"/>
          <w:szCs w:val="18"/>
          <w:color w:val="auto"/>
        </w:rPr>
        <w:t>On February 21, 2006, the Board of Directors approved a 2 for 1 stock split of the Company’s common stock, to be effected pursuant to the issuance of additional shares as a stock dividend. The stock split is subject to shareholder approval of an increase in the Company’s authorized share capital at the Company’s 2006 Annual General Meeting which is scheduled for June 9, 2006.</w:t>
      </w:r>
    </w:p>
    <w:p>
      <w:pPr>
        <w:spacing w:after="0" w:line="181" w:lineRule="exact"/>
        <w:rPr>
          <w:sz w:val="20"/>
          <w:szCs w:val="20"/>
          <w:color w:val="auto"/>
        </w:rPr>
      </w:pPr>
    </w:p>
    <w:p>
      <w:pPr>
        <w:ind w:left="260"/>
        <w:spacing w:after="0"/>
        <w:rPr>
          <w:sz w:val="20"/>
          <w:szCs w:val="20"/>
          <w:color w:val="auto"/>
        </w:rPr>
      </w:pPr>
      <w:r>
        <w:rPr>
          <w:rFonts w:ascii="Arial" w:cs="Arial" w:eastAsia="Arial" w:hAnsi="Arial"/>
          <w:sz w:val="18"/>
          <w:szCs w:val="18"/>
          <w:color w:val="auto"/>
        </w:rPr>
        <w:t>Restated quarterly pro forma per share data for the three months ended April 30, 2006 and 2005 would be as follows (unaudited):</w:t>
      </w:r>
    </w:p>
    <w:p>
      <w:pPr>
        <w:spacing w:after="0" w:line="201" w:lineRule="exact"/>
        <w:rPr>
          <w:sz w:val="20"/>
          <w:szCs w:val="20"/>
          <w:color w:val="auto"/>
        </w:rPr>
      </w:pPr>
    </w:p>
    <w:p>
      <w:pPr>
        <w:jc w:val="center"/>
        <w:ind w:left="6080"/>
        <w:spacing w:after="0"/>
        <w:rPr>
          <w:sz w:val="20"/>
          <w:szCs w:val="20"/>
          <w:color w:val="auto"/>
        </w:rPr>
      </w:pPr>
      <w:r>
        <w:rPr>
          <w:rFonts w:ascii="Arial" w:cs="Arial" w:eastAsia="Arial" w:hAnsi="Arial"/>
          <w:sz w:val="14"/>
          <w:szCs w:val="14"/>
          <w:b w:val="1"/>
          <w:bCs w:val="1"/>
          <w:color w:val="auto"/>
        </w:rPr>
        <w:t>Three Months Ended</w:t>
      </w:r>
    </w:p>
    <w:p>
      <w:pPr>
        <w:ind w:left="8500"/>
        <w:spacing w:after="0" w:line="209" w:lineRule="auto"/>
        <w:rPr>
          <w:sz w:val="20"/>
          <w:szCs w:val="20"/>
          <w:color w:val="auto"/>
        </w:rPr>
      </w:pPr>
      <w:r>
        <w:rPr>
          <w:rFonts w:ascii="Arial" w:cs="Arial" w:eastAsia="Arial" w:hAnsi="Arial"/>
          <w:sz w:val="14"/>
          <w:szCs w:val="14"/>
          <w:b w:val="1"/>
          <w:bCs w:val="1"/>
          <w:color w:val="auto"/>
        </w:rPr>
        <w:t>April 30,</w:t>
      </w:r>
    </w:p>
    <w:tbl>
      <w:tblPr>
        <w:tblLayout w:type="fixed"/>
        <w:tblInd w:w="1840" w:type="dxa"/>
        <w:tblCellMar>
          <w:top w:w="0" w:type="dxa"/>
          <w:left w:w="0" w:type="dxa"/>
          <w:bottom w:w="0" w:type="dxa"/>
          <w:right w:w="0" w:type="dxa"/>
        </w:tblCellMar>
      </w:tblPr>
      <w:tr>
        <w:trPr>
          <w:trHeight w:val="136"/>
        </w:trPr>
        <w:tc>
          <w:tcPr>
            <w:tcW w:w="4140" w:type="dxa"/>
            <w:vAlign w:val="bottom"/>
            <w:tcBorders>
              <w:bottom w:val="single" w:sz="8" w:color="CCEEFF"/>
            </w:tcBorders>
          </w:tcPr>
          <w:p>
            <w:pPr>
              <w:spacing w:after="0"/>
              <w:rPr>
                <w:sz w:val="11"/>
                <w:szCs w:val="11"/>
                <w:color w:val="auto"/>
              </w:rPr>
            </w:pPr>
          </w:p>
        </w:tc>
        <w:tc>
          <w:tcPr>
            <w:tcW w:w="2000" w:type="dxa"/>
            <w:vAlign w:val="bottom"/>
            <w:tcBorders>
              <w:bottom w:val="single" w:sz="8" w:color="CCEEFF"/>
            </w:tcBorders>
          </w:tcPr>
          <w:p>
            <w:pPr>
              <w:spacing w:after="0"/>
              <w:rPr>
                <w:sz w:val="11"/>
                <w:szCs w:val="11"/>
                <w:color w:val="auto"/>
              </w:rPr>
            </w:pPr>
          </w:p>
        </w:tc>
        <w:tc>
          <w:tcPr>
            <w:tcW w:w="140" w:type="dxa"/>
            <w:vAlign w:val="bottom"/>
            <w:tcBorders>
              <w:top w:val="single" w:sz="8" w:color="auto"/>
              <w:bottom w:val="single" w:sz="8" w:color="auto"/>
            </w:tcBorders>
          </w:tcPr>
          <w:p>
            <w:pPr>
              <w:spacing w:after="0"/>
              <w:rPr>
                <w:sz w:val="11"/>
                <w:szCs w:val="11"/>
                <w:color w:val="auto"/>
              </w:rPr>
            </w:pPr>
          </w:p>
        </w:tc>
        <w:tc>
          <w:tcPr>
            <w:tcW w:w="540" w:type="dxa"/>
            <w:vAlign w:val="bottom"/>
            <w:tcBorders>
              <w:top w:val="single" w:sz="8" w:color="auto"/>
              <w:bottom w:val="single" w:sz="8" w:color="auto"/>
            </w:tcBorders>
          </w:tcPr>
          <w:p>
            <w:pPr>
              <w:jc w:val="right"/>
              <w:ind w:right="114"/>
              <w:spacing w:after="0" w:line="136" w:lineRule="exact"/>
              <w:rPr>
                <w:sz w:val="20"/>
                <w:szCs w:val="20"/>
                <w:color w:val="auto"/>
              </w:rPr>
            </w:pPr>
            <w:r>
              <w:rPr>
                <w:rFonts w:ascii="Arial" w:cs="Arial" w:eastAsia="Arial" w:hAnsi="Arial"/>
                <w:sz w:val="14"/>
                <w:szCs w:val="14"/>
                <w:b w:val="1"/>
                <w:bCs w:val="1"/>
                <w:color w:val="auto"/>
              </w:rPr>
              <w:t>2006</w:t>
            </w:r>
          </w:p>
        </w:tc>
        <w:tc>
          <w:tcPr>
            <w:tcW w:w="200" w:type="dxa"/>
            <w:vAlign w:val="bottom"/>
            <w:tcBorders>
              <w:top w:val="single" w:sz="8" w:color="auto"/>
              <w:bottom w:val="single" w:sz="8" w:color="CCEEFF"/>
            </w:tcBorders>
          </w:tcPr>
          <w:p>
            <w:pPr>
              <w:spacing w:after="0"/>
              <w:rPr>
                <w:sz w:val="11"/>
                <w:szCs w:val="11"/>
                <w:color w:val="auto"/>
              </w:rPr>
            </w:pPr>
          </w:p>
        </w:tc>
        <w:tc>
          <w:tcPr>
            <w:tcW w:w="140" w:type="dxa"/>
            <w:vAlign w:val="bottom"/>
            <w:tcBorders>
              <w:top w:val="single" w:sz="8" w:color="auto"/>
              <w:bottom w:val="single" w:sz="8" w:color="auto"/>
            </w:tcBorders>
          </w:tcPr>
          <w:p>
            <w:pPr>
              <w:spacing w:after="0"/>
              <w:rPr>
                <w:sz w:val="11"/>
                <w:szCs w:val="11"/>
                <w:color w:val="auto"/>
              </w:rPr>
            </w:pPr>
          </w:p>
        </w:tc>
        <w:tc>
          <w:tcPr>
            <w:tcW w:w="540" w:type="dxa"/>
            <w:vAlign w:val="bottom"/>
            <w:tcBorders>
              <w:top w:val="single" w:sz="8" w:color="auto"/>
              <w:bottom w:val="single" w:sz="8" w:color="auto"/>
            </w:tcBorders>
          </w:tcPr>
          <w:p>
            <w:pPr>
              <w:jc w:val="right"/>
              <w:ind w:right="114"/>
              <w:spacing w:after="0" w:line="136" w:lineRule="exact"/>
              <w:rPr>
                <w:sz w:val="20"/>
                <w:szCs w:val="20"/>
                <w:color w:val="auto"/>
              </w:rPr>
            </w:pPr>
            <w:r>
              <w:rPr>
                <w:rFonts w:ascii="Arial" w:cs="Arial" w:eastAsia="Arial" w:hAnsi="Arial"/>
                <w:sz w:val="14"/>
                <w:szCs w:val="14"/>
                <w:b w:val="1"/>
                <w:bCs w:val="1"/>
                <w:color w:val="auto"/>
              </w:rPr>
              <w:t>2005</w:t>
            </w:r>
          </w:p>
        </w:tc>
        <w:tc>
          <w:tcPr>
            <w:tcW w:w="60" w:type="dxa"/>
            <w:vAlign w:val="bottom"/>
            <w:tcBorders>
              <w:bottom w:val="single" w:sz="8" w:color="CCEEFF"/>
            </w:tcBorders>
          </w:tcPr>
          <w:p>
            <w:pPr>
              <w:spacing w:after="0"/>
              <w:rPr>
                <w:sz w:val="11"/>
                <w:szCs w:val="11"/>
                <w:color w:val="auto"/>
              </w:rPr>
            </w:pPr>
          </w:p>
        </w:tc>
      </w:tr>
      <w:tr>
        <w:trPr>
          <w:trHeight w:val="196"/>
        </w:trPr>
        <w:tc>
          <w:tcPr>
            <w:tcW w:w="414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Basic net income per share:</w:t>
            </w:r>
          </w:p>
        </w:tc>
        <w:tc>
          <w:tcPr>
            <w:tcW w:w="20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r>
      <w:tr>
        <w:trPr>
          <w:trHeight w:val="216"/>
        </w:trPr>
        <w:tc>
          <w:tcPr>
            <w:tcW w:w="4140" w:type="dxa"/>
            <w:vAlign w:val="bottom"/>
          </w:tcPr>
          <w:p>
            <w:pPr>
              <w:ind w:left="180"/>
              <w:spacing w:after="0"/>
              <w:rPr>
                <w:sz w:val="20"/>
                <w:szCs w:val="20"/>
                <w:color w:val="auto"/>
              </w:rPr>
            </w:pPr>
            <w:r>
              <w:rPr>
                <w:rFonts w:ascii="Arial" w:cs="Arial" w:eastAsia="Arial" w:hAnsi="Arial"/>
                <w:sz w:val="18"/>
                <w:szCs w:val="18"/>
                <w:color w:val="auto"/>
              </w:rPr>
              <w:t>As reported</w:t>
            </w:r>
          </w:p>
        </w:tc>
        <w:tc>
          <w:tcPr>
            <w:tcW w:w="214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0.26</w:t>
            </w:r>
          </w:p>
        </w:tc>
        <w:tc>
          <w:tcPr>
            <w:tcW w:w="34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0.23</w:t>
            </w:r>
          </w:p>
        </w:tc>
        <w:tc>
          <w:tcPr>
            <w:tcW w:w="60" w:type="dxa"/>
            <w:vAlign w:val="bottom"/>
          </w:tcPr>
          <w:p>
            <w:pPr>
              <w:spacing w:after="0"/>
              <w:rPr>
                <w:sz w:val="18"/>
                <w:szCs w:val="18"/>
                <w:color w:val="auto"/>
              </w:rPr>
            </w:pPr>
          </w:p>
        </w:tc>
      </w:tr>
      <w:tr>
        <w:trPr>
          <w:trHeight w:val="216"/>
        </w:trPr>
        <w:tc>
          <w:tcPr>
            <w:tcW w:w="41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Pro forma</w:t>
            </w:r>
          </w:p>
        </w:tc>
        <w:tc>
          <w:tcPr>
            <w:tcW w:w="21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0.13</w:t>
            </w:r>
          </w:p>
        </w:tc>
        <w:tc>
          <w:tcPr>
            <w:tcW w:w="3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0.11</w:t>
            </w:r>
          </w:p>
        </w:tc>
        <w:tc>
          <w:tcPr>
            <w:tcW w:w="60" w:type="dxa"/>
            <w:vAlign w:val="bottom"/>
            <w:shd w:val="clear" w:color="auto" w:fill="CCEEFF"/>
          </w:tcPr>
          <w:p>
            <w:pPr>
              <w:spacing w:after="0"/>
              <w:rPr>
                <w:sz w:val="18"/>
                <w:szCs w:val="18"/>
                <w:color w:val="auto"/>
              </w:rPr>
            </w:pPr>
          </w:p>
        </w:tc>
      </w:tr>
      <w:tr>
        <w:trPr>
          <w:trHeight w:val="216"/>
        </w:trPr>
        <w:tc>
          <w:tcPr>
            <w:tcW w:w="4140" w:type="dxa"/>
            <w:vAlign w:val="bottom"/>
          </w:tcPr>
          <w:p>
            <w:pPr>
              <w:spacing w:after="0"/>
              <w:rPr>
                <w:sz w:val="20"/>
                <w:szCs w:val="20"/>
                <w:color w:val="auto"/>
              </w:rPr>
            </w:pPr>
            <w:r>
              <w:rPr>
                <w:rFonts w:ascii="Arial" w:cs="Arial" w:eastAsia="Arial" w:hAnsi="Arial"/>
                <w:sz w:val="18"/>
                <w:szCs w:val="18"/>
                <w:color w:val="auto"/>
              </w:rPr>
              <w:t>Diluted net income per share:</w:t>
            </w:r>
          </w:p>
        </w:tc>
        <w:tc>
          <w:tcPr>
            <w:tcW w:w="20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41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As reported</w:t>
            </w:r>
          </w:p>
        </w:tc>
        <w:tc>
          <w:tcPr>
            <w:tcW w:w="21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0.23</w:t>
            </w:r>
          </w:p>
        </w:tc>
        <w:tc>
          <w:tcPr>
            <w:tcW w:w="3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0.20</w:t>
            </w:r>
          </w:p>
        </w:tc>
        <w:tc>
          <w:tcPr>
            <w:tcW w:w="60" w:type="dxa"/>
            <w:vAlign w:val="bottom"/>
            <w:shd w:val="clear" w:color="auto" w:fill="CCEEFF"/>
          </w:tcPr>
          <w:p>
            <w:pPr>
              <w:spacing w:after="0"/>
              <w:rPr>
                <w:sz w:val="18"/>
                <w:szCs w:val="18"/>
                <w:color w:val="auto"/>
              </w:rPr>
            </w:pPr>
          </w:p>
        </w:tc>
      </w:tr>
      <w:tr>
        <w:trPr>
          <w:trHeight w:val="230"/>
        </w:trPr>
        <w:tc>
          <w:tcPr>
            <w:tcW w:w="4140" w:type="dxa"/>
            <w:vAlign w:val="bottom"/>
          </w:tcPr>
          <w:p>
            <w:pPr>
              <w:ind w:left="180"/>
              <w:spacing w:after="0"/>
              <w:rPr>
                <w:sz w:val="20"/>
                <w:szCs w:val="20"/>
                <w:color w:val="auto"/>
              </w:rPr>
            </w:pPr>
            <w:r>
              <w:rPr>
                <w:rFonts w:ascii="Arial" w:cs="Arial" w:eastAsia="Arial" w:hAnsi="Arial"/>
                <w:sz w:val="18"/>
                <w:szCs w:val="18"/>
                <w:color w:val="auto"/>
              </w:rPr>
              <w:t>Pro forma</w:t>
            </w:r>
          </w:p>
        </w:tc>
        <w:tc>
          <w:tcPr>
            <w:tcW w:w="214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0.12</w:t>
            </w:r>
          </w:p>
        </w:tc>
        <w:tc>
          <w:tcPr>
            <w:tcW w:w="34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0.10</w:t>
            </w:r>
          </w:p>
        </w:tc>
        <w:tc>
          <w:tcPr>
            <w:tcW w:w="60" w:type="dxa"/>
            <w:vAlign w:val="bottom"/>
          </w:tcPr>
          <w:p>
            <w:pPr>
              <w:spacing w:after="0"/>
              <w:rPr>
                <w:sz w:val="20"/>
                <w:szCs w:val="20"/>
                <w:color w:val="auto"/>
              </w:rPr>
            </w:pPr>
          </w:p>
        </w:tc>
      </w:tr>
    </w:tbl>
    <w:p>
      <w:pPr>
        <w:spacing w:after="0" w:line="241" w:lineRule="exact"/>
        <w:rPr>
          <w:sz w:val="20"/>
          <w:szCs w:val="20"/>
          <w:color w:val="auto"/>
        </w:rPr>
      </w:pPr>
    </w:p>
    <w:p>
      <w:pPr>
        <w:ind w:right="60" w:firstLine="243"/>
        <w:spacing w:after="0" w:line="302" w:lineRule="auto"/>
        <w:rPr>
          <w:sz w:val="20"/>
          <w:szCs w:val="20"/>
          <w:color w:val="auto"/>
        </w:rPr>
      </w:pPr>
      <w:r>
        <w:rPr>
          <w:rFonts w:ascii="Arial" w:cs="Arial" w:eastAsia="Arial" w:hAnsi="Arial"/>
          <w:sz w:val="16"/>
          <w:szCs w:val="16"/>
          <w:color w:val="auto"/>
        </w:rPr>
        <w:t>On May 1, 2006, the Company completed its acquisition of the printer semiconductor business of Avago Technologies Limited and paid $240.0 million in cash upon closing of the transaction. The Company may pay an additional $35.0 million in cash if certain defined milestones are achieved at various intervals through October 2007. The Company may also record a one-time charge for purchased in-process research and development expenses related to the acquisition. The amount of that charge which has not yet been determined, if any, would be recorded in the Company’s second fiscal quarter of fiscal 2007.</w:t>
      </w:r>
    </w:p>
    <w:p>
      <w:pPr>
        <w:spacing w:after="0" w:line="154" w:lineRule="exact"/>
        <w:rPr>
          <w:sz w:val="20"/>
          <w:szCs w:val="20"/>
          <w:color w:val="auto"/>
        </w:rPr>
      </w:pPr>
    </w:p>
    <w:p>
      <w:pPr>
        <w:ind w:right="40" w:firstLine="324"/>
        <w:spacing w:after="0" w:line="297" w:lineRule="auto"/>
        <w:rPr>
          <w:sz w:val="20"/>
          <w:szCs w:val="20"/>
          <w:color w:val="auto"/>
        </w:rPr>
      </w:pPr>
      <w:r>
        <w:rPr>
          <w:rFonts w:ascii="Arial" w:cs="Arial" w:eastAsia="Arial" w:hAnsi="Arial"/>
          <w:sz w:val="16"/>
          <w:szCs w:val="16"/>
          <w:color w:val="auto"/>
        </w:rPr>
        <w:t>On May 1, 2006, the Company completed an asset purchase agreement with a third party to acquire intellectual property and property and equipment. Under terms of the agreement, the Company paid $7.0 million in cash upon closing of the transaction. In addition to the asset purchase, Marvell and the third party agree to enter into certain additional agreements, including a transition services agreement, a product distribution agreement and an intellectual property agreement. The Company may also record a one-time charge for purchased in-process research and development expenses related to the acquisition. The amount of that charge, if any, would be recorded in the Company’s second fiscal quarter of fiscal 2007, but has not yet been determined.</w:t>
      </w:r>
    </w:p>
    <w:p>
      <w:pPr>
        <w:spacing w:after="0" w:line="3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29" w:lineRule="exact"/>
        <w:rPr>
          <w:sz w:val="20"/>
          <w:szCs w:val="20"/>
          <w:color w:val="auto"/>
        </w:rPr>
      </w:pPr>
    </w:p>
    <w:p>
      <w:pPr>
        <w:ind w:firstLine="259"/>
        <w:spacing w:after="0" w:line="284" w:lineRule="auto"/>
        <w:rPr>
          <w:sz w:val="20"/>
          <w:szCs w:val="20"/>
          <w:color w:val="auto"/>
        </w:rPr>
      </w:pPr>
      <w:r>
        <w:rPr>
          <w:rFonts w:ascii="Arial" w:cs="Arial" w:eastAsia="Arial" w:hAnsi="Arial"/>
          <w:sz w:val="16"/>
          <w:szCs w:val="16"/>
          <w:i w:val="1"/>
          <w:iCs w:val="1"/>
          <w:color w:val="auto"/>
        </w:rPr>
        <w:t>The statements contained in this Quarterly Report on Form 10-Q that are not purely historical are forward-looking statements within the meaning of Section 21E of the Securities Exchange Act of 1934 and Section 27A of the Securities Act of 1933, including statements regarding our expectations, beliefs, intentions or strategies regarding the future. Words such as “anticipates,” “expects,” “intends,” “plans,” “believes,” “seeks,” “estimates,” “can,” and similar expressions identify such forward-looking statements. These forward-looking statements include, but are not limited to, statements regarding the utilization of our products in a wide array of enterprise and consumer applications, our expectations as to growth in revenue from our products and reasons for such expectations, sources of revenue, our expectations as to research and development, sales and marketing and general and administrative expense, potential fluctuations in our gross margin and gross profit, the impact, if any, of legal proceedings, expected revenue concentration from Asia, working capital needs, our expectations as to the number of days in inventory, accounts receivable, inventory, the rate of new orders, adequacy of capital resources, funding of capital requirements, factors impacting our capital requirements, liquidity, expected impact of our contractual obligations, the use of recently purchased land, commitments and costs to improve the buildings on recently purchased land, future acquisitions, strategic alliances or joint ventures, sources of competition, future design features and uses of our current and future products, strategic relationships with customers, the need for new and upgraded operational and financial systems, procedures and controls, reasons for decreases in gross profits, and payment of income taxes in foreign jurisdictions. These forward-looking statements are subject to risks and uncertainties which may cause actual results to differ materially from those expressed or implied by the forward-looking statements. These risks and uncertainties include, but are not limited to, the impact of international conflict and continued economic volatility in either domestic or foreign markets, our dependence upon the hard disk drive industry and integrated circuit industry, both of which are highly cyclical, our dependence on a small number of customers, our ability to develop new and enhanced products, our success in integrating businesses we acquire and the impact such acquisitions may have on our operating results, our ability to estimate customer demand accurately, the success of our strategic relationships with customers,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United States federal income tax laws and the loss of any beneficial tax treatment that we currently enjoy, the outcome of pending or future litigation and other risks discussed in the section of this Form 10-Q titled “Risk Factors.” In addition, any statements which refer to expectations, projections or other characterizations of future events or circumstances are forward-looking statements that speak only as of the date hereof. We undertake no obligation to update publicly any forward-looking statements. You are urged to review carefully our various disclosures in this Form 10-Q and our other reports filed with the SEC, including our Annual Report on Form 10-K for the year ended January 31, 2006, that attempt to advise you of the risks and factors that may affect our business.</w:t>
      </w:r>
    </w:p>
    <w:p>
      <w:pPr>
        <w:spacing w:after="0" w:line="38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29" w:lineRule="exact"/>
        <w:rPr>
          <w:sz w:val="20"/>
          <w:szCs w:val="20"/>
          <w:color w:val="auto"/>
        </w:rPr>
      </w:pPr>
    </w:p>
    <w:p>
      <w:pPr>
        <w:ind w:right="80" w:firstLine="243"/>
        <w:spacing w:after="0" w:line="297" w:lineRule="auto"/>
        <w:rPr>
          <w:sz w:val="20"/>
          <w:szCs w:val="20"/>
          <w:color w:val="auto"/>
        </w:rPr>
      </w:pPr>
      <w:r>
        <w:rPr>
          <w:rFonts w:ascii="Arial" w:cs="Arial" w:eastAsia="Arial" w:hAnsi="Arial"/>
          <w:sz w:val="16"/>
          <w:szCs w:val="16"/>
          <w:color w:val="auto"/>
        </w:rPr>
        <w:t>We are a leading global semiconductor provider of high-performance analog, mixed-signal, digital signal processing and embedded microprocessor integrated circuits. Our diverse product portfolio includes switching, transceiver, wireless, PC connectivity, gateways, communications controller and storage and power management solutions that serve diverse applications used in business enterprises, consumer electronics and emerging markets.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w:t>
      </w:r>
    </w:p>
    <w:p>
      <w:pPr>
        <w:sectPr>
          <w:pgSz w:w="11900" w:h="16838" w:orient="portrait"/>
          <w:cols w:equalWidth="0" w:num="1">
            <w:col w:w="11420"/>
          </w:cols>
          <w:pgMar w:left="240" w:top="125" w:right="239" w:bottom="0" w:gutter="0" w:footer="0" w:header="0"/>
        </w:sectPr>
      </w:pPr>
    </w:p>
    <w:bookmarkStart w:id="15" w:name="page16"/>
    <w:bookmarkEnd w:id="15"/>
    <w:p>
      <w:pPr>
        <w:ind w:right="200"/>
        <w:spacing w:after="0" w:line="289" w:lineRule="auto"/>
        <w:rPr>
          <w:sz w:val="20"/>
          <w:szCs w:val="20"/>
          <w:color w:val="auto"/>
        </w:rPr>
      </w:pPr>
      <w:r>
        <w:rPr>
          <w:rFonts w:ascii="Arial" w:cs="Arial" w:eastAsia="Arial" w:hAnsi="Arial"/>
          <w:sz w:val="16"/>
          <w:szCs w:val="16"/>
          <w:color w:val="auto"/>
        </w:rPr>
        <w:t>manufacturing products. In January 2001, we acquired Galileo Technology Ltd. (now Marvell Semiconductor Israel Ltd, or MSIL) in a stock-for-stock transaction for aggregate consideration of approximately $2.5 billion. MSIL develops high-performance internetworking and switching products for the broadband communications market. In June 2003, we acquired RADLAN Computer Communications Ltd. (RADLAN), a leading provider of embedded networking software, for aggregate consideration to date of approximately $134.7 million. In November 2005, we acquired the hard disk and tape drive controller business of QLogic Corporation for approximately $232.5 million. The acquired business designs and supplies controller chips for data storage peripherals, such as hard disk and tape drives. In February 2006, we acquired the semiconductor design business of UTStarcom, Inc. for $24.8 million. The semiconductor design business of UTStarcom designs and supplies chipsets for cellular phone applications. In May 2006, we acquired the printer semiconductor business of Avago Technologies Limited for $240.0 million and potential additional earnout payments. In May 2006, we completed an asset purchase agreement with a third party to acquire intellectual property and property and equipment for $7.0 million.</w:t>
      </w:r>
    </w:p>
    <w:p>
      <w:pPr>
        <w:spacing w:after="0" w:line="38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0" w:firstLine="259"/>
        <w:spacing w:after="0" w:line="259" w:lineRule="auto"/>
        <w:rPr>
          <w:sz w:val="20"/>
          <w:szCs w:val="20"/>
          <w:color w:val="auto"/>
        </w:rPr>
      </w:pPr>
      <w:r>
        <w:rPr>
          <w:rFonts w:ascii="Arial" w:cs="Arial" w:eastAsia="Arial" w:hAnsi="Arial"/>
          <w:sz w:val="18"/>
          <w:szCs w:val="18"/>
          <w:color w:val="auto"/>
        </w:rPr>
        <w:t>We offer our customers a wide range of high-performance analog, mixed-signal, digital signal processing and embedded microprocessor integrated circuits. Our products can be utilized in a wide array of enterprise applications including hard disk drives, high-speed networking equipment, PCs, wireless local area network solutions (WLAN) for small office/home office and residential gateway solutions, and consumer applications such as cell phones, printers, digital cameras, MP3 devices, speakers, game consoles and PDAs.</w:t>
      </w:r>
    </w:p>
    <w:p>
      <w:pPr>
        <w:spacing w:after="0" w:line="187" w:lineRule="exact"/>
        <w:rPr>
          <w:sz w:val="20"/>
          <w:szCs w:val="20"/>
          <w:color w:val="auto"/>
        </w:rPr>
      </w:pPr>
    </w:p>
    <w:p>
      <w:pPr>
        <w:ind w:right="80" w:firstLine="259"/>
        <w:spacing w:after="0" w:line="255" w:lineRule="auto"/>
        <w:rPr>
          <w:sz w:val="20"/>
          <w:szCs w:val="20"/>
          <w:color w:val="auto"/>
        </w:rPr>
      </w:pPr>
      <w:r>
        <w:rPr>
          <w:rFonts w:ascii="Arial" w:cs="Arial" w:eastAsia="Arial" w:hAnsi="Arial"/>
          <w:sz w:val="18"/>
          <w:szCs w:val="18"/>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expect to increase our research and development, selling and marketing, and general and administrative expenditures as we seek to expand our operations.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93" w:lineRule="exact"/>
        <w:rPr>
          <w:sz w:val="20"/>
          <w:szCs w:val="20"/>
          <w:color w:val="auto"/>
        </w:rPr>
      </w:pPr>
    </w:p>
    <w:p>
      <w:pPr>
        <w:ind w:right="20" w:firstLine="259"/>
        <w:spacing w:after="0" w:line="259" w:lineRule="auto"/>
        <w:rPr>
          <w:sz w:val="20"/>
          <w:szCs w:val="20"/>
          <w:color w:val="auto"/>
        </w:rPr>
      </w:pPr>
      <w:r>
        <w:rPr>
          <w:rFonts w:ascii="Arial" w:cs="Arial" w:eastAsia="Arial" w:hAnsi="Arial"/>
          <w:sz w:val="18"/>
          <w:szCs w:val="18"/>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year 2006 is comprised of 52 weeks. For presentation purposes, our financial statements and notes and this “Management’s Discussion and Analysis of Financial Condition and Results of Operations” refer to January 31 as our year-end and April 30, July 31 and October 31 as our quarter-ends.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229" w:lineRule="exact"/>
        <w:rPr>
          <w:sz w:val="20"/>
          <w:szCs w:val="20"/>
          <w:color w:val="auto"/>
        </w:rPr>
      </w:pPr>
    </w:p>
    <w:p>
      <w:pPr>
        <w:ind w:right="40" w:firstLine="243"/>
        <w:spacing w:after="0" w:line="291" w:lineRule="auto"/>
        <w:rPr>
          <w:sz w:val="20"/>
          <w:szCs w:val="20"/>
          <w:color w:val="auto"/>
        </w:rPr>
      </w:pPr>
      <w:r>
        <w:rPr>
          <w:rFonts w:ascii="Arial" w:cs="Arial" w:eastAsia="Arial" w:hAnsi="Arial"/>
          <w:sz w:val="16"/>
          <w:szCs w:val="16"/>
          <w:color w:val="auto"/>
        </w:rPr>
        <w:t>The preparation of financial statements in conformity with accounting principles generally accepted in the United States of America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reported in future periods. For a description of our critical accounting policies and estimates, please refer to the “Critical Accounting Policies and Estimates” section of our Management’s Discussion and Analysis of Financial Condition and Results of Operations contained in our Annual Report on Form 10-K for the year ended January 31, 2006, as filed with the U.S. Securities and Exchange Commission. There have been no material changes in any of our accounting policies since January 31, 2006 except for the stock-based compensation.</w:t>
      </w:r>
    </w:p>
    <w:p>
      <w:pPr>
        <w:spacing w:after="0" w:line="167" w:lineRule="exact"/>
        <w:rPr>
          <w:sz w:val="20"/>
          <w:szCs w:val="20"/>
          <w:color w:val="auto"/>
        </w:rPr>
      </w:pPr>
    </w:p>
    <w:p>
      <w:pPr>
        <w:ind w:firstLine="243"/>
        <w:spacing w:after="0" w:line="286" w:lineRule="auto"/>
        <w:rPr>
          <w:sz w:val="20"/>
          <w:szCs w:val="20"/>
          <w:color w:val="auto"/>
        </w:rPr>
      </w:pPr>
      <w:r>
        <w:rPr>
          <w:rFonts w:ascii="Arial" w:cs="Arial" w:eastAsia="Arial" w:hAnsi="Arial"/>
          <w:sz w:val="16"/>
          <w:szCs w:val="16"/>
          <w:i w:val="1"/>
          <w:iCs w:val="1"/>
          <w:color w:val="auto"/>
        </w:rPr>
        <w:t xml:space="preserve">Stock-Based Compensation Expense for Fiscal 2007 and Thereafter. </w:t>
      </w:r>
      <w:r>
        <w:rPr>
          <w:rFonts w:ascii="Arial" w:cs="Arial" w:eastAsia="Arial" w:hAnsi="Arial"/>
          <w:sz w:val="16"/>
          <w:szCs w:val="16"/>
          <w:color w:val="auto"/>
        </w:rPr>
        <w:t>Effective February 1, 2006, we adopted SFAS No. 123 (revised 2004),</w:t>
      </w:r>
      <w:r>
        <w:rPr>
          <w:rFonts w:ascii="Arial" w:cs="Arial" w:eastAsia="Arial" w:hAnsi="Arial"/>
          <w:sz w:val="16"/>
          <w:szCs w:val="16"/>
          <w:i w:val="1"/>
          <w:iCs w:val="1"/>
          <w:color w:val="auto"/>
        </w:rPr>
        <w:t xml:space="preserve"> Share-Based Payment</w:t>
      </w:r>
      <w:r>
        <w:rPr>
          <w:rFonts w:ascii="Arial" w:cs="Arial" w:eastAsia="Arial" w:hAnsi="Arial"/>
          <w:sz w:val="16"/>
          <w:szCs w:val="16"/>
          <w:color w:val="auto"/>
        </w:rPr>
        <w:t>, or SFAS 123R. SFAS 123R requires all share-based payments to employees, including grants of employee stock options, restricted stock units and</w:t>
      </w:r>
      <w:r>
        <w:rPr>
          <w:rFonts w:ascii="Arial" w:cs="Arial" w:eastAsia="Arial" w:hAnsi="Arial"/>
          <w:sz w:val="16"/>
          <w:szCs w:val="16"/>
          <w:i w:val="1"/>
          <w:iCs w:val="1"/>
          <w:color w:val="auto"/>
        </w:rPr>
        <w:t xml:space="preserve"> </w:t>
      </w:r>
      <w:r>
        <w:rPr>
          <w:rFonts w:ascii="Arial" w:cs="Arial" w:eastAsia="Arial" w:hAnsi="Arial"/>
          <w:sz w:val="16"/>
          <w:szCs w:val="16"/>
          <w:color w:val="auto"/>
        </w:rPr>
        <w:t>employee stock purchase rights, to be recognized in our financial statements based on their respective grant date fair values. Under this standard, the fair value of each share-based payment award is estimated on the date of grant using an option pricing model that meets certain requirements. We currently use the Black-Scholes option pricing model to estimate the fair value of our share-based payment awards. The Black-Scholes model meets the requirements of SFAS 123R; however, the fair values generated by the model may not be indicative of the actual fair values of our awards as it does not consider certain factors important to our awards, such as continued employment, periodic vesting requirements and limited transferability. The determination of the fair value of share-based payment awards utilizing the Black-Scholes model is affected by our stock price and a number of assumptions, including expected volatility, expected life, risk-free interest rate and expected dividends. We use the historical volatility of our common stock as the expected volatility assumption required in the Black-Scholes model. Our selection of the historical volatility approach is based on the lack of availability of data regarding actively traded options on our stock as we believe that historical volatility is more representative than implied volatility. The expected life of the awards is based on historical and other economic data trended into the future. The risk-free interest rate assumption is based on observed interest rates appropriate for the terms of our awards. The dividend yield assumption is based on our history and expectation of dividend payouts. The fair value of our restricted stock units is based on the fair market value of our common stock on the date of grant. Forfeitures, determined based on historical cancellations and grants, are estimated at the time of grant and revised, if necessary, in subsequent periods if actual forfeitures differ from those estimates.</w:t>
      </w:r>
    </w:p>
    <w:p>
      <w:pPr>
        <w:spacing w:after="0" w:line="169" w:lineRule="exact"/>
        <w:rPr>
          <w:sz w:val="20"/>
          <w:szCs w:val="20"/>
          <w:color w:val="auto"/>
        </w:rPr>
      </w:pPr>
    </w:p>
    <w:p>
      <w:pPr>
        <w:ind w:right="120" w:firstLine="243"/>
        <w:spacing w:after="0" w:line="259" w:lineRule="auto"/>
        <w:rPr>
          <w:sz w:val="20"/>
          <w:szCs w:val="20"/>
          <w:color w:val="auto"/>
        </w:rPr>
      </w:pPr>
      <w:r>
        <w:rPr>
          <w:rFonts w:ascii="Arial" w:cs="Arial" w:eastAsia="Arial" w:hAnsi="Arial"/>
          <w:sz w:val="18"/>
          <w:szCs w:val="18"/>
          <w:color w:val="auto"/>
        </w:rPr>
        <w:t>Stock-based compensation expense recognized in our financial statements in fiscal 2007 and thereafter is based on awards that are ultimately expected to vest. We evaluate the assumptions used to value our awards on a quarterly basis. If factors change and we employ different assumptions, stock-based compensation expense may differ significantly from what we have recorded in the past. If there are any modifications or cancellations of the underlying unvested securities, we may be required to accelerate, increase or cancel</w:t>
      </w:r>
    </w:p>
    <w:p>
      <w:pPr>
        <w:spacing w:after="0" w:line="200" w:lineRule="exact"/>
        <w:rPr>
          <w:sz w:val="20"/>
          <w:szCs w:val="20"/>
          <w:color w:val="auto"/>
        </w:rPr>
      </w:pPr>
    </w:p>
    <w:p>
      <w:pPr>
        <w:spacing w:after="0" w:line="2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spacing w:after="0" w:line="255" w:lineRule="auto"/>
        <w:rPr>
          <w:sz w:val="20"/>
          <w:szCs w:val="20"/>
          <w:color w:val="auto"/>
        </w:rPr>
      </w:pPr>
      <w:r>
        <w:rPr>
          <w:rFonts w:ascii="Arial" w:cs="Arial" w:eastAsia="Arial" w:hAnsi="Arial"/>
          <w:sz w:val="18"/>
          <w:szCs w:val="18"/>
          <w:color w:val="auto"/>
        </w:rPr>
        <w:t>any remaining unearned stock-based compensation expense. Future stock-based compensation expense and unearned stock-based compensation will increase to the extent that we grant additional equity awards to employees or we assume unvested equity awards in connection with acquisitions. Had we adopted SFAS 123R in prior periods, the magnitude of the impact of that standard on our results of operations would have approximated the impact of Statement of Financial Accounting Standards No. 123, Accounting for Stock-Based Compensation, assuming the application of the Black-Scholes option pricing model as described in the disclosure of pro forma net income and pro forma net income per share in Notes 1 and 7 of our Notes to Unaudited Condensed Consolidated Financial Statements.</w:t>
      </w:r>
    </w:p>
    <w:p>
      <w:pPr>
        <w:sectPr>
          <w:pgSz w:w="11900" w:h="16838" w:orient="portrait"/>
          <w:cols w:equalWidth="0" w:num="1">
            <w:col w:w="11400"/>
          </w:cols>
          <w:pgMar w:left="240" w:top="125" w:right="259" w:bottom="0" w:gutter="0" w:footer="0" w:header="0"/>
        </w:sectPr>
      </w:pPr>
    </w:p>
    <w:bookmarkStart w:id="16" w:name="page17"/>
    <w:bookmarkEnd w:id="16"/>
    <w:p>
      <w:pPr>
        <w:spacing w:after="0" w:line="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229" w:lineRule="exact"/>
        <w:rPr>
          <w:sz w:val="20"/>
          <w:szCs w:val="20"/>
          <w:color w:val="auto"/>
        </w:rPr>
      </w:pPr>
    </w:p>
    <w:p>
      <w:pPr>
        <w:ind w:right="160" w:firstLine="259"/>
        <w:spacing w:after="0" w:line="277"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39" w:lineRule="exact"/>
        <w:rPr>
          <w:sz w:val="20"/>
          <w:szCs w:val="20"/>
          <w:color w:val="auto"/>
        </w:rPr>
      </w:pPr>
    </w:p>
    <w:p>
      <w:pPr>
        <w:jc w:val="center"/>
        <w:ind w:left="6020"/>
        <w:spacing w:after="0"/>
        <w:rPr>
          <w:sz w:val="20"/>
          <w:szCs w:val="20"/>
          <w:color w:val="auto"/>
        </w:rPr>
      </w:pPr>
      <w:r>
        <w:rPr>
          <w:rFonts w:ascii="Arial" w:cs="Arial" w:eastAsia="Arial" w:hAnsi="Arial"/>
          <w:sz w:val="14"/>
          <w:szCs w:val="14"/>
          <w:b w:val="1"/>
          <w:bCs w:val="1"/>
          <w:color w:val="auto"/>
        </w:rPr>
        <w:t>Three Months Ended</w:t>
      </w:r>
    </w:p>
    <w:p>
      <w:pPr>
        <w:jc w:val="center"/>
        <w:ind w:left="6020"/>
        <w:spacing w:after="0" w:line="221" w:lineRule="auto"/>
        <w:rPr>
          <w:sz w:val="20"/>
          <w:szCs w:val="20"/>
          <w:color w:val="auto"/>
        </w:rPr>
      </w:pPr>
      <w:r>
        <w:rPr>
          <w:rFonts w:ascii="Arial" w:cs="Arial" w:eastAsia="Arial" w:hAnsi="Arial"/>
          <w:sz w:val="14"/>
          <w:szCs w:val="14"/>
          <w:b w:val="1"/>
          <w:bCs w:val="1"/>
          <w:color w:val="auto"/>
        </w:rPr>
        <w:t>April 30,</w:t>
      </w:r>
    </w:p>
    <w:tbl>
      <w:tblPr>
        <w:tblLayout w:type="fixed"/>
        <w:tblInd w:w="0" w:type="dxa"/>
        <w:tblCellMar>
          <w:top w:w="0" w:type="dxa"/>
          <w:left w:w="0" w:type="dxa"/>
          <w:bottom w:w="0" w:type="dxa"/>
          <w:right w:w="0" w:type="dxa"/>
        </w:tblCellMar>
      </w:tblPr>
      <w:tr>
        <w:trPr>
          <w:trHeight w:val="136"/>
        </w:trPr>
        <w:tc>
          <w:tcPr>
            <w:tcW w:w="1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740" w:type="dxa"/>
            <w:vAlign w:val="bottom"/>
            <w:tcBorders>
              <w:bottom w:val="single" w:sz="8" w:color="CCEEFF"/>
            </w:tcBorders>
          </w:tcPr>
          <w:p>
            <w:pPr>
              <w:spacing w:after="0"/>
              <w:rPr>
                <w:sz w:val="11"/>
                <w:szCs w:val="11"/>
                <w:color w:val="auto"/>
              </w:rPr>
            </w:pPr>
          </w:p>
        </w:tc>
        <w:tc>
          <w:tcPr>
            <w:tcW w:w="540" w:type="dxa"/>
            <w:vAlign w:val="bottom"/>
            <w:tcBorders>
              <w:bottom w:val="single" w:sz="8" w:color="CCEEFF"/>
            </w:tcBorders>
          </w:tcPr>
          <w:p>
            <w:pPr>
              <w:spacing w:after="0"/>
              <w:rPr>
                <w:sz w:val="11"/>
                <w:szCs w:val="11"/>
                <w:color w:val="auto"/>
              </w:rPr>
            </w:pPr>
          </w:p>
        </w:tc>
        <w:tc>
          <w:tcPr>
            <w:tcW w:w="100" w:type="dxa"/>
            <w:vAlign w:val="bottom"/>
            <w:tcBorders>
              <w:bottom w:val="single" w:sz="8" w:color="CCEEFF"/>
            </w:tcBorders>
          </w:tcPr>
          <w:p>
            <w:pPr>
              <w:spacing w:after="0"/>
              <w:rPr>
                <w:sz w:val="11"/>
                <w:szCs w:val="11"/>
                <w:color w:val="auto"/>
              </w:rPr>
            </w:pPr>
          </w:p>
        </w:tc>
        <w:tc>
          <w:tcPr>
            <w:tcW w:w="860" w:type="dxa"/>
            <w:vAlign w:val="bottom"/>
            <w:tcBorders>
              <w:bottom w:val="single" w:sz="8" w:color="CCEEFF"/>
            </w:tcBorders>
          </w:tcPr>
          <w:p>
            <w:pPr>
              <w:spacing w:after="0"/>
              <w:rPr>
                <w:sz w:val="11"/>
                <w:szCs w:val="11"/>
                <w:color w:val="auto"/>
              </w:rPr>
            </w:pPr>
          </w:p>
        </w:tc>
        <w:tc>
          <w:tcPr>
            <w:tcW w:w="220" w:type="dxa"/>
            <w:vAlign w:val="bottom"/>
            <w:tcBorders>
              <w:bottom w:val="single" w:sz="8" w:color="CCEEFF"/>
            </w:tcBorders>
          </w:tcPr>
          <w:p>
            <w:pPr>
              <w:spacing w:after="0"/>
              <w:rPr>
                <w:sz w:val="11"/>
                <w:szCs w:val="11"/>
                <w:color w:val="auto"/>
              </w:rPr>
            </w:pPr>
          </w:p>
        </w:tc>
        <w:tc>
          <w:tcPr>
            <w:tcW w:w="200" w:type="dxa"/>
            <w:vAlign w:val="bottom"/>
            <w:tcBorders>
              <w:bottom w:val="single" w:sz="8" w:color="CCEEFF"/>
            </w:tcBorders>
          </w:tcPr>
          <w:p>
            <w:pPr>
              <w:spacing w:after="0"/>
              <w:rPr>
                <w:sz w:val="11"/>
                <w:szCs w:val="11"/>
                <w:color w:val="auto"/>
              </w:rPr>
            </w:pPr>
          </w:p>
        </w:tc>
        <w:tc>
          <w:tcPr>
            <w:tcW w:w="540" w:type="dxa"/>
            <w:vAlign w:val="bottom"/>
            <w:tcBorders>
              <w:bottom w:val="single" w:sz="8" w:color="CCEEFF"/>
            </w:tcBorders>
          </w:tcPr>
          <w:p>
            <w:pPr>
              <w:spacing w:after="0"/>
              <w:rPr>
                <w:sz w:val="11"/>
                <w:szCs w:val="11"/>
                <w:color w:val="auto"/>
              </w:rPr>
            </w:pPr>
          </w:p>
        </w:tc>
        <w:tc>
          <w:tcPr>
            <w:tcW w:w="100" w:type="dxa"/>
            <w:vAlign w:val="bottom"/>
            <w:tcBorders>
              <w:top w:val="single" w:sz="8" w:color="auto"/>
              <w:bottom w:val="single" w:sz="8" w:color="auto"/>
            </w:tcBorders>
          </w:tcPr>
          <w:p>
            <w:pPr>
              <w:spacing w:after="0"/>
              <w:rPr>
                <w:sz w:val="11"/>
                <w:szCs w:val="11"/>
                <w:color w:val="auto"/>
              </w:rPr>
            </w:pPr>
          </w:p>
        </w:tc>
        <w:tc>
          <w:tcPr>
            <w:tcW w:w="340" w:type="dxa"/>
            <w:vAlign w:val="bottom"/>
            <w:tcBorders>
              <w:top w:val="single" w:sz="8" w:color="auto"/>
              <w:bottom w:val="single" w:sz="8" w:color="auto"/>
            </w:tcBorders>
            <w:gridSpan w:val="2"/>
          </w:tcPr>
          <w:p>
            <w:pPr>
              <w:jc w:val="right"/>
              <w:ind w:right="20"/>
              <w:spacing w:after="0" w:line="136" w:lineRule="exact"/>
              <w:rPr>
                <w:sz w:val="20"/>
                <w:szCs w:val="20"/>
                <w:color w:val="auto"/>
              </w:rPr>
            </w:pPr>
            <w:r>
              <w:rPr>
                <w:rFonts w:ascii="Arial" w:cs="Arial" w:eastAsia="Arial" w:hAnsi="Arial"/>
                <w:sz w:val="14"/>
                <w:szCs w:val="14"/>
                <w:b w:val="1"/>
                <w:bCs w:val="1"/>
                <w:color w:val="auto"/>
                <w:w w:val="96"/>
              </w:rPr>
              <w:t>2006</w:t>
            </w:r>
          </w:p>
        </w:tc>
        <w:tc>
          <w:tcPr>
            <w:tcW w:w="140" w:type="dxa"/>
            <w:vAlign w:val="bottom"/>
            <w:tcBorders>
              <w:top w:val="single" w:sz="8" w:color="auto"/>
              <w:bottom w:val="single" w:sz="8" w:color="auto"/>
            </w:tcBorders>
          </w:tcPr>
          <w:p>
            <w:pPr>
              <w:spacing w:after="0"/>
              <w:rPr>
                <w:sz w:val="11"/>
                <w:szCs w:val="11"/>
                <w:color w:val="auto"/>
              </w:rPr>
            </w:pPr>
          </w:p>
        </w:tc>
        <w:tc>
          <w:tcPr>
            <w:tcW w:w="200" w:type="dxa"/>
            <w:vAlign w:val="bottom"/>
            <w:tcBorders>
              <w:top w:val="single" w:sz="8" w:color="auto"/>
              <w:bottom w:val="single" w:sz="8" w:color="CCEEFF"/>
            </w:tcBorders>
          </w:tcPr>
          <w:p>
            <w:pPr>
              <w:spacing w:after="0"/>
              <w:rPr>
                <w:sz w:val="11"/>
                <w:szCs w:val="11"/>
                <w:color w:val="auto"/>
              </w:rPr>
            </w:pPr>
          </w:p>
        </w:tc>
        <w:tc>
          <w:tcPr>
            <w:tcW w:w="580" w:type="dxa"/>
            <w:vAlign w:val="bottom"/>
            <w:tcBorders>
              <w:top w:val="single" w:sz="8" w:color="auto"/>
              <w:bottom w:val="single" w:sz="8" w:color="auto"/>
            </w:tcBorders>
          </w:tcPr>
          <w:p>
            <w:pPr>
              <w:jc w:val="right"/>
              <w:ind w:right="71"/>
              <w:spacing w:after="0" w:line="136" w:lineRule="exact"/>
              <w:rPr>
                <w:sz w:val="20"/>
                <w:szCs w:val="20"/>
                <w:color w:val="auto"/>
              </w:rPr>
            </w:pPr>
            <w:r>
              <w:rPr>
                <w:rFonts w:ascii="Arial" w:cs="Arial" w:eastAsia="Arial" w:hAnsi="Arial"/>
                <w:sz w:val="14"/>
                <w:szCs w:val="14"/>
                <w:b w:val="1"/>
                <w:bCs w:val="1"/>
                <w:color w:val="auto"/>
              </w:rPr>
              <w:t>2005</w:t>
            </w:r>
          </w:p>
        </w:tc>
        <w:tc>
          <w:tcPr>
            <w:tcW w:w="40" w:type="dxa"/>
            <w:vAlign w:val="bottom"/>
            <w:tcBorders>
              <w:bottom w:val="single" w:sz="8" w:color="CCEEFF"/>
            </w:tcBorders>
          </w:tcPr>
          <w:p>
            <w:pPr>
              <w:spacing w:after="0"/>
              <w:rPr>
                <w:sz w:val="11"/>
                <w:szCs w:val="11"/>
                <w:color w:val="auto"/>
              </w:rPr>
            </w:pPr>
          </w:p>
        </w:tc>
        <w:tc>
          <w:tcPr>
            <w:tcW w:w="160" w:type="dxa"/>
            <w:vAlign w:val="bottom"/>
            <w:tcBorders>
              <w:bottom w:val="single" w:sz="8" w:color="CCEEFF"/>
            </w:tcBorders>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1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74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w w:val="98"/>
              </w:rPr>
              <w:t>100.0%</w:t>
            </w:r>
          </w:p>
        </w:tc>
        <w:tc>
          <w:tcPr>
            <w:tcW w:w="7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74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7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Cost of goods sold*</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46.2</w:t>
            </w:r>
          </w:p>
        </w:tc>
        <w:tc>
          <w:tcPr>
            <w:tcW w:w="2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48.0</w:t>
            </w:r>
          </w:p>
        </w:tc>
        <w:tc>
          <w:tcPr>
            <w:tcW w:w="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740" w:type="dxa"/>
            <w:vAlign w:val="bottom"/>
          </w:tcPr>
          <w:p>
            <w:pPr>
              <w:ind w:left="180"/>
              <w:spacing w:after="0"/>
              <w:rPr>
                <w:sz w:val="20"/>
                <w:szCs w:val="20"/>
                <w:color w:val="auto"/>
              </w:rPr>
            </w:pPr>
            <w:r>
              <w:rPr>
                <w:rFonts w:ascii="Arial" w:cs="Arial" w:eastAsia="Arial" w:hAnsi="Arial"/>
                <w:sz w:val="18"/>
                <w:szCs w:val="18"/>
                <w:color w:val="auto"/>
              </w:rPr>
              <w:t>Research and development*</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gridSpan w:val="3"/>
          </w:tcPr>
          <w:p>
            <w:pPr>
              <w:jc w:val="right"/>
              <w:ind w:right="20"/>
              <w:spacing w:after="0"/>
              <w:rPr>
                <w:sz w:val="20"/>
                <w:szCs w:val="20"/>
                <w:color w:val="auto"/>
              </w:rPr>
            </w:pPr>
            <w:r>
              <w:rPr>
                <w:rFonts w:ascii="Arial" w:cs="Arial" w:eastAsia="Arial" w:hAnsi="Arial"/>
                <w:sz w:val="18"/>
                <w:szCs w:val="18"/>
                <w:color w:val="auto"/>
              </w:rPr>
              <w:t>24.0</w:t>
            </w:r>
          </w:p>
        </w:tc>
        <w:tc>
          <w:tcPr>
            <w:tcW w:w="2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19.9</w:t>
            </w: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7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Selling and marketing*</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7.3</w:t>
            </w:r>
          </w:p>
        </w:tc>
        <w:tc>
          <w:tcPr>
            <w:tcW w:w="2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w:t>
            </w:r>
          </w:p>
        </w:tc>
        <w:tc>
          <w:tcPr>
            <w:tcW w:w="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740" w:type="dxa"/>
            <w:vAlign w:val="bottom"/>
          </w:tcPr>
          <w:p>
            <w:pPr>
              <w:ind w:left="180"/>
              <w:spacing w:after="0"/>
              <w:rPr>
                <w:sz w:val="20"/>
                <w:szCs w:val="20"/>
                <w:color w:val="auto"/>
              </w:rPr>
            </w:pPr>
            <w:r>
              <w:rPr>
                <w:rFonts w:ascii="Arial" w:cs="Arial" w:eastAsia="Arial" w:hAnsi="Arial"/>
                <w:sz w:val="18"/>
                <w:szCs w:val="18"/>
                <w:color w:val="auto"/>
              </w:rPr>
              <w:t>General and administrative*</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gridSpan w:val="3"/>
          </w:tcPr>
          <w:p>
            <w:pPr>
              <w:jc w:val="right"/>
              <w:ind w:right="20"/>
              <w:spacing w:after="0"/>
              <w:rPr>
                <w:sz w:val="20"/>
                <w:szCs w:val="20"/>
                <w:color w:val="auto"/>
              </w:rPr>
            </w:pPr>
            <w:r>
              <w:rPr>
                <w:rFonts w:ascii="Arial" w:cs="Arial" w:eastAsia="Arial" w:hAnsi="Arial"/>
                <w:sz w:val="18"/>
                <w:szCs w:val="18"/>
                <w:color w:val="auto"/>
              </w:rPr>
              <w:t>3.2</w:t>
            </w:r>
          </w:p>
        </w:tc>
        <w:tc>
          <w:tcPr>
            <w:tcW w:w="2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1.9</w:t>
            </w: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7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Amortization of acquired intangible assets</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480" w:type="dxa"/>
            <w:vAlign w:val="bottom"/>
            <w:tcBorders>
              <w:bottom w:val="single" w:sz="8" w:color="auto"/>
            </w:tcBorders>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3.3</w:t>
            </w:r>
          </w:p>
        </w:tc>
        <w:tc>
          <w:tcPr>
            <w:tcW w:w="200" w:type="dxa"/>
            <w:vAlign w:val="bottom"/>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w:t>
            </w:r>
          </w:p>
        </w:tc>
        <w:tc>
          <w:tcPr>
            <w:tcW w:w="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74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Total operating costs and expenses</w:t>
            </w:r>
          </w:p>
        </w:tc>
        <w:tc>
          <w:tcPr>
            <w:tcW w:w="54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860" w:type="dxa"/>
            <w:vAlign w:val="bottom"/>
            <w:tcBorders>
              <w:bottom w:val="single" w:sz="8" w:color="CCEEFF"/>
            </w:tcBorders>
          </w:tcPr>
          <w:p>
            <w:pPr>
              <w:spacing w:after="0"/>
              <w:rPr>
                <w:sz w:val="18"/>
                <w:szCs w:val="18"/>
                <w:color w:val="auto"/>
              </w:rPr>
            </w:pPr>
          </w:p>
        </w:tc>
        <w:tc>
          <w:tcPr>
            <w:tcW w:w="220" w:type="dxa"/>
            <w:vAlign w:val="bottom"/>
            <w:tcBorders>
              <w:bottom w:val="single" w:sz="8" w:color="CCEEFF"/>
            </w:tcBorders>
          </w:tcPr>
          <w:p>
            <w:pPr>
              <w:spacing w:after="0"/>
              <w:rPr>
                <w:sz w:val="18"/>
                <w:szCs w:val="18"/>
                <w:color w:val="auto"/>
              </w:rPr>
            </w:pPr>
          </w:p>
        </w:tc>
        <w:tc>
          <w:tcPr>
            <w:tcW w:w="200" w:type="dxa"/>
            <w:vAlign w:val="bottom"/>
            <w:tcBorders>
              <w:bottom w:val="single" w:sz="8" w:color="CCEEFF"/>
            </w:tcBorders>
          </w:tcPr>
          <w:p>
            <w:pPr>
              <w:spacing w:after="0"/>
              <w:rPr>
                <w:sz w:val="18"/>
                <w:szCs w:val="18"/>
                <w:color w:val="auto"/>
              </w:rPr>
            </w:pPr>
          </w:p>
        </w:tc>
        <w:tc>
          <w:tcPr>
            <w:tcW w:w="54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480" w:type="dxa"/>
            <w:vAlign w:val="bottom"/>
            <w:tcBorders>
              <w:bottom w:val="single" w:sz="8" w:color="auto"/>
            </w:tcBorders>
            <w:gridSpan w:val="3"/>
          </w:tcPr>
          <w:p>
            <w:pPr>
              <w:jc w:val="right"/>
              <w:ind w:right="20"/>
              <w:spacing w:after="0"/>
              <w:rPr>
                <w:sz w:val="20"/>
                <w:szCs w:val="20"/>
                <w:color w:val="auto"/>
              </w:rPr>
            </w:pPr>
            <w:r>
              <w:rPr>
                <w:rFonts w:ascii="Arial" w:cs="Arial" w:eastAsia="Arial" w:hAnsi="Arial"/>
                <w:sz w:val="18"/>
                <w:szCs w:val="18"/>
                <w:color w:val="auto"/>
              </w:rPr>
              <w:t>84.0</w:t>
            </w:r>
          </w:p>
        </w:tc>
        <w:tc>
          <w:tcPr>
            <w:tcW w:w="200" w:type="dxa"/>
            <w:vAlign w:val="bottom"/>
            <w:tcBorders>
              <w:bottom w:val="single" w:sz="8" w:color="CCEEFF"/>
            </w:tcBorders>
          </w:tcPr>
          <w:p>
            <w:pPr>
              <w:spacing w:after="0"/>
              <w:rPr>
                <w:sz w:val="18"/>
                <w:szCs w:val="18"/>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81.0</w:t>
            </w:r>
          </w:p>
        </w:tc>
        <w:tc>
          <w:tcPr>
            <w:tcW w:w="40" w:type="dxa"/>
            <w:vAlign w:val="bottom"/>
            <w:tcBorders>
              <w:bottom w:val="single" w:sz="8" w:color="CCEEFF"/>
            </w:tcBorders>
          </w:tcPr>
          <w:p>
            <w:pPr>
              <w:spacing w:after="0"/>
              <w:rPr>
                <w:sz w:val="18"/>
                <w:szCs w:val="18"/>
                <w:color w:val="auto"/>
              </w:rPr>
            </w:pPr>
          </w:p>
        </w:tc>
        <w:tc>
          <w:tcPr>
            <w:tcW w:w="160" w:type="dxa"/>
            <w:vAlign w:val="bottom"/>
            <w:tcBorders>
              <w:bottom w:val="single" w:sz="8" w:color="CCEEFF"/>
            </w:tcBorders>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74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16.0</w:t>
            </w:r>
          </w:p>
        </w:tc>
        <w:tc>
          <w:tcPr>
            <w:tcW w:w="2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19.0</w:t>
            </w:r>
          </w:p>
        </w:tc>
        <w:tc>
          <w:tcPr>
            <w:tcW w:w="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74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Interest and other income, net</w:t>
            </w:r>
          </w:p>
        </w:tc>
        <w:tc>
          <w:tcPr>
            <w:tcW w:w="54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860" w:type="dxa"/>
            <w:vAlign w:val="bottom"/>
            <w:tcBorders>
              <w:bottom w:val="single" w:sz="8" w:color="CCEEFF"/>
            </w:tcBorders>
          </w:tcPr>
          <w:p>
            <w:pPr>
              <w:spacing w:after="0"/>
              <w:rPr>
                <w:sz w:val="18"/>
                <w:szCs w:val="18"/>
                <w:color w:val="auto"/>
              </w:rPr>
            </w:pPr>
          </w:p>
        </w:tc>
        <w:tc>
          <w:tcPr>
            <w:tcW w:w="220" w:type="dxa"/>
            <w:vAlign w:val="bottom"/>
            <w:tcBorders>
              <w:bottom w:val="single" w:sz="8" w:color="CCEEFF"/>
            </w:tcBorders>
          </w:tcPr>
          <w:p>
            <w:pPr>
              <w:spacing w:after="0"/>
              <w:rPr>
                <w:sz w:val="18"/>
                <w:szCs w:val="18"/>
                <w:color w:val="auto"/>
              </w:rPr>
            </w:pPr>
          </w:p>
        </w:tc>
        <w:tc>
          <w:tcPr>
            <w:tcW w:w="200" w:type="dxa"/>
            <w:vAlign w:val="bottom"/>
            <w:tcBorders>
              <w:bottom w:val="single" w:sz="8" w:color="CCEEFF"/>
            </w:tcBorders>
          </w:tcPr>
          <w:p>
            <w:pPr>
              <w:spacing w:after="0"/>
              <w:rPr>
                <w:sz w:val="18"/>
                <w:szCs w:val="18"/>
                <w:color w:val="auto"/>
              </w:rPr>
            </w:pPr>
          </w:p>
        </w:tc>
        <w:tc>
          <w:tcPr>
            <w:tcW w:w="54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480" w:type="dxa"/>
            <w:vAlign w:val="bottom"/>
            <w:tcBorders>
              <w:bottom w:val="single" w:sz="8" w:color="auto"/>
            </w:tcBorders>
            <w:gridSpan w:val="3"/>
          </w:tcPr>
          <w:p>
            <w:pPr>
              <w:jc w:val="right"/>
              <w:ind w:right="20"/>
              <w:spacing w:after="0"/>
              <w:rPr>
                <w:sz w:val="20"/>
                <w:szCs w:val="20"/>
                <w:color w:val="auto"/>
              </w:rPr>
            </w:pPr>
            <w:r>
              <w:rPr>
                <w:rFonts w:ascii="Arial" w:cs="Arial" w:eastAsia="Arial" w:hAnsi="Arial"/>
                <w:sz w:val="18"/>
                <w:szCs w:val="18"/>
                <w:color w:val="auto"/>
              </w:rPr>
              <w:t>1.5</w:t>
            </w:r>
          </w:p>
        </w:tc>
        <w:tc>
          <w:tcPr>
            <w:tcW w:w="200" w:type="dxa"/>
            <w:vAlign w:val="bottom"/>
            <w:tcBorders>
              <w:bottom w:val="single" w:sz="8" w:color="CCEEFF"/>
            </w:tcBorders>
          </w:tcPr>
          <w:p>
            <w:pPr>
              <w:spacing w:after="0"/>
              <w:rPr>
                <w:sz w:val="18"/>
                <w:szCs w:val="18"/>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w:t>
            </w:r>
          </w:p>
        </w:tc>
        <w:tc>
          <w:tcPr>
            <w:tcW w:w="40" w:type="dxa"/>
            <w:vAlign w:val="bottom"/>
            <w:tcBorders>
              <w:bottom w:val="single" w:sz="8" w:color="CCEEFF"/>
            </w:tcBorders>
          </w:tcPr>
          <w:p>
            <w:pPr>
              <w:spacing w:after="0"/>
              <w:rPr>
                <w:sz w:val="18"/>
                <w:szCs w:val="18"/>
                <w:color w:val="auto"/>
              </w:rPr>
            </w:pPr>
          </w:p>
        </w:tc>
        <w:tc>
          <w:tcPr>
            <w:tcW w:w="160" w:type="dxa"/>
            <w:vAlign w:val="bottom"/>
            <w:tcBorders>
              <w:bottom w:val="single" w:sz="8" w:color="CCEEFF"/>
            </w:tcBorders>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74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17.5</w:t>
            </w:r>
          </w:p>
        </w:tc>
        <w:tc>
          <w:tcPr>
            <w:tcW w:w="2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w:t>
            </w:r>
          </w:p>
        </w:tc>
        <w:tc>
          <w:tcPr>
            <w:tcW w:w="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74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Provision for income taxes</w:t>
            </w:r>
          </w:p>
        </w:tc>
        <w:tc>
          <w:tcPr>
            <w:tcW w:w="54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860" w:type="dxa"/>
            <w:vAlign w:val="bottom"/>
            <w:tcBorders>
              <w:bottom w:val="single" w:sz="8" w:color="CCEEFF"/>
            </w:tcBorders>
          </w:tcPr>
          <w:p>
            <w:pPr>
              <w:spacing w:after="0"/>
              <w:rPr>
                <w:sz w:val="18"/>
                <w:szCs w:val="18"/>
                <w:color w:val="auto"/>
              </w:rPr>
            </w:pPr>
          </w:p>
        </w:tc>
        <w:tc>
          <w:tcPr>
            <w:tcW w:w="220" w:type="dxa"/>
            <w:vAlign w:val="bottom"/>
            <w:tcBorders>
              <w:bottom w:val="single" w:sz="8" w:color="CCEEFF"/>
            </w:tcBorders>
          </w:tcPr>
          <w:p>
            <w:pPr>
              <w:spacing w:after="0"/>
              <w:rPr>
                <w:sz w:val="18"/>
                <w:szCs w:val="18"/>
                <w:color w:val="auto"/>
              </w:rPr>
            </w:pPr>
          </w:p>
        </w:tc>
        <w:tc>
          <w:tcPr>
            <w:tcW w:w="200" w:type="dxa"/>
            <w:vAlign w:val="bottom"/>
            <w:tcBorders>
              <w:bottom w:val="single" w:sz="8" w:color="CCEEFF"/>
            </w:tcBorders>
          </w:tcPr>
          <w:p>
            <w:pPr>
              <w:spacing w:after="0"/>
              <w:rPr>
                <w:sz w:val="18"/>
                <w:szCs w:val="18"/>
                <w:color w:val="auto"/>
              </w:rPr>
            </w:pPr>
          </w:p>
        </w:tc>
        <w:tc>
          <w:tcPr>
            <w:tcW w:w="54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480" w:type="dxa"/>
            <w:vAlign w:val="bottom"/>
            <w:tcBorders>
              <w:bottom w:val="single" w:sz="8" w:color="auto"/>
            </w:tcBorders>
            <w:gridSpan w:val="3"/>
          </w:tcPr>
          <w:p>
            <w:pPr>
              <w:jc w:val="right"/>
              <w:ind w:right="20"/>
              <w:spacing w:after="0"/>
              <w:rPr>
                <w:sz w:val="20"/>
                <w:szCs w:val="20"/>
                <w:color w:val="auto"/>
              </w:rPr>
            </w:pPr>
            <w:r>
              <w:rPr>
                <w:rFonts w:ascii="Arial" w:cs="Arial" w:eastAsia="Arial" w:hAnsi="Arial"/>
                <w:sz w:val="18"/>
                <w:szCs w:val="18"/>
                <w:color w:val="auto"/>
              </w:rPr>
              <w:t>3.0</w:t>
            </w:r>
          </w:p>
        </w:tc>
        <w:tc>
          <w:tcPr>
            <w:tcW w:w="200" w:type="dxa"/>
            <w:vAlign w:val="bottom"/>
            <w:tcBorders>
              <w:bottom w:val="single" w:sz="8" w:color="CCEEFF"/>
            </w:tcBorders>
          </w:tcPr>
          <w:p>
            <w:pPr>
              <w:spacing w:after="0"/>
              <w:rPr>
                <w:sz w:val="18"/>
                <w:szCs w:val="18"/>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w:t>
            </w:r>
          </w:p>
        </w:tc>
        <w:tc>
          <w:tcPr>
            <w:tcW w:w="40" w:type="dxa"/>
            <w:vAlign w:val="bottom"/>
            <w:tcBorders>
              <w:bottom w:val="single" w:sz="8" w:color="CCEEFF"/>
            </w:tcBorders>
          </w:tcPr>
          <w:p>
            <w:pPr>
              <w:spacing w:after="0"/>
              <w:rPr>
                <w:sz w:val="18"/>
                <w:szCs w:val="18"/>
                <w:color w:val="auto"/>
              </w:rPr>
            </w:pPr>
          </w:p>
        </w:tc>
        <w:tc>
          <w:tcPr>
            <w:tcW w:w="160" w:type="dxa"/>
            <w:vAlign w:val="bottom"/>
            <w:tcBorders>
              <w:bottom w:val="single" w:sz="8" w:color="CCEEFF"/>
            </w:tcBorders>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74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480" w:type="dxa"/>
            <w:vAlign w:val="bottom"/>
            <w:tcBorders>
              <w:bottom w:val="single" w:sz="8" w:color="auto"/>
            </w:tcBorders>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14.5</w:t>
            </w:r>
          </w:p>
        </w:tc>
        <w:tc>
          <w:tcPr>
            <w:tcW w:w="20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17.4</w:t>
            </w:r>
          </w:p>
        </w:tc>
        <w:tc>
          <w:tcPr>
            <w:tcW w:w="2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7"/>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80"/>
        </w:trPr>
        <w:tc>
          <w:tcPr>
            <w:tcW w:w="5580" w:type="dxa"/>
            <w:vAlign w:val="bottom"/>
            <w:gridSpan w:val="3"/>
          </w:tcPr>
          <w:p>
            <w:pPr>
              <w:jc w:val="right"/>
              <w:ind w:right="1970"/>
              <w:spacing w:after="0"/>
              <w:rPr>
                <w:sz w:val="20"/>
                <w:szCs w:val="20"/>
                <w:color w:val="auto"/>
              </w:rPr>
            </w:pPr>
            <w:r>
              <w:rPr>
                <w:rFonts w:ascii="Arial" w:cs="Arial" w:eastAsia="Arial" w:hAnsi="Arial"/>
                <w:sz w:val="18"/>
                <w:szCs w:val="18"/>
                <w:color w:val="auto"/>
              </w:rPr>
              <w:t>*  Includes stock-based compensation</w:t>
            </w: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5580" w:type="dxa"/>
            <w:vAlign w:val="bottom"/>
            <w:gridSpan w:val="3"/>
          </w:tcPr>
          <w:p>
            <w:pPr>
              <w:jc w:val="right"/>
              <w:ind w:right="1970"/>
              <w:spacing w:after="0"/>
              <w:rPr>
                <w:sz w:val="20"/>
                <w:szCs w:val="20"/>
                <w:color w:val="auto"/>
              </w:rPr>
            </w:pPr>
            <w:r>
              <w:rPr>
                <w:rFonts w:ascii="Arial" w:cs="Arial" w:eastAsia="Arial" w:hAnsi="Arial"/>
                <w:sz w:val="18"/>
                <w:szCs w:val="18"/>
                <w:b w:val="1"/>
                <w:bCs w:val="1"/>
                <w:color w:val="auto"/>
                <w:w w:val="91"/>
              </w:rPr>
              <w:t>Three Months Ended April 30, 2006 and 2005</w:t>
            </w: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5580" w:type="dxa"/>
            <w:vAlign w:val="bottom"/>
            <w:gridSpan w:val="3"/>
          </w:tcPr>
          <w:p>
            <w:pPr>
              <w:jc w:val="right"/>
              <w:ind w:right="4450"/>
              <w:spacing w:after="0"/>
              <w:rPr>
                <w:sz w:val="20"/>
                <w:szCs w:val="20"/>
                <w:color w:val="auto"/>
              </w:rPr>
            </w:pPr>
            <w:r>
              <w:rPr>
                <w:rFonts w:ascii="Arial" w:cs="Arial" w:eastAsia="Arial" w:hAnsi="Arial"/>
                <w:sz w:val="18"/>
                <w:szCs w:val="18"/>
                <w:i w:val="1"/>
                <w:iCs w:val="1"/>
                <w:color w:val="auto"/>
                <w:w w:val="97"/>
              </w:rPr>
              <w:t>Net Revenue</w:t>
            </w: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1"/>
        </w:trPr>
        <w:tc>
          <w:tcPr>
            <w:tcW w:w="18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7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920" w:type="dxa"/>
            <w:vAlign w:val="bottom"/>
            <w:tcBorders>
              <w:bottom w:val="single" w:sz="8" w:color="auto"/>
            </w:tcBorders>
            <w:gridSpan w:val="5"/>
          </w:tcPr>
          <w:p>
            <w:pPr>
              <w:ind w:left="20"/>
              <w:spacing w:after="0"/>
              <w:rPr>
                <w:sz w:val="20"/>
                <w:szCs w:val="20"/>
                <w:color w:val="auto"/>
              </w:rPr>
            </w:pPr>
            <w:r>
              <w:rPr>
                <w:rFonts w:ascii="Arial" w:cs="Arial" w:eastAsia="Arial" w:hAnsi="Arial"/>
                <w:sz w:val="14"/>
                <w:szCs w:val="14"/>
                <w:b w:val="1"/>
                <w:bCs w:val="1"/>
                <w:color w:val="auto"/>
                <w:w w:val="95"/>
              </w:rPr>
              <w:t>Three Months Ended April 30,</w:t>
            </w:r>
          </w:p>
        </w:tc>
        <w:tc>
          <w:tcPr>
            <w:tcW w:w="140" w:type="dxa"/>
            <w:vAlign w:val="bottom"/>
            <w:tcBorders>
              <w:bottom w:val="single" w:sz="8" w:color="auto"/>
            </w:tcBorders>
          </w:tcPr>
          <w:p>
            <w:pPr>
              <w:spacing w:after="0"/>
              <w:rPr>
                <w:sz w:val="24"/>
                <w:szCs w:val="24"/>
                <w:color w:val="auto"/>
              </w:rPr>
            </w:pPr>
          </w:p>
        </w:tc>
        <w:tc>
          <w:tcPr>
            <w:tcW w:w="2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2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 Change</w:t>
            </w:r>
          </w:p>
        </w:tc>
        <w:tc>
          <w:tcPr>
            <w:tcW w:w="160" w:type="dxa"/>
            <w:vAlign w:val="bottom"/>
            <w:vMerge w:val="restart"/>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1820" w:type="dxa"/>
            <w:vAlign w:val="bottom"/>
          </w:tcPr>
          <w:p>
            <w:pPr>
              <w:spacing w:after="0"/>
              <w:rPr>
                <w:sz w:val="11"/>
                <w:szCs w:val="11"/>
                <w:color w:val="auto"/>
              </w:rPr>
            </w:pPr>
          </w:p>
        </w:tc>
        <w:tc>
          <w:tcPr>
            <w:tcW w:w="20" w:type="dxa"/>
            <w:vAlign w:val="bottom"/>
            <w:tcBorders>
              <w:bottom w:val="single" w:sz="8" w:color="CCEEFF"/>
            </w:tcBorders>
          </w:tcPr>
          <w:p>
            <w:pPr>
              <w:spacing w:after="0"/>
              <w:rPr>
                <w:sz w:val="11"/>
                <w:szCs w:val="11"/>
                <w:color w:val="auto"/>
              </w:rPr>
            </w:pPr>
          </w:p>
        </w:tc>
        <w:tc>
          <w:tcPr>
            <w:tcW w:w="3740" w:type="dxa"/>
            <w:vAlign w:val="bottom"/>
            <w:tcBorders>
              <w:bottom w:val="single" w:sz="8" w:color="CCEEFF"/>
            </w:tcBorders>
          </w:tcPr>
          <w:p>
            <w:pPr>
              <w:spacing w:after="0"/>
              <w:rPr>
                <w:sz w:val="11"/>
                <w:szCs w:val="11"/>
                <w:color w:val="auto"/>
              </w:rPr>
            </w:pPr>
          </w:p>
        </w:tc>
        <w:tc>
          <w:tcPr>
            <w:tcW w:w="540" w:type="dxa"/>
            <w:vAlign w:val="bottom"/>
            <w:tcBorders>
              <w:bottom w:val="single" w:sz="8" w:color="CCEEFF"/>
            </w:tcBorders>
          </w:tcPr>
          <w:p>
            <w:pPr>
              <w:spacing w:after="0"/>
              <w:rPr>
                <w:sz w:val="11"/>
                <w:szCs w:val="11"/>
                <w:color w:val="auto"/>
              </w:rPr>
            </w:pPr>
          </w:p>
        </w:tc>
        <w:tc>
          <w:tcPr>
            <w:tcW w:w="100" w:type="dxa"/>
            <w:vAlign w:val="bottom"/>
            <w:tcBorders>
              <w:bottom w:val="single" w:sz="8" w:color="auto"/>
            </w:tcBorders>
          </w:tcPr>
          <w:p>
            <w:pPr>
              <w:spacing w:after="0"/>
              <w:rPr>
                <w:sz w:val="11"/>
                <w:szCs w:val="11"/>
                <w:color w:val="auto"/>
              </w:rPr>
            </w:pPr>
          </w:p>
        </w:tc>
        <w:tc>
          <w:tcPr>
            <w:tcW w:w="860" w:type="dxa"/>
            <w:vAlign w:val="bottom"/>
            <w:tcBorders>
              <w:bottom w:val="single" w:sz="8" w:color="auto"/>
            </w:tcBorders>
          </w:tcPr>
          <w:p>
            <w:pPr>
              <w:jc w:val="right"/>
              <w:ind w:right="282"/>
              <w:spacing w:after="0" w:line="129" w:lineRule="exact"/>
              <w:rPr>
                <w:sz w:val="20"/>
                <w:szCs w:val="20"/>
                <w:color w:val="auto"/>
              </w:rPr>
            </w:pPr>
            <w:r>
              <w:rPr>
                <w:rFonts w:ascii="Arial" w:cs="Arial" w:eastAsia="Arial" w:hAnsi="Arial"/>
                <w:sz w:val="14"/>
                <w:szCs w:val="14"/>
                <w:b w:val="1"/>
                <w:bCs w:val="1"/>
                <w:color w:val="auto"/>
              </w:rPr>
              <w:t>2006</w:t>
            </w:r>
          </w:p>
        </w:tc>
        <w:tc>
          <w:tcPr>
            <w:tcW w:w="220" w:type="dxa"/>
            <w:vAlign w:val="bottom"/>
            <w:tcBorders>
              <w:bottom w:val="single" w:sz="8" w:color="CCEEFF"/>
            </w:tcBorders>
          </w:tcPr>
          <w:p>
            <w:pPr>
              <w:spacing w:after="0"/>
              <w:rPr>
                <w:sz w:val="11"/>
                <w:szCs w:val="11"/>
                <w:color w:val="auto"/>
              </w:rPr>
            </w:pPr>
          </w:p>
        </w:tc>
        <w:tc>
          <w:tcPr>
            <w:tcW w:w="200" w:type="dxa"/>
            <w:vAlign w:val="bottom"/>
            <w:tcBorders>
              <w:bottom w:val="single" w:sz="8" w:color="auto"/>
            </w:tcBorders>
          </w:tcPr>
          <w:p>
            <w:pPr>
              <w:spacing w:after="0"/>
              <w:rPr>
                <w:sz w:val="11"/>
                <w:szCs w:val="11"/>
                <w:color w:val="auto"/>
              </w:rPr>
            </w:pPr>
          </w:p>
        </w:tc>
        <w:tc>
          <w:tcPr>
            <w:tcW w:w="540" w:type="dxa"/>
            <w:vAlign w:val="bottom"/>
            <w:tcBorders>
              <w:bottom w:val="single" w:sz="8" w:color="auto"/>
            </w:tcBorders>
          </w:tcPr>
          <w:p>
            <w:pPr>
              <w:jc w:val="right"/>
              <w:ind w:right="39"/>
              <w:spacing w:after="0" w:line="129" w:lineRule="exact"/>
              <w:rPr>
                <w:sz w:val="20"/>
                <w:szCs w:val="20"/>
                <w:color w:val="auto"/>
              </w:rPr>
            </w:pPr>
            <w:r>
              <w:rPr>
                <w:rFonts w:ascii="Arial" w:cs="Arial" w:eastAsia="Arial" w:hAnsi="Arial"/>
                <w:sz w:val="14"/>
                <w:szCs w:val="14"/>
                <w:b w:val="1"/>
                <w:bCs w:val="1"/>
                <w:color w:val="auto"/>
              </w:rPr>
              <w:t>2005</w:t>
            </w:r>
          </w:p>
        </w:tc>
        <w:tc>
          <w:tcPr>
            <w:tcW w:w="100" w:type="dxa"/>
            <w:vAlign w:val="bottom"/>
            <w:tcBorders>
              <w:bottom w:val="single" w:sz="8" w:color="auto"/>
            </w:tcBorders>
          </w:tcPr>
          <w:p>
            <w:pPr>
              <w:spacing w:after="0"/>
              <w:rPr>
                <w:sz w:val="11"/>
                <w:szCs w:val="11"/>
                <w:color w:val="auto"/>
              </w:rPr>
            </w:pPr>
          </w:p>
        </w:tc>
        <w:tc>
          <w:tcPr>
            <w:tcW w:w="140" w:type="dxa"/>
            <w:vAlign w:val="bottom"/>
            <w:tcBorders>
              <w:bottom w:val="single" w:sz="8" w:color="auto"/>
            </w:tcBorders>
          </w:tcPr>
          <w:p>
            <w:pPr>
              <w:spacing w:after="0"/>
              <w:rPr>
                <w:sz w:val="11"/>
                <w:szCs w:val="11"/>
                <w:color w:val="auto"/>
              </w:rPr>
            </w:pPr>
          </w:p>
        </w:tc>
        <w:tc>
          <w:tcPr>
            <w:tcW w:w="200" w:type="dxa"/>
            <w:vAlign w:val="bottom"/>
            <w:tcBorders>
              <w:bottom w:val="single" w:sz="8" w:color="CCEEFF"/>
            </w:tcBorders>
          </w:tcPr>
          <w:p>
            <w:pPr>
              <w:spacing w:after="0"/>
              <w:rPr>
                <w:sz w:val="11"/>
                <w:szCs w:val="11"/>
                <w:color w:val="auto"/>
              </w:rPr>
            </w:pPr>
          </w:p>
        </w:tc>
        <w:tc>
          <w:tcPr>
            <w:tcW w:w="140" w:type="dxa"/>
            <w:vAlign w:val="bottom"/>
            <w:tcBorders>
              <w:bottom w:val="single" w:sz="8" w:color="auto"/>
            </w:tcBorders>
          </w:tcPr>
          <w:p>
            <w:pPr>
              <w:spacing w:after="0"/>
              <w:rPr>
                <w:sz w:val="11"/>
                <w:szCs w:val="11"/>
                <w:color w:val="auto"/>
              </w:rPr>
            </w:pPr>
          </w:p>
        </w:tc>
        <w:tc>
          <w:tcPr>
            <w:tcW w:w="820" w:type="dxa"/>
            <w:vAlign w:val="bottom"/>
            <w:tcBorders>
              <w:bottom w:val="single" w:sz="8" w:color="auto"/>
            </w:tcBorders>
            <w:gridSpan w:val="3"/>
            <w:vMerge w:val="continue"/>
          </w:tcPr>
          <w:p>
            <w:pPr>
              <w:spacing w:after="0"/>
              <w:rPr>
                <w:sz w:val="11"/>
                <w:szCs w:val="11"/>
                <w:color w:val="auto"/>
              </w:rPr>
            </w:pPr>
          </w:p>
        </w:tc>
        <w:tc>
          <w:tcPr>
            <w:tcW w:w="160" w:type="dxa"/>
            <w:vAlign w:val="bottom"/>
            <w:tcBorders>
              <w:bottom w:val="single" w:sz="8" w:color="CCEEFF"/>
            </w:tcBorders>
            <w:vMerge w:val="continue"/>
          </w:tcPr>
          <w:p>
            <w:pPr>
              <w:spacing w:after="0"/>
              <w:rPr>
                <w:sz w:val="11"/>
                <w:szCs w:val="11"/>
                <w:color w:val="auto"/>
              </w:rPr>
            </w:pPr>
          </w:p>
        </w:tc>
        <w:tc>
          <w:tcPr>
            <w:tcW w:w="20" w:type="dxa"/>
            <w:vAlign w:val="bottom"/>
            <w:tcBorders>
              <w:bottom w:val="single" w:sz="8" w:color="CCEEFF"/>
            </w:tcBorders>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1820" w:type="dxa"/>
            <w:vAlign w:val="bottom"/>
          </w:tcPr>
          <w:p>
            <w:pPr>
              <w:spacing w:after="0"/>
              <w:rPr>
                <w:sz w:val="18"/>
                <w:szCs w:val="18"/>
                <w:color w:val="auto"/>
              </w:rPr>
            </w:pPr>
          </w:p>
        </w:tc>
        <w:tc>
          <w:tcPr>
            <w:tcW w:w="37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revenue</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521,196</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7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364,770</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8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42.9%</w:t>
            </w: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56" w:lineRule="exact"/>
        <w:rPr>
          <w:sz w:val="20"/>
          <w:szCs w:val="20"/>
          <w:color w:val="auto"/>
        </w:rPr>
      </w:pPr>
    </w:p>
    <w:p>
      <w:pPr>
        <w:ind w:right="80" w:firstLine="259"/>
        <w:spacing w:after="0" w:line="290" w:lineRule="auto"/>
        <w:rPr>
          <w:sz w:val="20"/>
          <w:szCs w:val="20"/>
          <w:color w:val="auto"/>
        </w:rPr>
      </w:pPr>
      <w:r>
        <w:rPr>
          <w:rFonts w:ascii="Arial" w:cs="Arial" w:eastAsia="Arial" w:hAnsi="Arial"/>
          <w:sz w:val="16"/>
          <w:szCs w:val="16"/>
          <w:color w:val="auto"/>
        </w:rPr>
        <w:t>Net revenue consists primarily of product revenue from sales of our semiconductor devices, and to a much lesser extent, development revenue derived from development contracts with our customers. Net revenue is gross revenue, net of accruals for estimated sales returns and allowances. The increase in net revenue in the first quarter of fiscal 2007 compared to the first quarter of fiscal 2006 reflects a significant increase in volume shipments of our storage System-on-Chips, or SOCs, which increased $85.8 million, local area network (LAN) on motherboard and wireless products, which increased $28.7 million and hard disk drive controller products, which increased $22.6 million. The increases in net revenue are primarily due to increased acceptance of our storage SOC and LAN on motherboard products, increased market share gains in the PC desktop segment with our storage SOC products and volume shipments of our wireless products and from new design wins. Revenue derived from development contracts decreased in absolute dollars during the first quarter of fiscal 2007 as compared to the first quarter of fiscal 2006, but represented less than 10% of net revenue for each period.</w:t>
      </w:r>
    </w:p>
    <w:p>
      <w:pPr>
        <w:spacing w:after="0" w:line="166" w:lineRule="exact"/>
        <w:rPr>
          <w:sz w:val="20"/>
          <w:szCs w:val="20"/>
          <w:color w:val="auto"/>
        </w:rPr>
      </w:pPr>
    </w:p>
    <w:p>
      <w:pPr>
        <w:ind w:firstLine="259"/>
        <w:spacing w:after="0" w:line="259" w:lineRule="auto"/>
        <w:rPr>
          <w:sz w:val="20"/>
          <w:szCs w:val="20"/>
          <w:color w:val="auto"/>
        </w:rPr>
      </w:pPr>
      <w:r>
        <w:rPr>
          <w:rFonts w:ascii="Arial" w:cs="Arial" w:eastAsia="Arial" w:hAnsi="Arial"/>
          <w:sz w:val="18"/>
          <w:szCs w:val="18"/>
          <w:color w:val="auto"/>
        </w:rPr>
        <w:t>We expect that revenue for fiscal 2007 will increase from the level of revenue we reported in fiscal 2006 due to increases in shipments and volume production of our storage SOCs into the PC desktop segment and consumer storage electronics. Also, we expect additional growth in fiscal 2007 compared to fiscal 2006 due to increases in shipments of our WLAN products from new design wins, our Gigabit Ethernet products as well as incremental revenue from the products acquired from QLogic, UTStarcom and Avago Technologies.</w:t>
      </w:r>
    </w:p>
    <w:p>
      <w:pPr>
        <w:spacing w:after="0" w:line="200" w:lineRule="exact"/>
        <w:rPr>
          <w:sz w:val="20"/>
          <w:szCs w:val="20"/>
          <w:color w:val="auto"/>
        </w:rPr>
      </w:pPr>
    </w:p>
    <w:p>
      <w:pPr>
        <w:spacing w:after="0" w:line="20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6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0" w:firstLine="259"/>
        <w:spacing w:after="0" w:line="257" w:lineRule="auto"/>
        <w:rPr>
          <w:sz w:val="20"/>
          <w:szCs w:val="20"/>
          <w:color w:val="auto"/>
        </w:rPr>
      </w:pPr>
      <w:r>
        <w:rPr>
          <w:rFonts w:ascii="Arial" w:cs="Arial" w:eastAsia="Arial" w:hAnsi="Arial"/>
          <w:sz w:val="18"/>
          <w:szCs w:val="18"/>
          <w:color w:val="auto"/>
        </w:rPr>
        <w:t>Historically, a relatively small number of customers have accounted for a significant portion of our revenue. For the quarter ended April 30, 2006, four customers each represented more than 10% of our net revenues, for a combined total of 53% of our net revenue. For the quarter ended April 30, 2005, four customers each represented more than 10% of our net revenue, for a combined total of 54% of our net revenue. In addition, no distributor accounted for more than 10% of our net revenue in the quarter ended April 30, 2006 but one distributor accounted for approximately 11% of our net revenue in the quarter ended April 30, 2005.</w:t>
      </w:r>
    </w:p>
    <w:p>
      <w:pPr>
        <w:spacing w:after="0" w:line="188" w:lineRule="exact"/>
        <w:rPr>
          <w:sz w:val="20"/>
          <w:szCs w:val="20"/>
          <w:color w:val="auto"/>
        </w:rPr>
      </w:pPr>
    </w:p>
    <w:p>
      <w:pPr>
        <w:ind w:right="180" w:firstLine="259"/>
        <w:spacing w:after="0" w:line="257" w:lineRule="auto"/>
        <w:rPr>
          <w:sz w:val="20"/>
          <w:szCs w:val="20"/>
          <w:color w:val="auto"/>
        </w:rPr>
      </w:pPr>
      <w:r>
        <w:rPr>
          <w:rFonts w:ascii="Arial" w:cs="Arial" w:eastAsia="Arial" w:hAnsi="Arial"/>
          <w:sz w:val="18"/>
          <w:szCs w:val="18"/>
          <w:color w:val="auto"/>
        </w:rPr>
        <w:t>Because we sell our products to many OEM manufacturers who have manufacturing operations located in Asia, a significant percentage of our sales are made to customers located outside of the United States. Sales to customers located in Asia represented 94% of our net revenue for the three months ended April 30, 2006 and April 30, 2005, respectively. The rest of our sales are to customers located in the United States and other geographic regions. We expect that a significant portion of our revenue will continue to be represented by sales to our customers in Asia. Substantially all of our sales to date have been denominated in United States dollars.</w:t>
      </w:r>
    </w:p>
    <w:p>
      <w:pPr>
        <w:spacing w:after="0" w:line="188"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Cost of Goods Sold</w:t>
      </w:r>
    </w:p>
    <w:p>
      <w:pPr>
        <w:spacing w:after="0" w:line="203" w:lineRule="exact"/>
        <w:rPr>
          <w:sz w:val="20"/>
          <w:szCs w:val="20"/>
          <w:color w:val="auto"/>
        </w:rPr>
      </w:pPr>
    </w:p>
    <w:tbl>
      <w:tblPr>
        <w:tblLayout w:type="fixed"/>
        <w:tblInd w:w="182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2900" w:type="dxa"/>
            <w:vAlign w:val="bottom"/>
          </w:tcPr>
          <w:p>
            <w:pPr>
              <w:spacing w:after="0"/>
              <w:rPr>
                <w:sz w:val="14"/>
                <w:szCs w:val="14"/>
                <w:color w:val="auto"/>
              </w:rPr>
            </w:pPr>
          </w:p>
        </w:tc>
        <w:tc>
          <w:tcPr>
            <w:tcW w:w="1580" w:type="dxa"/>
            <w:vAlign w:val="bottom"/>
          </w:tcPr>
          <w:p>
            <w:pPr>
              <w:spacing w:after="0"/>
              <w:rPr>
                <w:sz w:val="14"/>
                <w:szCs w:val="14"/>
                <w:color w:val="auto"/>
              </w:rPr>
            </w:pPr>
          </w:p>
        </w:tc>
        <w:tc>
          <w:tcPr>
            <w:tcW w:w="2200" w:type="dxa"/>
            <w:vAlign w:val="bottom"/>
            <w:gridSpan w:val="5"/>
          </w:tcPr>
          <w:p>
            <w:pPr>
              <w:jc w:val="right"/>
              <w:ind w:right="280"/>
              <w:spacing w:after="0"/>
              <w:rPr>
                <w:sz w:val="20"/>
                <w:szCs w:val="20"/>
                <w:color w:val="auto"/>
              </w:rPr>
            </w:pPr>
            <w:r>
              <w:rPr>
                <w:rFonts w:ascii="Arial" w:cs="Arial" w:eastAsia="Arial" w:hAnsi="Arial"/>
                <w:sz w:val="14"/>
                <w:szCs w:val="14"/>
                <w:b w:val="1"/>
                <w:bCs w:val="1"/>
                <w:color w:val="auto"/>
                <w:w w:val="96"/>
              </w:rPr>
              <w:t>Three Months Ended April 30,</w:t>
            </w:r>
          </w:p>
        </w:tc>
        <w:tc>
          <w:tcPr>
            <w:tcW w:w="900" w:type="dxa"/>
            <w:vAlign w:val="bottom"/>
            <w:vMerge w:val="restart"/>
          </w:tcPr>
          <w:p>
            <w:pPr>
              <w:ind w:left="120"/>
              <w:spacing w:after="0"/>
              <w:rPr>
                <w:sz w:val="20"/>
                <w:szCs w:val="20"/>
                <w:color w:val="auto"/>
              </w:rPr>
            </w:pPr>
            <w:r>
              <w:rPr>
                <w:rFonts w:ascii="Arial" w:cs="Arial" w:eastAsia="Arial" w:hAnsi="Arial"/>
                <w:sz w:val="14"/>
                <w:szCs w:val="14"/>
                <w:b w:val="1"/>
                <w:bCs w:val="1"/>
                <w:color w:val="auto"/>
              </w:rPr>
              <w:t>% Change</w:t>
            </w:r>
          </w:p>
        </w:tc>
        <w:tc>
          <w:tcPr>
            <w:tcW w:w="200" w:type="dxa"/>
            <w:vAlign w:val="bottom"/>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2900" w:type="dxa"/>
            <w:vAlign w:val="bottom"/>
            <w:tcBorders>
              <w:bottom w:val="single" w:sz="8" w:color="CCEEFF"/>
            </w:tcBorders>
          </w:tcPr>
          <w:p>
            <w:pPr>
              <w:spacing w:after="0"/>
              <w:rPr>
                <w:sz w:val="11"/>
                <w:szCs w:val="11"/>
                <w:color w:val="auto"/>
              </w:rPr>
            </w:pPr>
          </w:p>
        </w:tc>
        <w:tc>
          <w:tcPr>
            <w:tcW w:w="1580" w:type="dxa"/>
            <w:vAlign w:val="bottom"/>
            <w:tcBorders>
              <w:bottom w:val="single" w:sz="8" w:color="CCEEFF"/>
            </w:tcBorders>
          </w:tcPr>
          <w:p>
            <w:pPr>
              <w:spacing w:after="0"/>
              <w:rPr>
                <w:sz w:val="11"/>
                <w:szCs w:val="11"/>
                <w:color w:val="auto"/>
              </w:rPr>
            </w:pPr>
          </w:p>
        </w:tc>
        <w:tc>
          <w:tcPr>
            <w:tcW w:w="880" w:type="dxa"/>
            <w:vAlign w:val="bottom"/>
            <w:tcBorders>
              <w:top w:val="single" w:sz="8" w:color="auto"/>
              <w:bottom w:val="single" w:sz="8" w:color="auto"/>
            </w:tcBorders>
          </w:tcPr>
          <w:p>
            <w:pPr>
              <w:jc w:val="right"/>
              <w:ind w:right="222"/>
              <w:spacing w:after="0" w:line="129" w:lineRule="exact"/>
              <w:rPr>
                <w:sz w:val="20"/>
                <w:szCs w:val="20"/>
                <w:color w:val="auto"/>
              </w:rPr>
            </w:pPr>
            <w:r>
              <w:rPr>
                <w:rFonts w:ascii="Arial" w:cs="Arial" w:eastAsia="Arial" w:hAnsi="Arial"/>
                <w:sz w:val="14"/>
                <w:szCs w:val="14"/>
                <w:b w:val="1"/>
                <w:bCs w:val="1"/>
                <w:color w:val="auto"/>
              </w:rPr>
              <w:t>2006</w:t>
            </w:r>
          </w:p>
        </w:tc>
        <w:tc>
          <w:tcPr>
            <w:tcW w:w="180" w:type="dxa"/>
            <w:vAlign w:val="bottom"/>
            <w:tcBorders>
              <w:top w:val="single" w:sz="8" w:color="auto"/>
              <w:bottom w:val="single" w:sz="8" w:color="CCEEFF"/>
            </w:tcBorders>
          </w:tcPr>
          <w:p>
            <w:pPr>
              <w:spacing w:after="0"/>
              <w:rPr>
                <w:sz w:val="11"/>
                <w:szCs w:val="11"/>
                <w:color w:val="auto"/>
              </w:rPr>
            </w:pPr>
          </w:p>
        </w:tc>
        <w:tc>
          <w:tcPr>
            <w:tcW w:w="40" w:type="dxa"/>
            <w:vAlign w:val="bottom"/>
            <w:tcBorders>
              <w:top w:val="single" w:sz="8" w:color="auto"/>
              <w:bottom w:val="single" w:sz="8" w:color="CCEEFF"/>
            </w:tcBorders>
          </w:tcPr>
          <w:p>
            <w:pPr>
              <w:spacing w:after="0"/>
              <w:rPr>
                <w:sz w:val="11"/>
                <w:szCs w:val="11"/>
                <w:color w:val="auto"/>
              </w:rPr>
            </w:pPr>
          </w:p>
        </w:tc>
        <w:tc>
          <w:tcPr>
            <w:tcW w:w="900" w:type="dxa"/>
            <w:vAlign w:val="bottom"/>
            <w:tcBorders>
              <w:top w:val="single" w:sz="8" w:color="auto"/>
              <w:bottom w:val="single" w:sz="8" w:color="auto"/>
            </w:tcBorders>
          </w:tcPr>
          <w:p>
            <w:pPr>
              <w:jc w:val="right"/>
              <w:ind w:right="239"/>
              <w:spacing w:after="0" w:line="129" w:lineRule="exact"/>
              <w:rPr>
                <w:sz w:val="20"/>
                <w:szCs w:val="20"/>
                <w:color w:val="auto"/>
              </w:rPr>
            </w:pPr>
            <w:r>
              <w:rPr>
                <w:rFonts w:ascii="Arial" w:cs="Arial" w:eastAsia="Arial" w:hAnsi="Arial"/>
                <w:sz w:val="14"/>
                <w:szCs w:val="14"/>
                <w:b w:val="1"/>
                <w:bCs w:val="1"/>
                <w:color w:val="auto"/>
              </w:rPr>
              <w:t>2005</w:t>
            </w:r>
          </w:p>
        </w:tc>
        <w:tc>
          <w:tcPr>
            <w:tcW w:w="200" w:type="dxa"/>
            <w:vAlign w:val="bottom"/>
            <w:tcBorders>
              <w:bottom w:val="single" w:sz="8" w:color="CCEEFF"/>
            </w:tcBorders>
          </w:tcPr>
          <w:p>
            <w:pPr>
              <w:spacing w:after="0"/>
              <w:rPr>
                <w:sz w:val="11"/>
                <w:szCs w:val="11"/>
                <w:color w:val="auto"/>
              </w:rPr>
            </w:pPr>
          </w:p>
        </w:tc>
        <w:tc>
          <w:tcPr>
            <w:tcW w:w="900" w:type="dxa"/>
            <w:vAlign w:val="bottom"/>
            <w:tcBorders>
              <w:bottom w:val="single" w:sz="8" w:color="auto"/>
            </w:tcBorders>
            <w:vMerge w:val="continue"/>
          </w:tcPr>
          <w:p>
            <w:pPr>
              <w:spacing w:after="0"/>
              <w:rPr>
                <w:sz w:val="11"/>
                <w:szCs w:val="11"/>
                <w:color w:val="auto"/>
              </w:rPr>
            </w:pPr>
          </w:p>
        </w:tc>
        <w:tc>
          <w:tcPr>
            <w:tcW w:w="200" w:type="dxa"/>
            <w:vAlign w:val="bottom"/>
            <w:tcBorders>
              <w:bottom w:val="single" w:sz="8" w:color="CCEEFF"/>
            </w:tcBorders>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290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58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  240,664</w:t>
            </w:r>
          </w:p>
        </w:tc>
        <w:tc>
          <w:tcPr>
            <w:tcW w:w="1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175,251</w:t>
            </w:r>
          </w:p>
        </w:tc>
        <w:tc>
          <w:tcPr>
            <w:tcW w:w="2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37.3%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00" w:type="dxa"/>
            <w:vAlign w:val="bottom"/>
          </w:tcPr>
          <w:p>
            <w:pPr>
              <w:spacing w:after="0"/>
              <w:rPr>
                <w:sz w:val="20"/>
                <w:szCs w:val="20"/>
                <w:color w:val="auto"/>
              </w:rPr>
            </w:pPr>
            <w:r>
              <w:rPr>
                <w:rFonts w:ascii="Arial" w:cs="Arial" w:eastAsia="Arial" w:hAnsi="Arial"/>
                <w:sz w:val="18"/>
                <w:szCs w:val="18"/>
                <w:color w:val="auto"/>
              </w:rPr>
              <w:t>% of net revenue</w:t>
            </w:r>
          </w:p>
        </w:tc>
        <w:tc>
          <w:tcPr>
            <w:tcW w:w="2640" w:type="dxa"/>
            <w:vAlign w:val="bottom"/>
            <w:gridSpan w:val="3"/>
          </w:tcPr>
          <w:p>
            <w:pPr>
              <w:jc w:val="right"/>
              <w:ind w:right="40"/>
              <w:spacing w:after="0"/>
              <w:rPr>
                <w:sz w:val="20"/>
                <w:szCs w:val="20"/>
                <w:color w:val="auto"/>
              </w:rPr>
            </w:pPr>
            <w:r>
              <w:rPr>
                <w:rFonts w:ascii="Arial" w:cs="Arial" w:eastAsia="Arial" w:hAnsi="Arial"/>
                <w:sz w:val="18"/>
                <w:szCs w:val="18"/>
                <w:color w:val="auto"/>
              </w:rPr>
              <w:t>46.2%</w:t>
            </w:r>
          </w:p>
        </w:tc>
        <w:tc>
          <w:tcPr>
            <w:tcW w:w="1140" w:type="dxa"/>
            <w:vAlign w:val="bottom"/>
            <w:gridSpan w:val="3"/>
          </w:tcPr>
          <w:p>
            <w:pPr>
              <w:jc w:val="right"/>
              <w:ind w:right="60"/>
              <w:spacing w:after="0"/>
              <w:rPr>
                <w:sz w:val="20"/>
                <w:szCs w:val="20"/>
                <w:color w:val="auto"/>
              </w:rPr>
            </w:pPr>
            <w:r>
              <w:rPr>
                <w:rFonts w:ascii="Arial" w:cs="Arial" w:eastAsia="Arial" w:hAnsi="Arial"/>
                <w:sz w:val="18"/>
                <w:szCs w:val="18"/>
                <w:color w:val="auto"/>
              </w:rPr>
              <w:t>48.0%</w:t>
            </w:r>
          </w:p>
        </w:tc>
        <w:tc>
          <w:tcPr>
            <w:tcW w:w="9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00" w:type="dxa"/>
            <w:vAlign w:val="bottom"/>
            <w:shd w:val="clear" w:color="auto" w:fill="CCEEFF"/>
          </w:tcPr>
          <w:p>
            <w:pPr>
              <w:spacing w:after="0"/>
              <w:rPr>
                <w:sz w:val="20"/>
                <w:szCs w:val="20"/>
                <w:color w:val="auto"/>
              </w:rPr>
            </w:pPr>
            <w:r>
              <w:rPr>
                <w:rFonts w:ascii="Arial" w:cs="Arial" w:eastAsia="Arial" w:hAnsi="Arial"/>
                <w:sz w:val="18"/>
                <w:szCs w:val="18"/>
                <w:color w:val="auto"/>
              </w:rPr>
              <w:t>Gross margin</w:t>
            </w:r>
          </w:p>
        </w:tc>
        <w:tc>
          <w:tcPr>
            <w:tcW w:w="26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53.8%</w:t>
            </w:r>
          </w:p>
        </w:tc>
        <w:tc>
          <w:tcPr>
            <w:tcW w:w="114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52.0%</w:t>
            </w:r>
          </w:p>
        </w:tc>
        <w:tc>
          <w:tcPr>
            <w:tcW w:w="9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56" w:lineRule="exact"/>
        <w:rPr>
          <w:sz w:val="20"/>
          <w:szCs w:val="20"/>
          <w:color w:val="auto"/>
        </w:rPr>
      </w:pPr>
    </w:p>
    <w:p>
      <w:pPr>
        <w:ind w:right="20" w:firstLine="259"/>
        <w:spacing w:after="0" w:line="293" w:lineRule="auto"/>
        <w:rPr>
          <w:sz w:val="20"/>
          <w:szCs w:val="20"/>
          <w:color w:val="auto"/>
        </w:rPr>
      </w:pPr>
      <w:r>
        <w:rPr>
          <w:rFonts w:ascii="Arial" w:cs="Arial" w:eastAsia="Arial" w:hAnsi="Arial"/>
          <w:sz w:val="16"/>
          <w:szCs w:val="16"/>
          <w:color w:val="auto"/>
        </w:rPr>
        <w:t>Cost of goods sold consists primarily of the costs of manufacturing, assembly and test of integrated circuit devices and related overhead costs, product warranty costs, royalties and compensation and associated costs relating to manufacturing support, logistics and quality assurance personnel, including stock-based compensation costs. Gross margin is calculated as net revenue less cost of goods sold as a percentage of net revenue. The increase in gross margin percentage for the three months ended April 30, 2006 compared to the three months ended April 30, 2005 was primarily due to manufacturing efficiencies and product cost savings resulting from the benefits of favorable foundry pricing. Partially offsetting the increase in gross margins were higher inventory excess and obsolescence provisions, higher products costs associated with inventory that was acquired from our acquisitions, increased stock-based</w:t>
      </w:r>
    </w:p>
    <w:p>
      <w:pPr>
        <w:sectPr>
          <w:pgSz w:w="11900" w:h="16853" w:orient="portrait"/>
          <w:cols w:equalWidth="0" w:num="1">
            <w:col w:w="11380"/>
          </w:cols>
          <w:pgMar w:left="240" w:top="121" w:right="279" w:bottom="0" w:gutter="0" w:footer="0" w:header="0"/>
        </w:sectPr>
      </w:pPr>
    </w:p>
    <w:bookmarkStart w:id="17" w:name="page18"/>
    <w:bookmarkEnd w:id="17"/>
    <w:p>
      <w:pPr>
        <w:ind w:right="40"/>
        <w:spacing w:after="0" w:line="272" w:lineRule="auto"/>
        <w:rPr>
          <w:sz w:val="20"/>
          <w:szCs w:val="20"/>
          <w:color w:val="auto"/>
        </w:rPr>
      </w:pPr>
      <w:r>
        <w:rPr>
          <w:rFonts w:ascii="Arial" w:cs="Arial" w:eastAsia="Arial" w:hAnsi="Arial"/>
          <w:sz w:val="17"/>
          <w:szCs w:val="17"/>
          <w:color w:val="auto"/>
        </w:rPr>
        <w:t>compensation costs and higher royalties. The increase in inventory excess and obsolescence provisions was for older or slow-moving products. The increase in stock-based compensation expense was a result of our adoption of SFAS 123R. The increase in royalties in the first quarter of fiscal 2007 compared to the first quarter of fiscal 2006 was due to higher sales of products that integrated licensed technology. The costs associated with contracted development work are included in research and development expense. Our gross margins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manufacturing and test subcontractors and changes in the amount of development revenue recognized.</w:t>
      </w:r>
    </w:p>
    <w:p>
      <w:pPr>
        <w:spacing w:after="0" w:line="178"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Research and Development</w:t>
      </w:r>
    </w:p>
    <w:p>
      <w:pPr>
        <w:spacing w:after="0" w:line="203" w:lineRule="exact"/>
        <w:rPr>
          <w:sz w:val="20"/>
          <w:szCs w:val="20"/>
          <w:color w:val="auto"/>
        </w:rPr>
      </w:pPr>
    </w:p>
    <w:tbl>
      <w:tblPr>
        <w:tblLayout w:type="fixed"/>
        <w:tblInd w:w="182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12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2320" w:type="dxa"/>
            <w:vAlign w:val="bottom"/>
            <w:gridSpan w:val="5"/>
          </w:tcPr>
          <w:p>
            <w:pPr>
              <w:jc w:val="right"/>
              <w:ind w:right="340"/>
              <w:spacing w:after="0"/>
              <w:rPr>
                <w:sz w:val="20"/>
                <w:szCs w:val="20"/>
                <w:color w:val="auto"/>
              </w:rPr>
            </w:pPr>
            <w:r>
              <w:rPr>
                <w:rFonts w:ascii="Arial" w:cs="Arial" w:eastAsia="Arial" w:hAnsi="Arial"/>
                <w:sz w:val="14"/>
                <w:szCs w:val="14"/>
                <w:b w:val="1"/>
                <w:bCs w:val="1"/>
                <w:color w:val="auto"/>
                <w:w w:val="99"/>
              </w:rPr>
              <w:t>Three Months Ended April 30,</w:t>
            </w:r>
          </w:p>
        </w:tc>
        <w:tc>
          <w:tcPr>
            <w:tcW w:w="940" w:type="dxa"/>
            <w:vAlign w:val="bottom"/>
            <w:vMerge w:val="restart"/>
          </w:tcPr>
          <w:p>
            <w:pPr>
              <w:ind w:left="120"/>
              <w:spacing w:after="0"/>
              <w:rPr>
                <w:sz w:val="20"/>
                <w:szCs w:val="20"/>
                <w:color w:val="auto"/>
              </w:rPr>
            </w:pPr>
            <w:r>
              <w:rPr>
                <w:rFonts w:ascii="Arial" w:cs="Arial" w:eastAsia="Arial" w:hAnsi="Arial"/>
                <w:sz w:val="14"/>
                <w:szCs w:val="14"/>
                <w:b w:val="1"/>
                <w:bCs w:val="1"/>
                <w:color w:val="auto"/>
              </w:rPr>
              <w:t>% Change</w:t>
            </w:r>
          </w:p>
        </w:tc>
        <w:tc>
          <w:tcPr>
            <w:tcW w:w="200" w:type="dxa"/>
            <w:vAlign w:val="bottom"/>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120" w:type="dxa"/>
            <w:vAlign w:val="bottom"/>
            <w:tcBorders>
              <w:bottom w:val="single" w:sz="8" w:color="CCEEFF"/>
            </w:tcBorders>
          </w:tcPr>
          <w:p>
            <w:pPr>
              <w:spacing w:after="0"/>
              <w:rPr>
                <w:sz w:val="11"/>
                <w:szCs w:val="11"/>
                <w:color w:val="auto"/>
              </w:rPr>
            </w:pPr>
          </w:p>
        </w:tc>
        <w:tc>
          <w:tcPr>
            <w:tcW w:w="1200" w:type="dxa"/>
            <w:vAlign w:val="bottom"/>
            <w:tcBorders>
              <w:bottom w:val="single" w:sz="8" w:color="CCEEFF"/>
            </w:tcBorders>
          </w:tcPr>
          <w:p>
            <w:pPr>
              <w:spacing w:after="0"/>
              <w:rPr>
                <w:sz w:val="11"/>
                <w:szCs w:val="11"/>
                <w:color w:val="auto"/>
              </w:rPr>
            </w:pPr>
          </w:p>
        </w:tc>
        <w:tc>
          <w:tcPr>
            <w:tcW w:w="940" w:type="dxa"/>
            <w:vAlign w:val="bottom"/>
            <w:tcBorders>
              <w:top w:val="single" w:sz="8" w:color="auto"/>
              <w:bottom w:val="single" w:sz="8" w:color="auto"/>
            </w:tcBorders>
          </w:tcPr>
          <w:p>
            <w:pPr>
              <w:jc w:val="right"/>
              <w:ind w:right="262"/>
              <w:spacing w:after="0" w:line="129" w:lineRule="exact"/>
              <w:rPr>
                <w:sz w:val="20"/>
                <w:szCs w:val="20"/>
                <w:color w:val="auto"/>
              </w:rPr>
            </w:pPr>
            <w:r>
              <w:rPr>
                <w:rFonts w:ascii="Arial" w:cs="Arial" w:eastAsia="Arial" w:hAnsi="Arial"/>
                <w:sz w:val="14"/>
                <w:szCs w:val="14"/>
                <w:b w:val="1"/>
                <w:bCs w:val="1"/>
                <w:color w:val="auto"/>
              </w:rPr>
              <w:t>2006</w:t>
            </w:r>
          </w:p>
        </w:tc>
        <w:tc>
          <w:tcPr>
            <w:tcW w:w="220" w:type="dxa"/>
            <w:vAlign w:val="bottom"/>
            <w:tcBorders>
              <w:top w:val="single" w:sz="8" w:color="auto"/>
              <w:bottom w:val="single" w:sz="8" w:color="CCEEFF"/>
            </w:tcBorders>
          </w:tcPr>
          <w:p>
            <w:pPr>
              <w:spacing w:after="0"/>
              <w:rPr>
                <w:sz w:val="11"/>
                <w:szCs w:val="11"/>
                <w:color w:val="auto"/>
              </w:rPr>
            </w:pPr>
          </w:p>
        </w:tc>
        <w:tc>
          <w:tcPr>
            <w:tcW w:w="200" w:type="dxa"/>
            <w:vAlign w:val="bottom"/>
            <w:tcBorders>
              <w:top w:val="single" w:sz="8" w:color="auto"/>
              <w:bottom w:val="single" w:sz="8" w:color="auto"/>
            </w:tcBorders>
          </w:tcPr>
          <w:p>
            <w:pPr>
              <w:spacing w:after="0"/>
              <w:rPr>
                <w:sz w:val="11"/>
                <w:szCs w:val="11"/>
                <w:color w:val="auto"/>
              </w:rPr>
            </w:pPr>
          </w:p>
        </w:tc>
        <w:tc>
          <w:tcPr>
            <w:tcW w:w="740" w:type="dxa"/>
            <w:vAlign w:val="bottom"/>
            <w:tcBorders>
              <w:top w:val="single" w:sz="8" w:color="auto"/>
              <w:bottom w:val="single" w:sz="8" w:color="auto"/>
            </w:tcBorders>
          </w:tcPr>
          <w:p>
            <w:pPr>
              <w:jc w:val="right"/>
              <w:ind w:right="256"/>
              <w:spacing w:after="0" w:line="129" w:lineRule="exact"/>
              <w:rPr>
                <w:sz w:val="20"/>
                <w:szCs w:val="20"/>
                <w:color w:val="auto"/>
              </w:rPr>
            </w:pPr>
            <w:r>
              <w:rPr>
                <w:rFonts w:ascii="Arial" w:cs="Arial" w:eastAsia="Arial" w:hAnsi="Arial"/>
                <w:sz w:val="14"/>
                <w:szCs w:val="14"/>
                <w:b w:val="1"/>
                <w:bCs w:val="1"/>
                <w:color w:val="auto"/>
              </w:rPr>
              <w:t>2005</w:t>
            </w:r>
          </w:p>
        </w:tc>
        <w:tc>
          <w:tcPr>
            <w:tcW w:w="220" w:type="dxa"/>
            <w:vAlign w:val="bottom"/>
            <w:tcBorders>
              <w:bottom w:val="single" w:sz="8" w:color="CCEEFF"/>
            </w:tcBorders>
          </w:tcPr>
          <w:p>
            <w:pPr>
              <w:spacing w:after="0"/>
              <w:rPr>
                <w:sz w:val="11"/>
                <w:szCs w:val="11"/>
                <w:color w:val="auto"/>
              </w:rPr>
            </w:pPr>
          </w:p>
        </w:tc>
        <w:tc>
          <w:tcPr>
            <w:tcW w:w="940" w:type="dxa"/>
            <w:vAlign w:val="bottom"/>
            <w:tcBorders>
              <w:bottom w:val="single" w:sz="8" w:color="auto"/>
            </w:tcBorders>
            <w:vMerge w:val="continue"/>
          </w:tcPr>
          <w:p>
            <w:pPr>
              <w:spacing w:after="0"/>
              <w:rPr>
                <w:sz w:val="11"/>
                <w:szCs w:val="11"/>
                <w:color w:val="auto"/>
              </w:rPr>
            </w:pPr>
          </w:p>
        </w:tc>
        <w:tc>
          <w:tcPr>
            <w:tcW w:w="200" w:type="dxa"/>
            <w:vAlign w:val="bottom"/>
            <w:tcBorders>
              <w:bottom w:val="single" w:sz="8" w:color="CCEEFF"/>
            </w:tcBorders>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12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12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   124,831</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72,409</w:t>
            </w:r>
          </w:p>
        </w:tc>
        <w:tc>
          <w:tcPr>
            <w:tcW w:w="2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72.4%</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120" w:type="dxa"/>
            <w:vAlign w:val="bottom"/>
          </w:tcPr>
          <w:p>
            <w:pPr>
              <w:spacing w:after="0"/>
              <w:rPr>
                <w:sz w:val="20"/>
                <w:szCs w:val="20"/>
                <w:color w:val="auto"/>
              </w:rPr>
            </w:pPr>
            <w:r>
              <w:rPr>
                <w:rFonts w:ascii="Arial" w:cs="Arial" w:eastAsia="Arial" w:hAnsi="Arial"/>
                <w:sz w:val="18"/>
                <w:szCs w:val="18"/>
                <w:color w:val="auto"/>
              </w:rPr>
              <w:t>% of net revenue</w:t>
            </w:r>
          </w:p>
        </w:tc>
        <w:tc>
          <w:tcPr>
            <w:tcW w:w="2360" w:type="dxa"/>
            <w:vAlign w:val="bottom"/>
            <w:gridSpan w:val="3"/>
          </w:tcPr>
          <w:p>
            <w:pPr>
              <w:jc w:val="right"/>
              <w:ind w:right="80"/>
              <w:spacing w:after="0"/>
              <w:rPr>
                <w:sz w:val="20"/>
                <w:szCs w:val="20"/>
                <w:color w:val="auto"/>
              </w:rPr>
            </w:pPr>
            <w:r>
              <w:rPr>
                <w:rFonts w:ascii="Arial" w:cs="Arial" w:eastAsia="Arial" w:hAnsi="Arial"/>
                <w:sz w:val="18"/>
                <w:szCs w:val="18"/>
                <w:color w:val="auto"/>
              </w:rPr>
              <w:t>24.0%</w:t>
            </w:r>
          </w:p>
        </w:tc>
        <w:tc>
          <w:tcPr>
            <w:tcW w:w="200" w:type="dxa"/>
            <w:vAlign w:val="bottom"/>
          </w:tcPr>
          <w:p>
            <w:pPr>
              <w:spacing w:after="0"/>
              <w:rPr>
                <w:sz w:val="20"/>
                <w:szCs w:val="20"/>
                <w:color w:val="auto"/>
              </w:rPr>
            </w:pPr>
          </w:p>
        </w:tc>
        <w:tc>
          <w:tcPr>
            <w:tcW w:w="960" w:type="dxa"/>
            <w:vAlign w:val="bottom"/>
            <w:gridSpan w:val="2"/>
          </w:tcPr>
          <w:p>
            <w:pPr>
              <w:jc w:val="right"/>
              <w:ind w:right="80"/>
              <w:spacing w:after="0"/>
              <w:rPr>
                <w:sz w:val="20"/>
                <w:szCs w:val="20"/>
                <w:color w:val="auto"/>
              </w:rPr>
            </w:pPr>
            <w:r>
              <w:rPr>
                <w:rFonts w:ascii="Arial" w:cs="Arial" w:eastAsia="Arial" w:hAnsi="Arial"/>
                <w:sz w:val="18"/>
                <w:szCs w:val="18"/>
                <w:color w:val="auto"/>
              </w:rPr>
              <w:t>19.9%</w:t>
            </w:r>
          </w:p>
        </w:tc>
        <w:tc>
          <w:tcPr>
            <w:tcW w:w="9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firstLine="259"/>
        <w:spacing w:after="0" w:line="270" w:lineRule="auto"/>
        <w:rPr>
          <w:sz w:val="20"/>
          <w:szCs w:val="20"/>
          <w:color w:val="auto"/>
        </w:rPr>
      </w:pPr>
      <w:r>
        <w:rPr>
          <w:rFonts w:ascii="Arial" w:cs="Arial" w:eastAsia="Arial" w:hAnsi="Arial"/>
          <w:sz w:val="17"/>
          <w:szCs w:val="17"/>
          <w:color w:val="auto"/>
        </w:rPr>
        <w:t>Research and development expense consists primarily of compensation and associated costs relating to development personnel, including stock-based compensation expenses, prototype costs, depreciation and amortization expense, and allocated occupancy costs for these operations. The increase in research and development expense in absolute dollars in the first quarter of fiscal 2007 compared to the first quarter of fiscal 2006 was primarily due to stock-based compensation expenses of $27.5 million as a result of our adoption of SFAS 123R. In addition, research and development expenses increased due to the net hiring of additional development personnel including personnel related to our acquisitions of the hard disk and tape drive controller business of QLogic Corporation in November 2005 and the semiconductor division of UTStarcom, Inc. in February 2006, which resulted in an increase in salary and related costs of $16.4 million. Additionally, we incurred increased costs for depreciation and amortization expense of $1.3 million arising from purchases of property, equipment and technology licenses, increased costs of $1.2 million for prototype and related product tape-out costs for new product initiatives, increased costs of $1.2 million for patent filing fees to protect newly developed intellectual property and other allocated expenses of $2.6 million related to our expanding operations.</w:t>
      </w:r>
    </w:p>
    <w:p>
      <w:pPr>
        <w:spacing w:after="0" w:line="3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6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80" w:firstLine="259"/>
        <w:spacing w:after="0" w:line="264" w:lineRule="auto"/>
        <w:rPr>
          <w:sz w:val="20"/>
          <w:szCs w:val="20"/>
          <w:color w:val="auto"/>
        </w:rPr>
      </w:pPr>
      <w:r>
        <w:rPr>
          <w:rFonts w:ascii="Arial" w:cs="Arial" w:eastAsia="Arial" w:hAnsi="Arial"/>
          <w:sz w:val="18"/>
          <w:szCs w:val="18"/>
          <w:color w:val="auto"/>
        </w:rPr>
        <w:t>We expect that research and development expense will increase in absolute dollars in future periods as we continue to devote resources to develop new products, migrate to lower process geometries, meet the changing requirements of our customers, expand into new markets and technologies and hire additional personnel, including those from our acquisitions.</w:t>
      </w:r>
    </w:p>
    <w:p>
      <w:pPr>
        <w:spacing w:after="0" w:line="181"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Selling and Marketing</w:t>
      </w:r>
    </w:p>
    <w:p>
      <w:pPr>
        <w:spacing w:after="0" w:line="203" w:lineRule="exact"/>
        <w:rPr>
          <w:sz w:val="20"/>
          <w:szCs w:val="20"/>
          <w:color w:val="auto"/>
        </w:rPr>
      </w:pPr>
    </w:p>
    <w:tbl>
      <w:tblPr>
        <w:tblLayout w:type="fixed"/>
        <w:tblInd w:w="1820" w:type="dxa"/>
        <w:tblCellMar>
          <w:top w:w="0" w:type="dxa"/>
          <w:left w:w="0" w:type="dxa"/>
          <w:bottom w:w="0" w:type="dxa"/>
          <w:right w:w="0" w:type="dxa"/>
        </w:tblCellMar>
      </w:tblPr>
      <w:tr>
        <w:trPr>
          <w:trHeight w:val="171"/>
        </w:trPr>
        <w:tc>
          <w:tcPr>
            <w:tcW w:w="3060" w:type="dxa"/>
            <w:vAlign w:val="bottom"/>
          </w:tcPr>
          <w:p>
            <w:pPr>
              <w:spacing w:after="0"/>
              <w:rPr>
                <w:sz w:val="14"/>
                <w:szCs w:val="14"/>
                <w:color w:val="auto"/>
              </w:rPr>
            </w:pPr>
          </w:p>
        </w:tc>
        <w:tc>
          <w:tcPr>
            <w:tcW w:w="1500" w:type="dxa"/>
            <w:vAlign w:val="bottom"/>
          </w:tcPr>
          <w:p>
            <w:pPr>
              <w:spacing w:after="0"/>
              <w:rPr>
                <w:sz w:val="14"/>
                <w:szCs w:val="14"/>
                <w:color w:val="auto"/>
              </w:rPr>
            </w:pPr>
          </w:p>
        </w:tc>
        <w:tc>
          <w:tcPr>
            <w:tcW w:w="2180" w:type="dxa"/>
            <w:vAlign w:val="bottom"/>
            <w:gridSpan w:val="5"/>
          </w:tcPr>
          <w:p>
            <w:pPr>
              <w:jc w:val="right"/>
              <w:ind w:right="280"/>
              <w:spacing w:after="0"/>
              <w:rPr>
                <w:sz w:val="20"/>
                <w:szCs w:val="20"/>
                <w:color w:val="auto"/>
              </w:rPr>
            </w:pPr>
            <w:r>
              <w:rPr>
                <w:rFonts w:ascii="Arial" w:cs="Arial" w:eastAsia="Arial" w:hAnsi="Arial"/>
                <w:sz w:val="14"/>
                <w:szCs w:val="14"/>
                <w:b w:val="1"/>
                <w:bCs w:val="1"/>
                <w:color w:val="auto"/>
                <w:w w:val="95"/>
              </w:rPr>
              <w:t>Three Months Ended April 30,</w:t>
            </w:r>
          </w:p>
        </w:tc>
        <w:tc>
          <w:tcPr>
            <w:tcW w:w="880" w:type="dxa"/>
            <w:vAlign w:val="bottom"/>
            <w:vMerge w:val="restart"/>
          </w:tcPr>
          <w:p>
            <w:pPr>
              <w:ind w:left="100"/>
              <w:spacing w:after="0"/>
              <w:rPr>
                <w:sz w:val="20"/>
                <w:szCs w:val="20"/>
                <w:color w:val="auto"/>
              </w:rPr>
            </w:pPr>
            <w:r>
              <w:rPr>
                <w:rFonts w:ascii="Arial" w:cs="Arial" w:eastAsia="Arial" w:hAnsi="Arial"/>
                <w:sz w:val="14"/>
                <w:szCs w:val="14"/>
                <w:b w:val="1"/>
                <w:bCs w:val="1"/>
                <w:color w:val="auto"/>
              </w:rPr>
              <w:t>% Change</w:t>
            </w:r>
          </w:p>
        </w:tc>
        <w:tc>
          <w:tcPr>
            <w:tcW w:w="180" w:type="dxa"/>
            <w:vAlign w:val="bottom"/>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060" w:type="dxa"/>
            <w:vAlign w:val="bottom"/>
            <w:tcBorders>
              <w:bottom w:val="single" w:sz="8" w:color="CCEEFF"/>
            </w:tcBorders>
          </w:tcPr>
          <w:p>
            <w:pPr>
              <w:spacing w:after="0"/>
              <w:rPr>
                <w:sz w:val="11"/>
                <w:szCs w:val="11"/>
                <w:color w:val="auto"/>
              </w:rPr>
            </w:pPr>
          </w:p>
        </w:tc>
        <w:tc>
          <w:tcPr>
            <w:tcW w:w="1500" w:type="dxa"/>
            <w:vAlign w:val="bottom"/>
            <w:tcBorders>
              <w:bottom w:val="single" w:sz="8" w:color="CCEEFF"/>
            </w:tcBorders>
          </w:tcPr>
          <w:p>
            <w:pPr>
              <w:spacing w:after="0"/>
              <w:rPr>
                <w:sz w:val="11"/>
                <w:szCs w:val="11"/>
                <w:color w:val="auto"/>
              </w:rPr>
            </w:pPr>
          </w:p>
        </w:tc>
        <w:tc>
          <w:tcPr>
            <w:tcW w:w="860" w:type="dxa"/>
            <w:vAlign w:val="bottom"/>
            <w:tcBorders>
              <w:top w:val="single" w:sz="8" w:color="auto"/>
              <w:bottom w:val="single" w:sz="8" w:color="auto"/>
            </w:tcBorders>
          </w:tcPr>
          <w:p>
            <w:pPr>
              <w:jc w:val="right"/>
              <w:ind w:right="222"/>
              <w:spacing w:after="0" w:line="129" w:lineRule="exact"/>
              <w:rPr>
                <w:sz w:val="20"/>
                <w:szCs w:val="20"/>
                <w:color w:val="auto"/>
              </w:rPr>
            </w:pPr>
            <w:r>
              <w:rPr>
                <w:rFonts w:ascii="Arial" w:cs="Arial" w:eastAsia="Arial" w:hAnsi="Arial"/>
                <w:sz w:val="14"/>
                <w:szCs w:val="14"/>
                <w:b w:val="1"/>
                <w:bCs w:val="1"/>
                <w:color w:val="auto"/>
              </w:rPr>
              <w:t>2006</w:t>
            </w:r>
          </w:p>
        </w:tc>
        <w:tc>
          <w:tcPr>
            <w:tcW w:w="220" w:type="dxa"/>
            <w:vAlign w:val="bottom"/>
            <w:tcBorders>
              <w:top w:val="single" w:sz="8" w:color="auto"/>
              <w:bottom w:val="single" w:sz="8" w:color="CCEEFF"/>
            </w:tcBorders>
          </w:tcPr>
          <w:p>
            <w:pPr>
              <w:spacing w:after="0"/>
              <w:rPr>
                <w:sz w:val="11"/>
                <w:szCs w:val="11"/>
                <w:color w:val="auto"/>
              </w:rPr>
            </w:pPr>
          </w:p>
        </w:tc>
        <w:tc>
          <w:tcPr>
            <w:tcW w:w="180" w:type="dxa"/>
            <w:vAlign w:val="bottom"/>
            <w:tcBorders>
              <w:top w:val="single" w:sz="8" w:color="auto"/>
              <w:bottom w:val="single" w:sz="8" w:color="auto"/>
            </w:tcBorders>
          </w:tcPr>
          <w:p>
            <w:pPr>
              <w:spacing w:after="0"/>
              <w:rPr>
                <w:sz w:val="11"/>
                <w:szCs w:val="11"/>
                <w:color w:val="auto"/>
              </w:rPr>
            </w:pPr>
          </w:p>
        </w:tc>
        <w:tc>
          <w:tcPr>
            <w:tcW w:w="700" w:type="dxa"/>
            <w:vAlign w:val="bottom"/>
            <w:tcBorders>
              <w:top w:val="single" w:sz="8" w:color="auto"/>
              <w:bottom w:val="single" w:sz="8" w:color="auto"/>
            </w:tcBorders>
          </w:tcPr>
          <w:p>
            <w:pPr>
              <w:jc w:val="right"/>
              <w:ind w:right="216"/>
              <w:spacing w:after="0" w:line="129" w:lineRule="exact"/>
              <w:rPr>
                <w:sz w:val="20"/>
                <w:szCs w:val="20"/>
                <w:color w:val="auto"/>
              </w:rPr>
            </w:pPr>
            <w:r>
              <w:rPr>
                <w:rFonts w:ascii="Arial" w:cs="Arial" w:eastAsia="Arial" w:hAnsi="Arial"/>
                <w:sz w:val="14"/>
                <w:szCs w:val="14"/>
                <w:b w:val="1"/>
                <w:bCs w:val="1"/>
                <w:color w:val="auto"/>
              </w:rPr>
              <w:t>2005</w:t>
            </w:r>
          </w:p>
        </w:tc>
        <w:tc>
          <w:tcPr>
            <w:tcW w:w="220" w:type="dxa"/>
            <w:vAlign w:val="bottom"/>
            <w:tcBorders>
              <w:bottom w:val="single" w:sz="8" w:color="CCEEFF"/>
            </w:tcBorders>
          </w:tcPr>
          <w:p>
            <w:pPr>
              <w:spacing w:after="0"/>
              <w:rPr>
                <w:sz w:val="11"/>
                <w:szCs w:val="11"/>
                <w:color w:val="auto"/>
              </w:rPr>
            </w:pPr>
          </w:p>
        </w:tc>
        <w:tc>
          <w:tcPr>
            <w:tcW w:w="880" w:type="dxa"/>
            <w:vAlign w:val="bottom"/>
            <w:tcBorders>
              <w:bottom w:val="single" w:sz="8" w:color="auto"/>
            </w:tcBorders>
            <w:vMerge w:val="continue"/>
          </w:tcPr>
          <w:p>
            <w:pPr>
              <w:spacing w:after="0"/>
              <w:rPr>
                <w:sz w:val="11"/>
                <w:szCs w:val="11"/>
                <w:color w:val="auto"/>
              </w:rPr>
            </w:pPr>
          </w:p>
        </w:tc>
        <w:tc>
          <w:tcPr>
            <w:tcW w:w="180" w:type="dxa"/>
            <w:vAlign w:val="bottom"/>
            <w:tcBorders>
              <w:bottom w:val="single" w:sz="8" w:color="CCEEFF"/>
            </w:tcBorders>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306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50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38,133</w:t>
            </w: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21,203</w:t>
            </w:r>
          </w:p>
        </w:tc>
        <w:tc>
          <w:tcPr>
            <w:tcW w:w="2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79.8%</w:t>
            </w:r>
          </w:p>
        </w:tc>
        <w:tc>
          <w:tcPr>
            <w:tcW w:w="0" w:type="dxa"/>
            <w:vAlign w:val="bottom"/>
          </w:tcPr>
          <w:p>
            <w:pPr>
              <w:spacing w:after="0"/>
              <w:rPr>
                <w:sz w:val="1"/>
                <w:szCs w:val="1"/>
                <w:color w:val="auto"/>
              </w:rPr>
            </w:pPr>
          </w:p>
        </w:tc>
      </w:tr>
      <w:tr>
        <w:trPr>
          <w:trHeight w:val="230"/>
        </w:trPr>
        <w:tc>
          <w:tcPr>
            <w:tcW w:w="3060" w:type="dxa"/>
            <w:vAlign w:val="bottom"/>
          </w:tcPr>
          <w:p>
            <w:pPr>
              <w:spacing w:after="0"/>
              <w:rPr>
                <w:sz w:val="20"/>
                <w:szCs w:val="20"/>
                <w:color w:val="auto"/>
              </w:rPr>
            </w:pPr>
            <w:r>
              <w:rPr>
                <w:rFonts w:ascii="Arial" w:cs="Arial" w:eastAsia="Arial" w:hAnsi="Arial"/>
                <w:sz w:val="18"/>
                <w:szCs w:val="18"/>
                <w:color w:val="auto"/>
              </w:rPr>
              <w:t>% of net revenue</w:t>
            </w:r>
          </w:p>
        </w:tc>
        <w:tc>
          <w:tcPr>
            <w:tcW w:w="2580" w:type="dxa"/>
            <w:vAlign w:val="bottom"/>
            <w:gridSpan w:val="3"/>
          </w:tcPr>
          <w:p>
            <w:pPr>
              <w:jc w:val="right"/>
              <w:ind w:right="60"/>
              <w:spacing w:after="0"/>
              <w:rPr>
                <w:sz w:val="20"/>
                <w:szCs w:val="20"/>
                <w:color w:val="auto"/>
              </w:rPr>
            </w:pPr>
            <w:r>
              <w:rPr>
                <w:rFonts w:ascii="Arial" w:cs="Arial" w:eastAsia="Arial" w:hAnsi="Arial"/>
                <w:sz w:val="18"/>
                <w:szCs w:val="18"/>
                <w:color w:val="auto"/>
              </w:rPr>
              <w:t>7.3%</w:t>
            </w:r>
          </w:p>
        </w:tc>
        <w:tc>
          <w:tcPr>
            <w:tcW w:w="180" w:type="dxa"/>
            <w:vAlign w:val="bottom"/>
          </w:tcPr>
          <w:p>
            <w:pPr>
              <w:spacing w:after="0"/>
              <w:rPr>
                <w:sz w:val="20"/>
                <w:szCs w:val="20"/>
                <w:color w:val="auto"/>
              </w:rPr>
            </w:pPr>
          </w:p>
        </w:tc>
        <w:tc>
          <w:tcPr>
            <w:tcW w:w="920" w:type="dxa"/>
            <w:vAlign w:val="bottom"/>
            <w:gridSpan w:val="2"/>
          </w:tcPr>
          <w:p>
            <w:pPr>
              <w:jc w:val="right"/>
              <w:ind w:right="80"/>
              <w:spacing w:after="0"/>
              <w:rPr>
                <w:sz w:val="20"/>
                <w:szCs w:val="20"/>
                <w:color w:val="auto"/>
              </w:rPr>
            </w:pPr>
            <w:r>
              <w:rPr>
                <w:rFonts w:ascii="Arial" w:cs="Arial" w:eastAsia="Arial" w:hAnsi="Arial"/>
                <w:sz w:val="18"/>
                <w:szCs w:val="18"/>
                <w:color w:val="auto"/>
              </w:rPr>
              <w:t>5.8%</w:t>
            </w:r>
          </w:p>
        </w:tc>
        <w:tc>
          <w:tcPr>
            <w:tcW w:w="8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right="160" w:firstLine="259"/>
        <w:spacing w:after="0" w:line="293" w:lineRule="auto"/>
        <w:rPr>
          <w:sz w:val="20"/>
          <w:szCs w:val="20"/>
          <w:color w:val="auto"/>
        </w:rPr>
      </w:pPr>
      <w:r>
        <w:rPr>
          <w:rFonts w:ascii="Arial" w:cs="Arial" w:eastAsia="Arial" w:hAnsi="Arial"/>
          <w:sz w:val="16"/>
          <w:szCs w:val="16"/>
          <w:color w:val="auto"/>
        </w:rPr>
        <w:t>Selling and marketing expense consists primarily of compensation and associated costs relating to sales and marketing personnel, including stock-based compensation expenses, sales commissions, promotional and other marketing expenses, and allocated occupancy costs for these operations. The increase in selling and marketing expense in absolute dollars in the first quarter of fiscal 2007 compared to the first quarter of fiscal 2006 was primarily due to stock-based compensation expenses of $8.1 million as a result of our adoption of SFAS 123R. In addition, selling and marketing expenses increased due to the net hiring of additional sales and marketing personnel, which resulted in an increase in salary and related costs of $4.1 million. Additionally, we incurred other variable sales and marketing costs of $3.3 million related to expanding our sales and marketing activities as we broaden our customer and product base.</w:t>
      </w:r>
    </w:p>
    <w:p>
      <w:pPr>
        <w:spacing w:after="0" w:line="165" w:lineRule="exact"/>
        <w:rPr>
          <w:sz w:val="20"/>
          <w:szCs w:val="20"/>
          <w:color w:val="auto"/>
        </w:rPr>
      </w:pPr>
    </w:p>
    <w:p>
      <w:pPr>
        <w:ind w:right="240" w:firstLine="259"/>
        <w:spacing w:after="0" w:line="308" w:lineRule="auto"/>
        <w:rPr>
          <w:sz w:val="20"/>
          <w:szCs w:val="20"/>
          <w:color w:val="auto"/>
        </w:rPr>
      </w:pPr>
      <w:r>
        <w:rPr>
          <w:rFonts w:ascii="Arial" w:cs="Arial" w:eastAsia="Arial" w:hAnsi="Arial"/>
          <w:sz w:val="17"/>
          <w:szCs w:val="17"/>
          <w:color w:val="auto"/>
        </w:rPr>
        <w:t>We expect that selling and marketing expense will increase in absolute dollars in future periods as we hire additional sales and marketing personnel and expand our sales and marketing efforts into product markets such as consumer applications for our wireless and storage products.</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General and Administrative</w:t>
      </w:r>
    </w:p>
    <w:p>
      <w:pPr>
        <w:spacing w:after="0" w:line="203" w:lineRule="exact"/>
        <w:rPr>
          <w:sz w:val="20"/>
          <w:szCs w:val="20"/>
          <w:color w:val="auto"/>
        </w:rPr>
      </w:pPr>
    </w:p>
    <w:tbl>
      <w:tblPr>
        <w:tblLayout w:type="fixed"/>
        <w:tblInd w:w="1800" w:type="dxa"/>
        <w:tblCellMar>
          <w:top w:w="0" w:type="dxa"/>
          <w:left w:w="0" w:type="dxa"/>
          <w:bottom w:w="0" w:type="dxa"/>
          <w:right w:w="0" w:type="dxa"/>
        </w:tblCellMar>
      </w:tblPr>
      <w:tr>
        <w:trPr>
          <w:trHeight w:val="171"/>
        </w:trPr>
        <w:tc>
          <w:tcPr>
            <w:tcW w:w="44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220" w:type="dxa"/>
            <w:vAlign w:val="bottom"/>
            <w:gridSpan w:val="5"/>
          </w:tcPr>
          <w:p>
            <w:pPr>
              <w:jc w:val="right"/>
              <w:ind w:right="320"/>
              <w:spacing w:after="0"/>
              <w:rPr>
                <w:sz w:val="20"/>
                <w:szCs w:val="20"/>
                <w:color w:val="auto"/>
              </w:rPr>
            </w:pPr>
            <w:r>
              <w:rPr>
                <w:rFonts w:ascii="Arial" w:cs="Arial" w:eastAsia="Arial" w:hAnsi="Arial"/>
                <w:sz w:val="14"/>
                <w:szCs w:val="14"/>
                <w:b w:val="1"/>
                <w:bCs w:val="1"/>
                <w:color w:val="auto"/>
                <w:w w:val="95"/>
              </w:rPr>
              <w:t>Three Months Ended April 30,</w:t>
            </w:r>
          </w:p>
        </w:tc>
        <w:tc>
          <w:tcPr>
            <w:tcW w:w="940" w:type="dxa"/>
            <w:vAlign w:val="bottom"/>
            <w:vMerge w:val="restart"/>
          </w:tcPr>
          <w:p>
            <w:pPr>
              <w:ind w:left="140"/>
              <w:spacing w:after="0"/>
              <w:rPr>
                <w:sz w:val="20"/>
                <w:szCs w:val="20"/>
                <w:color w:val="auto"/>
              </w:rPr>
            </w:pPr>
            <w:r>
              <w:rPr>
                <w:rFonts w:ascii="Arial" w:cs="Arial" w:eastAsia="Arial" w:hAnsi="Arial"/>
                <w:sz w:val="14"/>
                <w:szCs w:val="14"/>
                <w:b w:val="1"/>
                <w:bCs w:val="1"/>
                <w:color w:val="auto"/>
              </w:rPr>
              <w:t>% Change</w:t>
            </w:r>
          </w:p>
        </w:tc>
        <w:tc>
          <w:tcPr>
            <w:tcW w:w="200" w:type="dxa"/>
            <w:vAlign w:val="bottom"/>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400" w:type="dxa"/>
            <w:vAlign w:val="bottom"/>
            <w:tcBorders>
              <w:bottom w:val="single" w:sz="8" w:color="CCEEFF"/>
            </w:tcBorders>
          </w:tcPr>
          <w:p>
            <w:pPr>
              <w:spacing w:after="0"/>
              <w:rPr>
                <w:sz w:val="11"/>
                <w:szCs w:val="11"/>
                <w:color w:val="auto"/>
              </w:rPr>
            </w:pPr>
          </w:p>
        </w:tc>
        <w:tc>
          <w:tcPr>
            <w:tcW w:w="80" w:type="dxa"/>
            <w:vAlign w:val="bottom"/>
            <w:tcBorders>
              <w:top w:val="single" w:sz="8" w:color="auto"/>
              <w:bottom w:val="single" w:sz="8" w:color="auto"/>
            </w:tcBorders>
          </w:tcPr>
          <w:p>
            <w:pPr>
              <w:spacing w:after="0"/>
              <w:rPr>
                <w:sz w:val="11"/>
                <w:szCs w:val="11"/>
                <w:color w:val="auto"/>
              </w:rPr>
            </w:pPr>
          </w:p>
        </w:tc>
        <w:tc>
          <w:tcPr>
            <w:tcW w:w="840" w:type="dxa"/>
            <w:vAlign w:val="bottom"/>
            <w:tcBorders>
              <w:top w:val="single" w:sz="8" w:color="auto"/>
              <w:bottom w:val="single" w:sz="8" w:color="auto"/>
            </w:tcBorders>
          </w:tcPr>
          <w:p>
            <w:pPr>
              <w:jc w:val="right"/>
              <w:ind w:right="239"/>
              <w:spacing w:after="0" w:line="129" w:lineRule="exact"/>
              <w:rPr>
                <w:sz w:val="20"/>
                <w:szCs w:val="20"/>
                <w:color w:val="auto"/>
              </w:rPr>
            </w:pPr>
            <w:r>
              <w:rPr>
                <w:rFonts w:ascii="Arial" w:cs="Arial" w:eastAsia="Arial" w:hAnsi="Arial"/>
                <w:sz w:val="14"/>
                <w:szCs w:val="14"/>
                <w:b w:val="1"/>
                <w:bCs w:val="1"/>
                <w:color w:val="auto"/>
              </w:rPr>
              <w:t>2006</w:t>
            </w:r>
          </w:p>
        </w:tc>
        <w:tc>
          <w:tcPr>
            <w:tcW w:w="220" w:type="dxa"/>
            <w:vAlign w:val="bottom"/>
            <w:tcBorders>
              <w:top w:val="single" w:sz="8" w:color="auto"/>
              <w:bottom w:val="single" w:sz="8" w:color="CCEEFF"/>
            </w:tcBorders>
          </w:tcPr>
          <w:p>
            <w:pPr>
              <w:spacing w:after="0"/>
              <w:rPr>
                <w:sz w:val="11"/>
                <w:szCs w:val="11"/>
                <w:color w:val="auto"/>
              </w:rPr>
            </w:pPr>
          </w:p>
        </w:tc>
        <w:tc>
          <w:tcPr>
            <w:tcW w:w="200" w:type="dxa"/>
            <w:vAlign w:val="bottom"/>
            <w:tcBorders>
              <w:top w:val="single" w:sz="8" w:color="auto"/>
              <w:bottom w:val="single" w:sz="8" w:color="auto"/>
            </w:tcBorders>
          </w:tcPr>
          <w:p>
            <w:pPr>
              <w:spacing w:after="0"/>
              <w:rPr>
                <w:sz w:val="11"/>
                <w:szCs w:val="11"/>
                <w:color w:val="auto"/>
              </w:rPr>
            </w:pPr>
          </w:p>
        </w:tc>
        <w:tc>
          <w:tcPr>
            <w:tcW w:w="740" w:type="dxa"/>
            <w:vAlign w:val="bottom"/>
            <w:tcBorders>
              <w:top w:val="single" w:sz="8" w:color="auto"/>
              <w:bottom w:val="single" w:sz="8" w:color="auto"/>
            </w:tcBorders>
          </w:tcPr>
          <w:p>
            <w:pPr>
              <w:jc w:val="right"/>
              <w:ind w:right="236"/>
              <w:spacing w:after="0" w:line="129" w:lineRule="exact"/>
              <w:rPr>
                <w:sz w:val="20"/>
                <w:szCs w:val="20"/>
                <w:color w:val="auto"/>
              </w:rPr>
            </w:pPr>
            <w:r>
              <w:rPr>
                <w:rFonts w:ascii="Arial" w:cs="Arial" w:eastAsia="Arial" w:hAnsi="Arial"/>
                <w:sz w:val="14"/>
                <w:szCs w:val="14"/>
                <w:b w:val="1"/>
                <w:bCs w:val="1"/>
                <w:color w:val="auto"/>
              </w:rPr>
              <w:t>2005</w:t>
            </w:r>
          </w:p>
        </w:tc>
        <w:tc>
          <w:tcPr>
            <w:tcW w:w="220" w:type="dxa"/>
            <w:vAlign w:val="bottom"/>
            <w:tcBorders>
              <w:bottom w:val="single" w:sz="8" w:color="CCEEFF"/>
            </w:tcBorders>
          </w:tcPr>
          <w:p>
            <w:pPr>
              <w:spacing w:after="0"/>
              <w:rPr>
                <w:sz w:val="11"/>
                <w:szCs w:val="11"/>
                <w:color w:val="auto"/>
              </w:rPr>
            </w:pPr>
          </w:p>
        </w:tc>
        <w:tc>
          <w:tcPr>
            <w:tcW w:w="940" w:type="dxa"/>
            <w:vAlign w:val="bottom"/>
            <w:tcBorders>
              <w:bottom w:val="single" w:sz="8" w:color="auto"/>
            </w:tcBorders>
            <w:vMerge w:val="continue"/>
          </w:tcPr>
          <w:p>
            <w:pPr>
              <w:spacing w:after="0"/>
              <w:rPr>
                <w:sz w:val="11"/>
                <w:szCs w:val="11"/>
                <w:color w:val="auto"/>
              </w:rPr>
            </w:pPr>
          </w:p>
        </w:tc>
        <w:tc>
          <w:tcPr>
            <w:tcW w:w="200" w:type="dxa"/>
            <w:vAlign w:val="bottom"/>
            <w:tcBorders>
              <w:bottom w:val="single" w:sz="8" w:color="CCEEFF"/>
            </w:tcBorders>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440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16,858</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6,877</w:t>
            </w:r>
          </w:p>
        </w:tc>
        <w:tc>
          <w:tcPr>
            <w:tcW w:w="2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145.1%</w:t>
            </w:r>
          </w:p>
        </w:tc>
        <w:tc>
          <w:tcPr>
            <w:tcW w:w="0" w:type="dxa"/>
            <w:vAlign w:val="bottom"/>
          </w:tcPr>
          <w:p>
            <w:pPr>
              <w:spacing w:after="0"/>
              <w:rPr>
                <w:sz w:val="1"/>
                <w:szCs w:val="1"/>
                <w:color w:val="auto"/>
              </w:rPr>
            </w:pPr>
          </w:p>
        </w:tc>
      </w:tr>
      <w:tr>
        <w:trPr>
          <w:trHeight w:val="230"/>
        </w:trPr>
        <w:tc>
          <w:tcPr>
            <w:tcW w:w="4400" w:type="dxa"/>
            <w:vAlign w:val="bottom"/>
          </w:tcPr>
          <w:p>
            <w:pPr>
              <w:spacing w:after="0"/>
              <w:rPr>
                <w:sz w:val="20"/>
                <w:szCs w:val="20"/>
                <w:color w:val="auto"/>
              </w:rPr>
            </w:pPr>
            <w:r>
              <w:rPr>
                <w:rFonts w:ascii="Arial" w:cs="Arial" w:eastAsia="Arial" w:hAnsi="Arial"/>
                <w:sz w:val="18"/>
                <w:szCs w:val="18"/>
                <w:color w:val="auto"/>
              </w:rPr>
              <w:t>% of net revenue</w:t>
            </w:r>
          </w:p>
        </w:tc>
        <w:tc>
          <w:tcPr>
            <w:tcW w:w="80" w:type="dxa"/>
            <w:vAlign w:val="bottom"/>
          </w:tcPr>
          <w:p>
            <w:pPr>
              <w:spacing w:after="0"/>
              <w:rPr>
                <w:sz w:val="20"/>
                <w:szCs w:val="20"/>
                <w:color w:val="auto"/>
              </w:rPr>
            </w:pP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3.2%</w:t>
            </w:r>
          </w:p>
        </w:tc>
        <w:tc>
          <w:tcPr>
            <w:tcW w:w="200" w:type="dxa"/>
            <w:vAlign w:val="bottom"/>
          </w:tcPr>
          <w:p>
            <w:pPr>
              <w:spacing w:after="0"/>
              <w:rPr>
                <w:sz w:val="20"/>
                <w:szCs w:val="20"/>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1.9%</w:t>
            </w:r>
          </w:p>
        </w:tc>
        <w:tc>
          <w:tcPr>
            <w:tcW w:w="9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right="180" w:firstLine="259"/>
        <w:spacing w:after="0" w:line="291" w:lineRule="auto"/>
        <w:rPr>
          <w:sz w:val="20"/>
          <w:szCs w:val="20"/>
          <w:color w:val="auto"/>
        </w:rPr>
      </w:pPr>
      <w:r>
        <w:rPr>
          <w:rFonts w:ascii="Arial" w:cs="Arial" w:eastAsia="Arial" w:hAnsi="Arial"/>
          <w:sz w:val="16"/>
          <w:szCs w:val="16"/>
          <w:color w:val="auto"/>
        </w:rPr>
        <w:t>General and administrative expense consists primarily of compensation and associated costs relating to general and administrative personnel, including stock-based compensation expenses, fees for professional services and allocated occupancy costs for these operations. The increase in absolute dollars in general and administrative expense in the first quarter of fiscal 2007 compared to the first quarter of fiscal 2006 was primarily due to stock-based compensation expenses of $6.0 million as a result of our adoption of SFAS 123R. In addition, general and administrative expense increased due to the net hiring of additional administrative personnel, which resulted in an increase in salary and related costs of $1.4 million. Our expenses also increased due to higher professional fees of $1.4 million due to attorney fees associated with our on-going legal proceedings and $1.0 million due to higher professional fees as a result of our expanding operations and costs to comply with the regulatory requirements of the Sarbanes-Oxley Act of 2002.</w:t>
      </w:r>
    </w:p>
    <w:p>
      <w:pPr>
        <w:spacing w:after="0" w:line="167" w:lineRule="exact"/>
        <w:rPr>
          <w:sz w:val="20"/>
          <w:szCs w:val="20"/>
          <w:color w:val="auto"/>
        </w:rPr>
      </w:pPr>
    </w:p>
    <w:p>
      <w:pPr>
        <w:ind w:right="700" w:firstLine="259"/>
        <w:spacing w:after="0" w:line="277" w:lineRule="auto"/>
        <w:rPr>
          <w:sz w:val="20"/>
          <w:szCs w:val="20"/>
          <w:color w:val="auto"/>
        </w:rPr>
      </w:pPr>
      <w:r>
        <w:rPr>
          <w:rFonts w:ascii="Arial" w:cs="Arial" w:eastAsia="Arial" w:hAnsi="Arial"/>
          <w:sz w:val="18"/>
          <w:szCs w:val="18"/>
          <w:color w:val="auto"/>
        </w:rPr>
        <w:t>We expect that general and administrative expenses will increase from the levels in fiscal 2007 compared to fiscal 2006 to support our expanding operations.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Amortization of Acquired Intangible Assets</w:t>
      </w:r>
    </w:p>
    <w:p>
      <w:pPr>
        <w:spacing w:after="0" w:line="203" w:lineRule="exact"/>
        <w:rPr>
          <w:sz w:val="20"/>
          <w:szCs w:val="20"/>
          <w:color w:val="auto"/>
        </w:rPr>
      </w:pPr>
    </w:p>
    <w:tbl>
      <w:tblPr>
        <w:tblLayout w:type="fixed"/>
        <w:tblInd w:w="1820" w:type="dxa"/>
        <w:tblCellMar>
          <w:top w:w="0" w:type="dxa"/>
          <w:left w:w="0" w:type="dxa"/>
          <w:bottom w:w="0" w:type="dxa"/>
          <w:right w:w="0" w:type="dxa"/>
        </w:tblCellMar>
      </w:tblPr>
      <w:tr>
        <w:trPr>
          <w:trHeight w:val="171"/>
        </w:trPr>
        <w:tc>
          <w:tcPr>
            <w:tcW w:w="4500" w:type="dxa"/>
            <w:vAlign w:val="bottom"/>
          </w:tcPr>
          <w:p>
            <w:pPr>
              <w:spacing w:after="0"/>
              <w:rPr>
                <w:sz w:val="14"/>
                <w:szCs w:val="14"/>
                <w:color w:val="auto"/>
              </w:rPr>
            </w:pPr>
          </w:p>
        </w:tc>
        <w:tc>
          <w:tcPr>
            <w:tcW w:w="2160" w:type="dxa"/>
            <w:vAlign w:val="bottom"/>
            <w:gridSpan w:val="6"/>
          </w:tcPr>
          <w:p>
            <w:pPr>
              <w:jc w:val="right"/>
              <w:ind w:right="260"/>
              <w:spacing w:after="0"/>
              <w:rPr>
                <w:sz w:val="20"/>
                <w:szCs w:val="20"/>
                <w:color w:val="auto"/>
              </w:rPr>
            </w:pPr>
            <w:r>
              <w:rPr>
                <w:rFonts w:ascii="Arial" w:cs="Arial" w:eastAsia="Arial" w:hAnsi="Arial"/>
                <w:sz w:val="14"/>
                <w:szCs w:val="14"/>
                <w:b w:val="1"/>
                <w:bCs w:val="1"/>
                <w:color w:val="auto"/>
                <w:w w:val="95"/>
              </w:rPr>
              <w:t>Three Months Ended April 30,</w:t>
            </w:r>
          </w:p>
        </w:tc>
        <w:tc>
          <w:tcPr>
            <w:tcW w:w="880" w:type="dxa"/>
            <w:vAlign w:val="bottom"/>
            <w:vMerge w:val="restart"/>
          </w:tcPr>
          <w:p>
            <w:pPr>
              <w:ind w:left="100"/>
              <w:spacing w:after="0"/>
              <w:rPr>
                <w:sz w:val="20"/>
                <w:szCs w:val="20"/>
                <w:color w:val="auto"/>
              </w:rPr>
            </w:pPr>
            <w:r>
              <w:rPr>
                <w:rFonts w:ascii="Arial" w:cs="Arial" w:eastAsia="Arial" w:hAnsi="Arial"/>
                <w:sz w:val="14"/>
                <w:szCs w:val="14"/>
                <w:b w:val="1"/>
                <w:bCs w:val="1"/>
                <w:color w:val="auto"/>
              </w:rPr>
              <w:t>% Change</w:t>
            </w:r>
          </w:p>
        </w:tc>
        <w:tc>
          <w:tcPr>
            <w:tcW w:w="260" w:type="dxa"/>
            <w:vAlign w:val="bottom"/>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500" w:type="dxa"/>
            <w:vAlign w:val="bottom"/>
            <w:tcBorders>
              <w:bottom w:val="single" w:sz="8" w:color="CCEEFF"/>
            </w:tcBorders>
          </w:tcPr>
          <w:p>
            <w:pPr>
              <w:spacing w:after="0"/>
              <w:rPr>
                <w:sz w:val="11"/>
                <w:szCs w:val="11"/>
                <w:color w:val="auto"/>
              </w:rPr>
            </w:pPr>
          </w:p>
        </w:tc>
        <w:tc>
          <w:tcPr>
            <w:tcW w:w="180" w:type="dxa"/>
            <w:vAlign w:val="bottom"/>
            <w:tcBorders>
              <w:top w:val="single" w:sz="8" w:color="auto"/>
              <w:bottom w:val="single" w:sz="8" w:color="auto"/>
            </w:tcBorders>
          </w:tcPr>
          <w:p>
            <w:pPr>
              <w:spacing w:after="0"/>
              <w:rPr>
                <w:sz w:val="11"/>
                <w:szCs w:val="11"/>
                <w:color w:val="auto"/>
              </w:rPr>
            </w:pPr>
          </w:p>
        </w:tc>
        <w:tc>
          <w:tcPr>
            <w:tcW w:w="680" w:type="dxa"/>
            <w:vAlign w:val="bottom"/>
            <w:tcBorders>
              <w:top w:val="single" w:sz="8" w:color="auto"/>
              <w:bottom w:val="single" w:sz="8" w:color="auto"/>
            </w:tcBorders>
          </w:tcPr>
          <w:p>
            <w:pPr>
              <w:jc w:val="right"/>
              <w:ind w:right="216"/>
              <w:spacing w:after="0" w:line="129" w:lineRule="exact"/>
              <w:rPr>
                <w:sz w:val="20"/>
                <w:szCs w:val="20"/>
                <w:color w:val="auto"/>
              </w:rPr>
            </w:pPr>
            <w:r>
              <w:rPr>
                <w:rFonts w:ascii="Arial" w:cs="Arial" w:eastAsia="Arial" w:hAnsi="Arial"/>
                <w:sz w:val="14"/>
                <w:szCs w:val="14"/>
                <w:b w:val="1"/>
                <w:bCs w:val="1"/>
                <w:color w:val="auto"/>
              </w:rPr>
              <w:t>2006</w:t>
            </w:r>
          </w:p>
        </w:tc>
        <w:tc>
          <w:tcPr>
            <w:tcW w:w="220" w:type="dxa"/>
            <w:vAlign w:val="bottom"/>
            <w:tcBorders>
              <w:top w:val="single" w:sz="8" w:color="auto"/>
              <w:bottom w:val="single" w:sz="8" w:color="CCEEFF"/>
            </w:tcBorders>
          </w:tcPr>
          <w:p>
            <w:pPr>
              <w:spacing w:after="0"/>
              <w:rPr>
                <w:sz w:val="11"/>
                <w:szCs w:val="11"/>
                <w:color w:val="auto"/>
              </w:rPr>
            </w:pPr>
          </w:p>
        </w:tc>
        <w:tc>
          <w:tcPr>
            <w:tcW w:w="180" w:type="dxa"/>
            <w:vAlign w:val="bottom"/>
            <w:tcBorders>
              <w:top w:val="single" w:sz="8" w:color="auto"/>
              <w:bottom w:val="single" w:sz="8" w:color="auto"/>
            </w:tcBorders>
          </w:tcPr>
          <w:p>
            <w:pPr>
              <w:spacing w:after="0"/>
              <w:rPr>
                <w:sz w:val="11"/>
                <w:szCs w:val="11"/>
                <w:color w:val="auto"/>
              </w:rPr>
            </w:pPr>
          </w:p>
        </w:tc>
        <w:tc>
          <w:tcPr>
            <w:tcW w:w="700" w:type="dxa"/>
            <w:vAlign w:val="bottom"/>
            <w:tcBorders>
              <w:top w:val="single" w:sz="8" w:color="auto"/>
              <w:bottom w:val="single" w:sz="8" w:color="auto"/>
            </w:tcBorders>
          </w:tcPr>
          <w:p>
            <w:pPr>
              <w:jc w:val="right"/>
              <w:ind w:right="236"/>
              <w:spacing w:after="0" w:line="129" w:lineRule="exact"/>
              <w:rPr>
                <w:sz w:val="20"/>
                <w:szCs w:val="20"/>
                <w:color w:val="auto"/>
              </w:rPr>
            </w:pPr>
            <w:r>
              <w:rPr>
                <w:rFonts w:ascii="Arial" w:cs="Arial" w:eastAsia="Arial" w:hAnsi="Arial"/>
                <w:sz w:val="14"/>
                <w:szCs w:val="14"/>
                <w:b w:val="1"/>
                <w:bCs w:val="1"/>
                <w:color w:val="auto"/>
              </w:rPr>
              <w:t>2005</w:t>
            </w:r>
          </w:p>
        </w:tc>
        <w:tc>
          <w:tcPr>
            <w:tcW w:w="200" w:type="dxa"/>
            <w:vAlign w:val="bottom"/>
            <w:tcBorders>
              <w:bottom w:val="single" w:sz="8" w:color="CCEEFF"/>
            </w:tcBorders>
          </w:tcPr>
          <w:p>
            <w:pPr>
              <w:spacing w:after="0"/>
              <w:rPr>
                <w:sz w:val="11"/>
                <w:szCs w:val="11"/>
                <w:color w:val="auto"/>
              </w:rPr>
            </w:pPr>
          </w:p>
        </w:tc>
        <w:tc>
          <w:tcPr>
            <w:tcW w:w="880" w:type="dxa"/>
            <w:vAlign w:val="bottom"/>
            <w:tcBorders>
              <w:bottom w:val="single" w:sz="8" w:color="auto"/>
            </w:tcBorders>
            <w:vMerge w:val="continue"/>
          </w:tcPr>
          <w:p>
            <w:pPr>
              <w:spacing w:after="0"/>
              <w:rPr>
                <w:sz w:val="11"/>
                <w:szCs w:val="11"/>
                <w:color w:val="auto"/>
              </w:rPr>
            </w:pPr>
          </w:p>
        </w:tc>
        <w:tc>
          <w:tcPr>
            <w:tcW w:w="260" w:type="dxa"/>
            <w:vAlign w:val="bottom"/>
            <w:tcBorders>
              <w:bottom w:val="single" w:sz="8" w:color="CCEEFF"/>
            </w:tcBorders>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acquired intangible assets</w:t>
            </w:r>
          </w:p>
        </w:tc>
        <w:tc>
          <w:tcPr>
            <w:tcW w:w="180" w:type="dxa"/>
            <w:vAlign w:val="bottom"/>
            <w:shd w:val="clear" w:color="auto" w:fill="CCEEFF"/>
          </w:tcPr>
          <w:p>
            <w:pPr>
              <w:jc w:val="right"/>
              <w:ind w:right="27"/>
              <w:spacing w:after="0"/>
              <w:rPr>
                <w:sz w:val="20"/>
                <w:szCs w:val="20"/>
                <w:color w:val="auto"/>
              </w:rPr>
            </w:pPr>
            <w:r>
              <w:rPr>
                <w:rFonts w:ascii="Arial" w:cs="Arial" w:eastAsia="Arial" w:hAnsi="Arial"/>
                <w:sz w:val="15"/>
                <w:szCs w:val="15"/>
                <w:color w:val="auto"/>
                <w:w w:val="71"/>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17,351</w:t>
            </w: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19,759</w:t>
            </w:r>
          </w:p>
        </w:tc>
        <w:tc>
          <w:tcPr>
            <w:tcW w:w="2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(12.2)%</w:t>
            </w:r>
          </w:p>
        </w:tc>
        <w:tc>
          <w:tcPr>
            <w:tcW w:w="0" w:type="dxa"/>
            <w:vAlign w:val="bottom"/>
          </w:tcPr>
          <w:p>
            <w:pPr>
              <w:spacing w:after="0"/>
              <w:rPr>
                <w:sz w:val="1"/>
                <w:szCs w:val="1"/>
                <w:color w:val="auto"/>
              </w:rPr>
            </w:pPr>
          </w:p>
        </w:tc>
      </w:tr>
      <w:tr>
        <w:trPr>
          <w:trHeight w:val="230"/>
        </w:trPr>
        <w:tc>
          <w:tcPr>
            <w:tcW w:w="4500" w:type="dxa"/>
            <w:vAlign w:val="bottom"/>
          </w:tcPr>
          <w:p>
            <w:pPr>
              <w:spacing w:after="0"/>
              <w:rPr>
                <w:sz w:val="20"/>
                <w:szCs w:val="20"/>
                <w:color w:val="auto"/>
              </w:rPr>
            </w:pPr>
            <w:r>
              <w:rPr>
                <w:rFonts w:ascii="Arial" w:cs="Arial" w:eastAsia="Arial" w:hAnsi="Arial"/>
                <w:sz w:val="18"/>
                <w:szCs w:val="18"/>
                <w:color w:val="auto"/>
              </w:rPr>
              <w:t>% of net revenue</w:t>
            </w:r>
          </w:p>
        </w:tc>
        <w:tc>
          <w:tcPr>
            <w:tcW w:w="180" w:type="dxa"/>
            <w:vAlign w:val="bottom"/>
          </w:tcPr>
          <w:p>
            <w:pPr>
              <w:spacing w:after="0"/>
              <w:rPr>
                <w:sz w:val="20"/>
                <w:szCs w:val="20"/>
                <w:color w:val="auto"/>
              </w:rPr>
            </w:pPr>
          </w:p>
        </w:tc>
        <w:tc>
          <w:tcPr>
            <w:tcW w:w="900" w:type="dxa"/>
            <w:vAlign w:val="bottom"/>
            <w:gridSpan w:val="2"/>
          </w:tcPr>
          <w:p>
            <w:pPr>
              <w:jc w:val="right"/>
              <w:ind w:right="80"/>
              <w:spacing w:after="0"/>
              <w:rPr>
                <w:sz w:val="20"/>
                <w:szCs w:val="20"/>
                <w:color w:val="auto"/>
              </w:rPr>
            </w:pPr>
            <w:r>
              <w:rPr>
                <w:rFonts w:ascii="Arial" w:cs="Arial" w:eastAsia="Arial" w:hAnsi="Arial"/>
                <w:sz w:val="18"/>
                <w:szCs w:val="18"/>
                <w:color w:val="auto"/>
              </w:rPr>
              <w:t>3.3%</w:t>
            </w:r>
          </w:p>
        </w:tc>
        <w:tc>
          <w:tcPr>
            <w:tcW w:w="180" w:type="dxa"/>
            <w:vAlign w:val="bottom"/>
          </w:tcPr>
          <w:p>
            <w:pPr>
              <w:spacing w:after="0"/>
              <w:rPr>
                <w:sz w:val="20"/>
                <w:szCs w:val="20"/>
                <w:color w:val="auto"/>
              </w:rPr>
            </w:pP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5.4%</w:t>
            </w:r>
          </w:p>
        </w:tc>
        <w:tc>
          <w:tcPr>
            <w:tcW w:w="88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125" w:right="239" w:bottom="0" w:gutter="0" w:footer="0" w:header="0"/>
        </w:sectPr>
      </w:pPr>
    </w:p>
    <w:bookmarkStart w:id="18" w:name="page19"/>
    <w:bookmarkEnd w:id="18"/>
    <w:p>
      <w:pPr>
        <w:spacing w:after="0" w:line="106" w:lineRule="exact"/>
        <w:rPr>
          <w:sz w:val="20"/>
          <w:szCs w:val="20"/>
          <w:color w:val="auto"/>
        </w:rPr>
      </w:pPr>
    </w:p>
    <w:p>
      <w:pPr>
        <w:ind w:firstLine="259"/>
        <w:spacing w:after="0" w:line="259" w:lineRule="auto"/>
        <w:rPr>
          <w:sz w:val="20"/>
          <w:szCs w:val="20"/>
          <w:color w:val="auto"/>
        </w:rPr>
      </w:pPr>
      <w:r>
        <w:rPr>
          <w:rFonts w:ascii="Arial" w:cs="Arial" w:eastAsia="Arial" w:hAnsi="Arial"/>
          <w:sz w:val="18"/>
          <w:szCs w:val="18"/>
          <w:color w:val="auto"/>
        </w:rPr>
        <w:t>In connection with various acquisitions, we have recorded acquired intangible assets which are being amortized over their estimated economic lives of one to five years. The decrease in amortization of acquired intangible assets in the first quarter of fiscal 2007 compared to the first quarter of fiscal 2006 is due to acquired intangible assets from the acquisition of MSIL being fully amortized at the end of fiscal 2006, offset by additional amortization of intangibles assets from other acquisitions.</w:t>
      </w:r>
    </w:p>
    <w:p>
      <w:pPr>
        <w:spacing w:after="0" w:line="200" w:lineRule="exact"/>
        <w:rPr>
          <w:sz w:val="20"/>
          <w:szCs w:val="20"/>
          <w:color w:val="auto"/>
        </w:rPr>
      </w:pPr>
    </w:p>
    <w:p>
      <w:pPr>
        <w:spacing w:after="0" w:line="2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Interest and Other Income, net</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280" w:type="dxa"/>
            <w:vAlign w:val="bottom"/>
          </w:tcPr>
          <w:p>
            <w:pPr>
              <w:spacing w:after="0"/>
              <w:rPr>
                <w:sz w:val="14"/>
                <w:szCs w:val="14"/>
                <w:color w:val="auto"/>
              </w:rPr>
            </w:pPr>
          </w:p>
        </w:tc>
        <w:tc>
          <w:tcPr>
            <w:tcW w:w="2800" w:type="dxa"/>
            <w:vAlign w:val="bottom"/>
            <w:gridSpan w:val="6"/>
          </w:tcPr>
          <w:p>
            <w:pPr>
              <w:jc w:val="right"/>
              <w:ind w:right="600"/>
              <w:spacing w:after="0"/>
              <w:rPr>
                <w:sz w:val="20"/>
                <w:szCs w:val="20"/>
                <w:color w:val="auto"/>
              </w:rPr>
            </w:pPr>
            <w:r>
              <w:rPr>
                <w:rFonts w:ascii="Arial" w:cs="Arial" w:eastAsia="Arial" w:hAnsi="Arial"/>
                <w:sz w:val="14"/>
                <w:szCs w:val="14"/>
                <w:b w:val="1"/>
                <w:bCs w:val="1"/>
                <w:color w:val="auto"/>
              </w:rPr>
              <w:t>Three Months Ended April 30,</w:t>
            </w:r>
          </w:p>
        </w:tc>
        <w:tc>
          <w:tcPr>
            <w:tcW w:w="1140" w:type="dxa"/>
            <w:vAlign w:val="bottom"/>
            <w:vMerge w:val="restart"/>
          </w:tcPr>
          <w:p>
            <w:pPr>
              <w:ind w:left="240"/>
              <w:spacing w:after="0"/>
              <w:rPr>
                <w:sz w:val="20"/>
                <w:szCs w:val="20"/>
                <w:color w:val="auto"/>
              </w:rPr>
            </w:pPr>
            <w:r>
              <w:rPr>
                <w:rFonts w:ascii="Arial" w:cs="Arial" w:eastAsia="Arial" w:hAnsi="Arial"/>
                <w:sz w:val="14"/>
                <w:szCs w:val="14"/>
                <w:b w:val="1"/>
                <w:bCs w:val="1"/>
                <w:color w:val="auto"/>
              </w:rPr>
              <w:t>% Change</w:t>
            </w:r>
          </w:p>
        </w:tc>
        <w:tc>
          <w:tcPr>
            <w:tcW w:w="200" w:type="dxa"/>
            <w:vAlign w:val="bottom"/>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7280" w:type="dxa"/>
            <w:vAlign w:val="bottom"/>
            <w:tcBorders>
              <w:bottom w:val="single" w:sz="8" w:color="CCEEFF"/>
            </w:tcBorders>
          </w:tcPr>
          <w:p>
            <w:pPr>
              <w:spacing w:after="0"/>
              <w:rPr>
                <w:sz w:val="11"/>
                <w:szCs w:val="11"/>
                <w:color w:val="auto"/>
              </w:rPr>
            </w:pPr>
          </w:p>
        </w:tc>
        <w:tc>
          <w:tcPr>
            <w:tcW w:w="72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2006</w:t>
            </w:r>
          </w:p>
        </w:tc>
        <w:tc>
          <w:tcPr>
            <w:tcW w:w="420" w:type="dxa"/>
            <w:vAlign w:val="bottom"/>
            <w:tcBorders>
              <w:top w:val="single" w:sz="8" w:color="auto"/>
              <w:bottom w:val="single" w:sz="8" w:color="auto"/>
            </w:tcBorders>
          </w:tcPr>
          <w:p>
            <w:pPr>
              <w:spacing w:after="0"/>
              <w:rPr>
                <w:sz w:val="11"/>
                <w:szCs w:val="11"/>
                <w:color w:val="auto"/>
              </w:rPr>
            </w:pPr>
          </w:p>
        </w:tc>
        <w:tc>
          <w:tcPr>
            <w:tcW w:w="280" w:type="dxa"/>
            <w:vAlign w:val="bottom"/>
            <w:tcBorders>
              <w:top w:val="single" w:sz="8" w:color="auto"/>
              <w:bottom w:val="single" w:sz="8" w:color="CCEEFF"/>
            </w:tcBorders>
          </w:tcPr>
          <w:p>
            <w:pPr>
              <w:spacing w:after="0"/>
              <w:rPr>
                <w:sz w:val="11"/>
                <w:szCs w:val="11"/>
                <w:color w:val="auto"/>
              </w:rPr>
            </w:pPr>
          </w:p>
        </w:tc>
        <w:tc>
          <w:tcPr>
            <w:tcW w:w="70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2005</w:t>
            </w:r>
          </w:p>
        </w:tc>
        <w:tc>
          <w:tcPr>
            <w:tcW w:w="420" w:type="dxa"/>
            <w:vAlign w:val="bottom"/>
            <w:tcBorders>
              <w:top w:val="single" w:sz="8" w:color="auto"/>
              <w:bottom w:val="single" w:sz="8" w:color="auto"/>
            </w:tcBorders>
          </w:tcPr>
          <w:p>
            <w:pPr>
              <w:spacing w:after="0"/>
              <w:rPr>
                <w:sz w:val="11"/>
                <w:szCs w:val="11"/>
                <w:color w:val="auto"/>
              </w:rPr>
            </w:pPr>
          </w:p>
        </w:tc>
        <w:tc>
          <w:tcPr>
            <w:tcW w:w="260" w:type="dxa"/>
            <w:vAlign w:val="bottom"/>
            <w:tcBorders>
              <w:bottom w:val="single" w:sz="8" w:color="CCEEFF"/>
            </w:tcBorders>
          </w:tcPr>
          <w:p>
            <w:pPr>
              <w:spacing w:after="0"/>
              <w:rPr>
                <w:sz w:val="11"/>
                <w:szCs w:val="11"/>
                <w:color w:val="auto"/>
              </w:rPr>
            </w:pPr>
          </w:p>
        </w:tc>
        <w:tc>
          <w:tcPr>
            <w:tcW w:w="1140" w:type="dxa"/>
            <w:vAlign w:val="bottom"/>
            <w:tcBorders>
              <w:bottom w:val="single" w:sz="8" w:color="auto"/>
            </w:tcBorders>
            <w:vMerge w:val="continue"/>
          </w:tcPr>
          <w:p>
            <w:pPr>
              <w:spacing w:after="0"/>
              <w:rPr>
                <w:sz w:val="11"/>
                <w:szCs w:val="11"/>
                <w:color w:val="auto"/>
              </w:rPr>
            </w:pPr>
          </w:p>
        </w:tc>
        <w:tc>
          <w:tcPr>
            <w:tcW w:w="200" w:type="dxa"/>
            <w:vAlign w:val="bottom"/>
            <w:tcBorders>
              <w:bottom w:val="single" w:sz="8" w:color="CCEEFF"/>
            </w:tcBorders>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720" w:type="dxa"/>
            <w:vAlign w:val="bottom"/>
            <w:shd w:val="clear" w:color="auto" w:fill="CCEEFF"/>
          </w:tcPr>
          <w:p>
            <w:pPr>
              <w:jc w:val="right"/>
              <w:ind w:right="542"/>
              <w:spacing w:after="0"/>
              <w:rPr>
                <w:sz w:val="20"/>
                <w:szCs w:val="20"/>
                <w:color w:val="auto"/>
              </w:rPr>
            </w:pPr>
            <w:r>
              <w:rPr>
                <w:rFonts w:ascii="Arial" w:cs="Arial" w:eastAsia="Arial" w:hAnsi="Arial"/>
                <w:sz w:val="18"/>
                <w:szCs w:val="18"/>
                <w:color w:val="auto"/>
                <w:w w:val="79"/>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7,616</w:t>
            </w:r>
          </w:p>
        </w:tc>
        <w:tc>
          <w:tcPr>
            <w:tcW w:w="280" w:type="dxa"/>
            <w:vAlign w:val="bottom"/>
            <w:shd w:val="clear" w:color="auto" w:fill="CCEEFF"/>
          </w:tcPr>
          <w:p>
            <w:pPr>
              <w:spacing w:after="0"/>
              <w:rPr>
                <w:sz w:val="18"/>
                <w:szCs w:val="18"/>
                <w:color w:val="auto"/>
              </w:rPr>
            </w:pPr>
          </w:p>
        </w:tc>
        <w:tc>
          <w:tcPr>
            <w:tcW w:w="700" w:type="dxa"/>
            <w:vAlign w:val="bottom"/>
            <w:shd w:val="clear" w:color="auto" w:fill="CCEEFF"/>
          </w:tcPr>
          <w:p>
            <w:pPr>
              <w:jc w:val="right"/>
              <w:ind w:right="547"/>
              <w:spacing w:after="0"/>
              <w:rPr>
                <w:sz w:val="20"/>
                <w:szCs w:val="20"/>
                <w:color w:val="auto"/>
              </w:rPr>
            </w:pPr>
            <w:r>
              <w:rPr>
                <w:rFonts w:ascii="Arial" w:cs="Arial" w:eastAsia="Arial" w:hAnsi="Arial"/>
                <w:sz w:val="15"/>
                <w:szCs w:val="15"/>
                <w:color w:val="auto"/>
                <w:w w:val="71"/>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3,612</w:t>
            </w:r>
          </w:p>
        </w:tc>
        <w:tc>
          <w:tcPr>
            <w:tcW w:w="26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110.9%</w:t>
            </w:r>
          </w:p>
        </w:tc>
        <w:tc>
          <w:tcPr>
            <w:tcW w:w="0" w:type="dxa"/>
            <w:vAlign w:val="bottom"/>
          </w:tcPr>
          <w:p>
            <w:pPr>
              <w:spacing w:after="0"/>
              <w:rPr>
                <w:sz w:val="1"/>
                <w:szCs w:val="1"/>
                <w:color w:val="auto"/>
              </w:rPr>
            </w:pPr>
          </w:p>
        </w:tc>
      </w:tr>
      <w:tr>
        <w:trPr>
          <w:trHeight w:val="230"/>
        </w:trPr>
        <w:tc>
          <w:tcPr>
            <w:tcW w:w="7280" w:type="dxa"/>
            <w:vAlign w:val="bottom"/>
          </w:tcPr>
          <w:p>
            <w:pPr>
              <w:spacing w:after="0"/>
              <w:rPr>
                <w:sz w:val="20"/>
                <w:szCs w:val="20"/>
                <w:color w:val="auto"/>
              </w:rPr>
            </w:pPr>
            <w:r>
              <w:rPr>
                <w:rFonts w:ascii="Arial" w:cs="Arial" w:eastAsia="Arial" w:hAnsi="Arial"/>
                <w:sz w:val="18"/>
                <w:szCs w:val="18"/>
                <w:color w:val="auto"/>
              </w:rPr>
              <w:t>% of net revenue</w:t>
            </w:r>
          </w:p>
        </w:tc>
        <w:tc>
          <w:tcPr>
            <w:tcW w:w="720" w:type="dxa"/>
            <w:vAlign w:val="bottom"/>
          </w:tcPr>
          <w:p>
            <w:pPr>
              <w:spacing w:after="0"/>
              <w:rPr>
                <w:sz w:val="20"/>
                <w:szCs w:val="20"/>
                <w:color w:val="auto"/>
              </w:rPr>
            </w:pPr>
          </w:p>
        </w:tc>
        <w:tc>
          <w:tcPr>
            <w:tcW w:w="700" w:type="dxa"/>
            <w:vAlign w:val="bottom"/>
            <w:gridSpan w:val="2"/>
          </w:tcPr>
          <w:p>
            <w:pPr>
              <w:jc w:val="right"/>
              <w:ind w:right="120"/>
              <w:spacing w:after="0"/>
              <w:rPr>
                <w:sz w:val="20"/>
                <w:szCs w:val="20"/>
                <w:color w:val="auto"/>
              </w:rPr>
            </w:pPr>
            <w:r>
              <w:rPr>
                <w:rFonts w:ascii="Arial" w:cs="Arial" w:eastAsia="Arial" w:hAnsi="Arial"/>
                <w:sz w:val="18"/>
                <w:szCs w:val="18"/>
                <w:color w:val="auto"/>
              </w:rPr>
              <w:t>1.5%</w:t>
            </w:r>
          </w:p>
        </w:tc>
        <w:tc>
          <w:tcPr>
            <w:tcW w:w="700" w:type="dxa"/>
            <w:vAlign w:val="bottom"/>
          </w:tcPr>
          <w:p>
            <w:pPr>
              <w:spacing w:after="0"/>
              <w:rPr>
                <w:sz w:val="20"/>
                <w:szCs w:val="20"/>
                <w:color w:val="auto"/>
              </w:rPr>
            </w:pPr>
          </w:p>
        </w:tc>
        <w:tc>
          <w:tcPr>
            <w:tcW w:w="680" w:type="dxa"/>
            <w:vAlign w:val="bottom"/>
            <w:gridSpan w:val="2"/>
          </w:tcPr>
          <w:p>
            <w:pPr>
              <w:jc w:val="right"/>
              <w:ind w:right="120"/>
              <w:spacing w:after="0"/>
              <w:rPr>
                <w:sz w:val="20"/>
                <w:szCs w:val="20"/>
                <w:color w:val="auto"/>
              </w:rPr>
            </w:pPr>
            <w:r>
              <w:rPr>
                <w:rFonts w:ascii="Arial" w:cs="Arial" w:eastAsia="Arial" w:hAnsi="Arial"/>
                <w:sz w:val="18"/>
                <w:szCs w:val="18"/>
                <w:color w:val="auto"/>
              </w:rPr>
              <w:t>1.0%</w:t>
            </w:r>
          </w:p>
        </w:tc>
        <w:tc>
          <w:tcPr>
            <w:tcW w:w="11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4" w:lineRule="exact"/>
        <w:rPr>
          <w:sz w:val="20"/>
          <w:szCs w:val="20"/>
          <w:color w:val="auto"/>
        </w:rPr>
      </w:pPr>
    </w:p>
    <w:p>
      <w:pPr>
        <w:ind w:right="20" w:firstLine="259"/>
        <w:spacing w:after="0" w:line="273" w:lineRule="auto"/>
        <w:rPr>
          <w:sz w:val="20"/>
          <w:szCs w:val="20"/>
          <w:color w:val="auto"/>
        </w:rPr>
      </w:pPr>
      <w:r>
        <w:rPr>
          <w:rFonts w:ascii="Arial" w:cs="Arial" w:eastAsia="Arial" w:hAnsi="Arial"/>
          <w:sz w:val="17"/>
          <w:szCs w:val="17"/>
          <w:color w:val="auto"/>
        </w:rPr>
        <w:t>Interest and other income, net consists primarily of interest earned on cash, cash equivalents and short-term investment balances, offset by interest paid on capital lease obligations. The increase in interest and other income, net for the first quarter of fiscal 2007 compared to the first quarter of fiscal 2006 is primarily due to higher interest income due to higher comparable invested cash balances and higher yields on our investments. Although combined cash and short-term investment balances increased from April 30, 2006 compared to April 30, 2005, the short-term investment balance as of April 30, 2006 decreased compared to the short-term investment balance as of April 30, 2005 due to sales of short-term investments prior to the end of the quarter ended April 30, 2006 to fund the acquisition of the printer semiconductor business of Avago Technologies, which closed on May 1, 2006.</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Provision for Income Taxes</w:t>
      </w:r>
    </w:p>
    <w:p>
      <w:pPr>
        <w:spacing w:after="0" w:line="203"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2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580" w:type="dxa"/>
            <w:vAlign w:val="bottom"/>
            <w:gridSpan w:val="5"/>
          </w:tcPr>
          <w:p>
            <w:pPr>
              <w:jc w:val="right"/>
              <w:ind w:right="600"/>
              <w:spacing w:after="0"/>
              <w:rPr>
                <w:sz w:val="20"/>
                <w:szCs w:val="20"/>
                <w:color w:val="auto"/>
              </w:rPr>
            </w:pPr>
            <w:r>
              <w:rPr>
                <w:rFonts w:ascii="Arial" w:cs="Arial" w:eastAsia="Arial" w:hAnsi="Arial"/>
                <w:sz w:val="14"/>
                <w:szCs w:val="14"/>
                <w:b w:val="1"/>
                <w:bCs w:val="1"/>
                <w:color w:val="auto"/>
                <w:w w:val="99"/>
              </w:rPr>
              <w:t>Three Months Ended April 30,</w:t>
            </w:r>
          </w:p>
        </w:tc>
        <w:tc>
          <w:tcPr>
            <w:tcW w:w="1140" w:type="dxa"/>
            <w:vAlign w:val="bottom"/>
            <w:vMerge w:val="restart"/>
          </w:tcPr>
          <w:p>
            <w:pPr>
              <w:ind w:left="240"/>
              <w:spacing w:after="0"/>
              <w:rPr>
                <w:sz w:val="20"/>
                <w:szCs w:val="20"/>
                <w:color w:val="auto"/>
              </w:rPr>
            </w:pPr>
            <w:r>
              <w:rPr>
                <w:rFonts w:ascii="Arial" w:cs="Arial" w:eastAsia="Arial" w:hAnsi="Arial"/>
                <w:sz w:val="14"/>
                <w:szCs w:val="14"/>
                <w:b w:val="1"/>
                <w:bCs w:val="1"/>
                <w:color w:val="auto"/>
              </w:rPr>
              <w:t>% Change</w:t>
            </w:r>
          </w:p>
        </w:tc>
        <w:tc>
          <w:tcPr>
            <w:tcW w:w="220" w:type="dxa"/>
            <w:vAlign w:val="bottom"/>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7280" w:type="dxa"/>
            <w:vAlign w:val="bottom"/>
            <w:tcBorders>
              <w:bottom w:val="single" w:sz="8" w:color="CCEEFF"/>
            </w:tcBorders>
          </w:tcPr>
          <w:p>
            <w:pPr>
              <w:spacing w:after="0"/>
              <w:rPr>
                <w:sz w:val="11"/>
                <w:szCs w:val="11"/>
                <w:color w:val="auto"/>
              </w:rPr>
            </w:pPr>
          </w:p>
        </w:tc>
        <w:tc>
          <w:tcPr>
            <w:tcW w:w="200" w:type="dxa"/>
            <w:vAlign w:val="bottom"/>
            <w:tcBorders>
              <w:top w:val="single" w:sz="8" w:color="auto"/>
              <w:bottom w:val="single" w:sz="8" w:color="auto"/>
            </w:tcBorders>
          </w:tcPr>
          <w:p>
            <w:pPr>
              <w:spacing w:after="0"/>
              <w:rPr>
                <w:sz w:val="11"/>
                <w:szCs w:val="11"/>
                <w:color w:val="auto"/>
              </w:rPr>
            </w:pPr>
          </w:p>
        </w:tc>
        <w:tc>
          <w:tcPr>
            <w:tcW w:w="920" w:type="dxa"/>
            <w:vAlign w:val="bottom"/>
            <w:tcBorders>
              <w:top w:val="single" w:sz="8" w:color="auto"/>
              <w:bottom w:val="single" w:sz="8" w:color="auto"/>
            </w:tcBorders>
          </w:tcPr>
          <w:p>
            <w:pPr>
              <w:jc w:val="right"/>
              <w:ind w:right="339"/>
              <w:spacing w:after="0" w:line="129" w:lineRule="exact"/>
              <w:rPr>
                <w:sz w:val="20"/>
                <w:szCs w:val="20"/>
                <w:color w:val="auto"/>
              </w:rPr>
            </w:pPr>
            <w:r>
              <w:rPr>
                <w:rFonts w:ascii="Arial" w:cs="Arial" w:eastAsia="Arial" w:hAnsi="Arial"/>
                <w:sz w:val="14"/>
                <w:szCs w:val="14"/>
                <w:b w:val="1"/>
                <w:bCs w:val="1"/>
                <w:color w:val="auto"/>
              </w:rPr>
              <w:t>2006</w:t>
            </w:r>
          </w:p>
        </w:tc>
        <w:tc>
          <w:tcPr>
            <w:tcW w:w="260" w:type="dxa"/>
            <w:vAlign w:val="bottom"/>
            <w:tcBorders>
              <w:top w:val="single" w:sz="8" w:color="auto"/>
              <w:bottom w:val="single" w:sz="8" w:color="CCEEFF"/>
            </w:tcBorders>
          </w:tcPr>
          <w:p>
            <w:pPr>
              <w:spacing w:after="0"/>
              <w:rPr>
                <w:sz w:val="11"/>
                <w:szCs w:val="11"/>
                <w:color w:val="auto"/>
              </w:rPr>
            </w:pPr>
          </w:p>
        </w:tc>
        <w:tc>
          <w:tcPr>
            <w:tcW w:w="260" w:type="dxa"/>
            <w:vAlign w:val="bottom"/>
            <w:tcBorders>
              <w:top w:val="single" w:sz="8" w:color="auto"/>
              <w:bottom w:val="single" w:sz="8" w:color="auto"/>
            </w:tcBorders>
          </w:tcPr>
          <w:p>
            <w:pPr>
              <w:spacing w:after="0"/>
              <w:rPr>
                <w:sz w:val="11"/>
                <w:szCs w:val="11"/>
                <w:color w:val="auto"/>
              </w:rPr>
            </w:pPr>
          </w:p>
        </w:tc>
        <w:tc>
          <w:tcPr>
            <w:tcW w:w="860" w:type="dxa"/>
            <w:vAlign w:val="bottom"/>
            <w:tcBorders>
              <w:top w:val="single" w:sz="8" w:color="auto"/>
              <w:bottom w:val="single" w:sz="8" w:color="auto"/>
            </w:tcBorders>
          </w:tcPr>
          <w:p>
            <w:pPr>
              <w:jc w:val="right"/>
              <w:ind w:right="336"/>
              <w:spacing w:after="0" w:line="129" w:lineRule="exact"/>
              <w:rPr>
                <w:sz w:val="20"/>
                <w:szCs w:val="20"/>
                <w:color w:val="auto"/>
              </w:rPr>
            </w:pPr>
            <w:r>
              <w:rPr>
                <w:rFonts w:ascii="Arial" w:cs="Arial" w:eastAsia="Arial" w:hAnsi="Arial"/>
                <w:sz w:val="14"/>
                <w:szCs w:val="14"/>
                <w:b w:val="1"/>
                <w:bCs w:val="1"/>
                <w:color w:val="auto"/>
              </w:rPr>
              <w:t>2005</w:t>
            </w:r>
          </w:p>
        </w:tc>
        <w:tc>
          <w:tcPr>
            <w:tcW w:w="280" w:type="dxa"/>
            <w:vAlign w:val="bottom"/>
            <w:tcBorders>
              <w:bottom w:val="single" w:sz="8" w:color="CCEEFF"/>
            </w:tcBorders>
          </w:tcPr>
          <w:p>
            <w:pPr>
              <w:spacing w:after="0"/>
              <w:rPr>
                <w:sz w:val="11"/>
                <w:szCs w:val="11"/>
                <w:color w:val="auto"/>
              </w:rPr>
            </w:pPr>
          </w:p>
        </w:tc>
        <w:tc>
          <w:tcPr>
            <w:tcW w:w="1140" w:type="dxa"/>
            <w:vAlign w:val="bottom"/>
            <w:tcBorders>
              <w:bottom w:val="single" w:sz="8" w:color="auto"/>
            </w:tcBorders>
            <w:vMerge w:val="continue"/>
          </w:tcPr>
          <w:p>
            <w:pPr>
              <w:spacing w:after="0"/>
              <w:rPr>
                <w:sz w:val="11"/>
                <w:szCs w:val="11"/>
                <w:color w:val="auto"/>
              </w:rPr>
            </w:pPr>
          </w:p>
        </w:tc>
        <w:tc>
          <w:tcPr>
            <w:tcW w:w="220" w:type="dxa"/>
            <w:vAlign w:val="bottom"/>
            <w:tcBorders>
              <w:bottom w:val="single" w:sz="8" w:color="CCEEFF"/>
            </w:tcBorders>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200" w:type="dxa"/>
            <w:vAlign w:val="bottom"/>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15,678</w:t>
            </w:r>
          </w:p>
        </w:tc>
        <w:tc>
          <w:tcPr>
            <w:tcW w:w="260" w:type="dxa"/>
            <w:vAlign w:val="bottom"/>
            <w:shd w:val="clear" w:color="auto" w:fill="CCEEFF"/>
          </w:tcPr>
          <w:p>
            <w:pPr>
              <w:spacing w:after="0"/>
              <w:rPr>
                <w:sz w:val="18"/>
                <w:szCs w:val="18"/>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9,351</w:t>
            </w:r>
          </w:p>
        </w:tc>
        <w:tc>
          <w:tcPr>
            <w:tcW w:w="28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67.7%</w:t>
            </w:r>
          </w:p>
        </w:tc>
        <w:tc>
          <w:tcPr>
            <w:tcW w:w="0" w:type="dxa"/>
            <w:vAlign w:val="bottom"/>
          </w:tcPr>
          <w:p>
            <w:pPr>
              <w:spacing w:after="0"/>
              <w:rPr>
                <w:sz w:val="1"/>
                <w:szCs w:val="1"/>
                <w:color w:val="auto"/>
              </w:rPr>
            </w:pPr>
          </w:p>
        </w:tc>
      </w:tr>
      <w:tr>
        <w:trPr>
          <w:trHeight w:val="230"/>
        </w:trPr>
        <w:tc>
          <w:tcPr>
            <w:tcW w:w="7280" w:type="dxa"/>
            <w:vAlign w:val="bottom"/>
          </w:tcPr>
          <w:p>
            <w:pPr>
              <w:spacing w:after="0"/>
              <w:rPr>
                <w:sz w:val="20"/>
                <w:szCs w:val="20"/>
                <w:color w:val="auto"/>
              </w:rPr>
            </w:pPr>
            <w:r>
              <w:rPr>
                <w:rFonts w:ascii="Arial" w:cs="Arial" w:eastAsia="Arial" w:hAnsi="Arial"/>
                <w:sz w:val="18"/>
                <w:szCs w:val="18"/>
                <w:color w:val="auto"/>
              </w:rPr>
              <w:t>% of net revenue</w:t>
            </w:r>
          </w:p>
        </w:tc>
        <w:tc>
          <w:tcPr>
            <w:tcW w:w="200" w:type="dxa"/>
            <w:vAlign w:val="bottom"/>
          </w:tcPr>
          <w:p>
            <w:pPr>
              <w:spacing w:after="0"/>
              <w:rPr>
                <w:sz w:val="20"/>
                <w:szCs w:val="20"/>
                <w:color w:val="auto"/>
              </w:rPr>
            </w:pPr>
          </w:p>
        </w:tc>
        <w:tc>
          <w:tcPr>
            <w:tcW w:w="1180" w:type="dxa"/>
            <w:vAlign w:val="bottom"/>
            <w:gridSpan w:val="2"/>
          </w:tcPr>
          <w:p>
            <w:pPr>
              <w:jc w:val="right"/>
              <w:ind w:right="120"/>
              <w:spacing w:after="0"/>
              <w:rPr>
                <w:sz w:val="20"/>
                <w:szCs w:val="20"/>
                <w:color w:val="auto"/>
              </w:rPr>
            </w:pPr>
            <w:r>
              <w:rPr>
                <w:rFonts w:ascii="Arial" w:cs="Arial" w:eastAsia="Arial" w:hAnsi="Arial"/>
                <w:sz w:val="18"/>
                <w:szCs w:val="18"/>
                <w:color w:val="auto"/>
              </w:rPr>
              <w:t>3.0%</w:t>
            </w:r>
          </w:p>
        </w:tc>
        <w:tc>
          <w:tcPr>
            <w:tcW w:w="260" w:type="dxa"/>
            <w:vAlign w:val="bottom"/>
          </w:tcPr>
          <w:p>
            <w:pPr>
              <w:spacing w:after="0"/>
              <w:rPr>
                <w:sz w:val="20"/>
                <w:szCs w:val="20"/>
                <w:color w:val="auto"/>
              </w:rPr>
            </w:pPr>
          </w:p>
        </w:tc>
        <w:tc>
          <w:tcPr>
            <w:tcW w:w="1140" w:type="dxa"/>
            <w:vAlign w:val="bottom"/>
            <w:gridSpan w:val="2"/>
          </w:tcPr>
          <w:p>
            <w:pPr>
              <w:jc w:val="right"/>
              <w:ind w:right="120"/>
              <w:spacing w:after="0"/>
              <w:rPr>
                <w:sz w:val="20"/>
                <w:szCs w:val="20"/>
                <w:color w:val="auto"/>
              </w:rPr>
            </w:pPr>
            <w:r>
              <w:rPr>
                <w:rFonts w:ascii="Arial" w:cs="Arial" w:eastAsia="Arial" w:hAnsi="Arial"/>
                <w:sz w:val="18"/>
                <w:szCs w:val="18"/>
                <w:color w:val="auto"/>
              </w:rPr>
              <w:t>2.6%</w:t>
            </w:r>
          </w:p>
        </w:tc>
        <w:tc>
          <w:tcPr>
            <w:tcW w:w="11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4" w:lineRule="exact"/>
        <w:rPr>
          <w:sz w:val="20"/>
          <w:szCs w:val="20"/>
          <w:color w:val="auto"/>
        </w:rPr>
      </w:pPr>
    </w:p>
    <w:p>
      <w:pPr>
        <w:jc w:val="both"/>
        <w:ind w:right="140" w:firstLine="259"/>
        <w:spacing w:after="0" w:line="286" w:lineRule="auto"/>
        <w:rPr>
          <w:sz w:val="20"/>
          <w:szCs w:val="20"/>
          <w:color w:val="auto"/>
        </w:rPr>
      </w:pPr>
      <w:r>
        <w:rPr>
          <w:rFonts w:ascii="Arial" w:cs="Arial" w:eastAsia="Arial" w:hAnsi="Arial"/>
          <w:sz w:val="17"/>
          <w:szCs w:val="17"/>
          <w:color w:val="auto"/>
        </w:rPr>
        <w:t>Our effective tax rate was 17.2% for the three months ended April 30, 2006 compared to 12.8% for the three months ended April 30, 2005. The effective tax rates were affected by profits earned in jurisdictions where the tax rate is lower than the U.S. tax rate and by non-tax-deductible expenses, such as stock-based compensation, nondeductible acquisition related expenses and the impact of adopting SFAS 123R.</w:t>
      </w:r>
    </w:p>
    <w:p>
      <w:pPr>
        <w:spacing w:after="0" w:line="1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29" w:lineRule="exact"/>
        <w:rPr>
          <w:sz w:val="20"/>
          <w:szCs w:val="20"/>
          <w:color w:val="auto"/>
        </w:rPr>
      </w:pPr>
    </w:p>
    <w:p>
      <w:pPr>
        <w:ind w:right="700" w:firstLine="259"/>
        <w:spacing w:after="0" w:line="264" w:lineRule="auto"/>
        <w:rPr>
          <w:sz w:val="20"/>
          <w:szCs w:val="20"/>
          <w:color w:val="auto"/>
        </w:rPr>
      </w:pPr>
      <w:r>
        <w:rPr>
          <w:rFonts w:ascii="Arial" w:cs="Arial" w:eastAsia="Arial" w:hAnsi="Arial"/>
          <w:sz w:val="18"/>
          <w:szCs w:val="18"/>
          <w:color w:val="auto"/>
        </w:rPr>
        <w:t>Our principal source of liquidity as of April 30, 2006 consisted of $921.4 million of cash, cash equivalents and short-term investments. Since our inception, we have financed our operations through a combination of sales of equity securities, cash generated by operations and cash assumed in acquisitions.</w:t>
      </w:r>
    </w:p>
    <w:p>
      <w:pPr>
        <w:spacing w:after="0" w:line="181"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225" w:lineRule="exact"/>
        <w:rPr>
          <w:sz w:val="20"/>
          <w:szCs w:val="20"/>
          <w:color w:val="auto"/>
        </w:rPr>
      </w:pPr>
    </w:p>
    <w:p>
      <w:pPr>
        <w:ind w:right="20" w:firstLine="259"/>
        <w:spacing w:after="0" w:line="270" w:lineRule="auto"/>
        <w:rPr>
          <w:sz w:val="20"/>
          <w:szCs w:val="20"/>
          <w:color w:val="auto"/>
        </w:rPr>
      </w:pPr>
      <w:r>
        <w:rPr>
          <w:rFonts w:ascii="Arial" w:cs="Arial" w:eastAsia="Arial" w:hAnsi="Arial"/>
          <w:sz w:val="17"/>
          <w:szCs w:val="17"/>
          <w:color w:val="auto"/>
        </w:rPr>
        <w:t>Net cash provided by operating activities was $46.7 million for the three months ended April 30, 2006 compared to $68.9 million for the three months ended April 30, 2005. The cash inflow from operations in the three months of fiscal 2007 was primarily a result of our generation of income during the period and changes in working capital. Non-cash charges in the first three months of fiscal 2007 included $17.4 million related to amortization of acquired intangible assets, $15.6 million of depreciation and amortization expense and $44.5 million of stock-based compensation. Significant working capital changes contributing to positive cash inflow in the first three months of fiscal 2007 included an increase of $14.9 million in income tax payable resulting from higher taxable income in the first three months of fiscal 2007 and a decrease in inventory of $8.7 million, primarily as a result of a reduction in wafer starts. The number of days in inventory has increased at the end of the first quarter of fiscal 2007 to 77 days compared to 58 days at the end of the first quarter of fiscal 2006 due primarily to a higher comparable inventory balance at the end of each respective quarter. We expect the number of days in inventory to fluctuate in the range of approximately 60 to 75 days depending on our wafer starts and the inventory purchase needs of our customers as well as lead times and competitive situations in the marketplace.</w:t>
      </w:r>
    </w:p>
    <w:p>
      <w:pPr>
        <w:spacing w:after="0" w:line="178" w:lineRule="exact"/>
        <w:rPr>
          <w:sz w:val="20"/>
          <w:szCs w:val="20"/>
          <w:color w:val="auto"/>
        </w:rPr>
      </w:pPr>
    </w:p>
    <w:p>
      <w:pPr>
        <w:ind w:right="20" w:firstLine="259"/>
        <w:spacing w:after="0" w:line="276" w:lineRule="auto"/>
        <w:rPr>
          <w:sz w:val="20"/>
          <w:szCs w:val="20"/>
          <w:color w:val="auto"/>
        </w:rPr>
      </w:pPr>
      <w:r>
        <w:rPr>
          <w:rFonts w:ascii="Arial" w:cs="Arial" w:eastAsia="Arial" w:hAnsi="Arial"/>
          <w:sz w:val="17"/>
          <w:szCs w:val="17"/>
          <w:color w:val="auto"/>
        </w:rPr>
        <w:t xml:space="preserve">Significant working capital changes offsetting positive cash flows in the first three months of fiscal 2007 included an increase in accounts receivable of $48.3 million primarily due to higher total net revenue in the first three months of fiscal 2007 compared to the first three months of fiscal 2006. Although accounts receivable has increased, the days sales outstanding, or DSO, metric has remained consistent in the first three months of both fiscal 2007 and 2006 at 51 days. </w:t>
      </w:r>
      <w:r>
        <w:rPr>
          <w:rFonts w:ascii="Arial" w:cs="Arial" w:eastAsia="Arial" w:hAnsi="Arial"/>
          <w:sz w:val="16"/>
          <w:szCs w:val="16"/>
          <w:color w:val="auto"/>
        </w:rPr>
        <w:t>Many of our larger customers have regularly scheduled payment dates with some of the dates falling immediately before or after our fiscal quarter-end.</w:t>
      </w:r>
      <w:r>
        <w:rPr>
          <w:rFonts w:ascii="Arial" w:cs="Arial" w:eastAsia="Arial" w:hAnsi="Arial"/>
          <w:sz w:val="17"/>
          <w:szCs w:val="17"/>
          <w:color w:val="auto"/>
        </w:rPr>
        <w:t xml:space="preserve"> </w:t>
      </w:r>
      <w:r>
        <w:rPr>
          <w:rFonts w:ascii="Arial" w:cs="Arial" w:eastAsia="Arial" w:hAnsi="Arial"/>
          <w:sz w:val="16"/>
          <w:szCs w:val="16"/>
          <w:color w:val="auto"/>
        </w:rPr>
        <w:t>As a result, our accounts receivable balance and DSO may fluctuate depending on the timing of large payments made by our customers. Also contributing to working capital changes offsetting positive cash flow in the first three months of fiscal 2007 was a decrease in accounts payable of $45.9</w:t>
      </w:r>
    </w:p>
    <w:p>
      <w:pPr>
        <w:spacing w:after="0" w:line="3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380"/>
        <w:spacing w:after="0" w:line="277" w:lineRule="auto"/>
        <w:rPr>
          <w:sz w:val="20"/>
          <w:szCs w:val="20"/>
          <w:color w:val="auto"/>
        </w:rPr>
      </w:pPr>
      <w:r>
        <w:rPr>
          <w:rFonts w:ascii="Arial" w:cs="Arial" w:eastAsia="Arial" w:hAnsi="Arial"/>
          <w:sz w:val="18"/>
          <w:szCs w:val="18"/>
          <w:color w:val="auto"/>
        </w:rPr>
        <w:t xml:space="preserve">million due to payments on outstanding balances and an increase in prepaid and other assets of $25.8 million due primarily to a $23.0 million payment in connection </w:t>
      </w:r>
      <w:r>
        <w:rPr>
          <w:rFonts w:ascii="Arial" w:cs="Arial" w:eastAsia="Arial" w:hAnsi="Arial"/>
          <w:sz w:val="17"/>
          <w:szCs w:val="17"/>
          <w:color w:val="auto"/>
        </w:rPr>
        <w:t>with a capacity reservation agreement with a foundry.</w:t>
      </w:r>
    </w:p>
    <w:p>
      <w:pPr>
        <w:spacing w:after="0" w:line="170" w:lineRule="exact"/>
        <w:rPr>
          <w:sz w:val="20"/>
          <w:szCs w:val="20"/>
          <w:color w:val="auto"/>
        </w:rPr>
      </w:pPr>
    </w:p>
    <w:p>
      <w:pPr>
        <w:ind w:firstLine="259"/>
        <w:spacing w:after="0" w:line="302" w:lineRule="auto"/>
        <w:rPr>
          <w:sz w:val="20"/>
          <w:szCs w:val="20"/>
          <w:color w:val="auto"/>
        </w:rPr>
      </w:pPr>
      <w:r>
        <w:rPr>
          <w:rFonts w:ascii="Arial" w:cs="Arial" w:eastAsia="Arial" w:hAnsi="Arial"/>
          <w:sz w:val="16"/>
          <w:szCs w:val="16"/>
          <w:color w:val="auto"/>
        </w:rPr>
        <w:t>Net cash provided by operating activities was $68.9 million for the three months ended April 30, 2005. The cash inflow from operations in the first three months of fiscal 2006 was primarily a result of our generation of income during the period and changes in working capital. Non-cash charges in the first three months of fiscal 2006 included $19.8 million related to amortization of acquired intangible assets, $13.4 million of depreciation and amortization expense and $0.9 million of amortization of stock-based compensation. Significant working capital changes contributing to positive cash inflow in the first three months of</w:t>
      </w:r>
    </w:p>
    <w:p>
      <w:pPr>
        <w:sectPr>
          <w:pgSz w:w="11900" w:h="16945" w:orient="portrait"/>
          <w:cols w:equalWidth="0" w:num="1">
            <w:col w:w="11420"/>
          </w:cols>
          <w:pgMar w:left="240" w:top="125" w:right="239" w:bottom="0" w:gutter="0" w:footer="0" w:header="0"/>
        </w:sectPr>
      </w:pPr>
    </w:p>
    <w:bookmarkStart w:id="19" w:name="page20"/>
    <w:bookmarkEnd w:id="19"/>
    <w:p>
      <w:pPr>
        <w:spacing w:after="0" w:line="73" w:lineRule="exact"/>
        <w:rPr>
          <w:sz w:val="20"/>
          <w:szCs w:val="20"/>
          <w:color w:val="auto"/>
        </w:rPr>
      </w:pPr>
    </w:p>
    <w:p>
      <w:pPr>
        <w:ind w:right="60"/>
        <w:spacing w:after="0" w:line="276" w:lineRule="auto"/>
        <w:rPr>
          <w:sz w:val="20"/>
          <w:szCs w:val="20"/>
          <w:color w:val="auto"/>
        </w:rPr>
      </w:pPr>
      <w:r>
        <w:rPr>
          <w:rFonts w:ascii="Arial" w:cs="Arial" w:eastAsia="Arial" w:hAnsi="Arial"/>
          <w:sz w:val="17"/>
          <w:szCs w:val="17"/>
          <w:color w:val="auto"/>
        </w:rPr>
        <w:t>fiscal 2006 included a decrease in inventory of $15.7 million, primarily as a result of better visibility of forecasted demand, as well as reduced cycle times from our foundry vendors. Accordingly, the number of days in inventory has decreased at the end of the first quarter of fiscal 2006 to 58 days compared to 76 days at the end of the first quarter of fiscal 2005. Other working capital changes contributing to positive cash inflow in the first three months of fiscal 2006 included an increase of $8.1 million in income tax payable resulting from higher taxable income in the first three months of fiscal 2006 and an increase of $2.6 million in deferred income due to increased shipments of product to distributors during the first quarter of fiscal 2006.</w:t>
      </w:r>
    </w:p>
    <w:p>
      <w:pPr>
        <w:spacing w:after="0" w:line="173" w:lineRule="exact"/>
        <w:rPr>
          <w:sz w:val="20"/>
          <w:szCs w:val="20"/>
          <w:color w:val="auto"/>
        </w:rPr>
      </w:pPr>
    </w:p>
    <w:p>
      <w:pPr>
        <w:ind w:right="60" w:firstLine="259"/>
        <w:spacing w:after="0" w:line="263" w:lineRule="auto"/>
        <w:rPr>
          <w:sz w:val="20"/>
          <w:szCs w:val="20"/>
          <w:color w:val="auto"/>
        </w:rPr>
      </w:pPr>
      <w:r>
        <w:rPr>
          <w:rFonts w:ascii="Arial" w:cs="Arial" w:eastAsia="Arial" w:hAnsi="Arial"/>
          <w:sz w:val="18"/>
          <w:szCs w:val="18"/>
          <w:color w:val="auto"/>
        </w:rPr>
        <w:t xml:space="preserve">Significant working capital changes offsetting positive cash flows in the first three months of fiscal 2006 included an increase in prepaid and other assets of $43.8 million due primarily to a $37.0 million payment in connection </w:t>
      </w:r>
      <w:r>
        <w:rPr>
          <w:rFonts w:ascii="Arial" w:cs="Arial" w:eastAsia="Arial" w:hAnsi="Arial"/>
          <w:sz w:val="17"/>
          <w:szCs w:val="17"/>
          <w:color w:val="auto"/>
        </w:rPr>
        <w:t>with a capacity reservation agreement with a foundry. Also contributing to working</w:t>
      </w:r>
      <w:r>
        <w:rPr>
          <w:rFonts w:ascii="Arial" w:cs="Arial" w:eastAsia="Arial" w:hAnsi="Arial"/>
          <w:sz w:val="18"/>
          <w:szCs w:val="18"/>
          <w:color w:val="auto"/>
        </w:rPr>
        <w:t xml:space="preserve"> </w:t>
      </w:r>
      <w:r>
        <w:rPr>
          <w:rFonts w:ascii="Arial" w:cs="Arial" w:eastAsia="Arial" w:hAnsi="Arial"/>
          <w:sz w:val="17"/>
          <w:szCs w:val="17"/>
          <w:color w:val="auto"/>
        </w:rPr>
        <w:t>capital changes offsetting positive cash flow in the first three months of fiscal 2006 was a decrease in accounts payable of $7.4 million due to payments on outstanding balances and the decrease in inventory balances and an increase in accounts receivable of $4.2 million primarily due to higher total net revenue in the first three months of fiscal 2006 compared to the first three months of fiscal 2005.</w:t>
      </w:r>
    </w:p>
    <w:p>
      <w:pPr>
        <w:spacing w:after="0" w:line="188" w:lineRule="exact"/>
        <w:rPr>
          <w:sz w:val="20"/>
          <w:szCs w:val="20"/>
          <w:color w:val="auto"/>
        </w:rPr>
      </w:pPr>
    </w:p>
    <w:p>
      <w:pPr>
        <w:ind w:right="80" w:firstLine="259"/>
        <w:spacing w:after="0" w:line="271" w:lineRule="auto"/>
        <w:rPr>
          <w:sz w:val="20"/>
          <w:szCs w:val="20"/>
          <w:color w:val="auto"/>
        </w:rPr>
      </w:pPr>
      <w:r>
        <w:rPr>
          <w:rFonts w:ascii="Arial" w:cs="Arial" w:eastAsia="Arial" w:hAnsi="Arial"/>
          <w:sz w:val="17"/>
          <w:szCs w:val="17"/>
          <w:color w:val="auto"/>
        </w:rPr>
        <w:t>Due to the nature of our business, we experience working capital needs for accounts receivable and inventory. We typically bill customers on an open account basis with net thirty to sixty day payment terms. If our sales levels were to increase as they have in prior fiscal years, it is likely that our levels of accounts receivable would also increase. Our levels of accounts receivable would also increase if customers delayed their payments or if we offered extended payment terms to our customers. Additionally, in order to maintain an adequate supply of product for our customers, we must carry a certain level of inventory. Our inventory level may vary based primarily upon orders received from our customers and our forecast of demand for these products, as well as the initial production ramp for significant design wins. Other considerations in determining inventory levels may include the product life cycle stage of our products, foundry lead times and available capacity, and competitive situations in the marketplace. Such considerations are balanced against risk of obsolescence or potentially excess inventory levels.</w:t>
      </w:r>
    </w:p>
    <w:p>
      <w:pPr>
        <w:spacing w:after="0" w:line="179"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Net Cash Provided by (Used in) Investing Activities</w:t>
      </w:r>
    </w:p>
    <w:p>
      <w:pPr>
        <w:spacing w:after="0" w:line="225" w:lineRule="exact"/>
        <w:rPr>
          <w:sz w:val="20"/>
          <w:szCs w:val="20"/>
          <w:color w:val="auto"/>
        </w:rPr>
      </w:pPr>
    </w:p>
    <w:p>
      <w:pPr>
        <w:ind w:right="60" w:firstLine="259"/>
        <w:spacing w:after="0" w:line="273" w:lineRule="auto"/>
        <w:rPr>
          <w:sz w:val="20"/>
          <w:szCs w:val="20"/>
          <w:color w:val="auto"/>
        </w:rPr>
      </w:pPr>
      <w:r>
        <w:rPr>
          <w:rFonts w:ascii="Arial" w:cs="Arial" w:eastAsia="Arial" w:hAnsi="Arial"/>
          <w:sz w:val="17"/>
          <w:szCs w:val="17"/>
          <w:color w:val="auto"/>
        </w:rPr>
        <w:t>Net cash provided by investing activities was $127.3 million for the first three months of fiscal 2007 and while net cash used in investing activities was $69.4 million for the first three months of fiscal 2006. The net cash provided by investing activities in the first three months of fiscal 2007 was due to proceeds from the sales and maturities of short-term investments of $238.1 million partially offset by purchases of property and equipment of $28.9 million, cash paid for acquisitions of $24.0 million and purchases of short-term investments of $57.4 million. The net cash used in investing activities in the first three months of fiscal 2006 was due to purchases of property and equipment of $18.4 million, purchases of short-term investments of $99.0 million, partially offset by the proceeds from the sales and maturities of short-term investments of $48.1 million.</w:t>
      </w:r>
    </w:p>
    <w:p>
      <w:pPr>
        <w:spacing w:after="0" w:line="178"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Net Cash Provided by Financing Activities</w:t>
      </w:r>
    </w:p>
    <w:p>
      <w:pPr>
        <w:spacing w:after="0" w:line="225" w:lineRule="exact"/>
        <w:rPr>
          <w:sz w:val="20"/>
          <w:szCs w:val="20"/>
          <w:color w:val="auto"/>
        </w:rPr>
      </w:pPr>
    </w:p>
    <w:p>
      <w:pPr>
        <w:ind w:firstLine="259"/>
        <w:spacing w:after="0" w:line="257" w:lineRule="auto"/>
        <w:rPr>
          <w:sz w:val="20"/>
          <w:szCs w:val="20"/>
          <w:color w:val="auto"/>
        </w:rPr>
      </w:pPr>
      <w:r>
        <w:rPr>
          <w:rFonts w:ascii="Arial" w:cs="Arial" w:eastAsia="Arial" w:hAnsi="Arial"/>
          <w:sz w:val="18"/>
          <w:szCs w:val="18"/>
          <w:color w:val="auto"/>
        </w:rPr>
        <w:t>Net cash provided by financing activities was $7.0 million for the three months ended April 30, 2006 and $17.0 million for the three months ended April 30, 2005. In the first three months of fiscal 2007 and 2006, net cash provided by financing activities was attributable to proceeds from the issuance of common stock under our stock option plans, partially offset by principal payments on capital lease obligations. The proceeds from the issuance of common stock are primarily due to the exercises of stock options. The increase in capital lease obligations is due to additional computer-aided design software licenses, which we have acquired for use in our research and development activities.</w:t>
      </w:r>
    </w:p>
    <w:p>
      <w:pPr>
        <w:spacing w:after="0" w:line="200" w:lineRule="exact"/>
        <w:rPr>
          <w:sz w:val="20"/>
          <w:szCs w:val="20"/>
          <w:color w:val="auto"/>
        </w:rPr>
      </w:pPr>
    </w:p>
    <w:p>
      <w:pPr>
        <w:spacing w:after="0" w:line="2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229" w:lineRule="exact"/>
        <w:rPr>
          <w:sz w:val="20"/>
          <w:szCs w:val="20"/>
          <w:color w:val="auto"/>
        </w:rPr>
      </w:pPr>
    </w:p>
    <w:p>
      <w:pPr>
        <w:ind w:right="60" w:firstLine="259"/>
        <w:spacing w:after="0" w:line="259" w:lineRule="auto"/>
        <w:rPr>
          <w:sz w:val="20"/>
          <w:szCs w:val="20"/>
          <w:color w:val="auto"/>
        </w:rPr>
      </w:pPr>
      <w:r>
        <w:rPr>
          <w:rFonts w:ascii="Arial" w:cs="Arial" w:eastAsia="Arial" w:hAnsi="Arial"/>
          <w:sz w:val="18"/>
          <w:szCs w:val="18"/>
          <w:color w:val="auto"/>
        </w:rPr>
        <w:t>Our relationships with our foundries allow us to cancel all outstanding purchase orders, provided we pay the foundries for all expenses they have incurred in connection with our purchase orders through the date of cancellation. As of April 30, 2006, foundries had incurred approximately $145.0 million of manufacturing expenses on our outstanding purchase orders. The purchase obligations are included in outstanding purchase commitments as of April 30, 2006.</w:t>
      </w:r>
    </w:p>
    <w:p>
      <w:pPr>
        <w:spacing w:after="0" w:line="187" w:lineRule="exact"/>
        <w:rPr>
          <w:sz w:val="20"/>
          <w:szCs w:val="20"/>
          <w:color w:val="auto"/>
        </w:rPr>
      </w:pPr>
    </w:p>
    <w:p>
      <w:pPr>
        <w:ind w:right="20" w:firstLine="243"/>
        <w:spacing w:after="0" w:line="255" w:lineRule="auto"/>
        <w:rPr>
          <w:sz w:val="20"/>
          <w:szCs w:val="20"/>
          <w:color w:val="auto"/>
        </w:rPr>
      </w:pPr>
      <w:r>
        <w:rPr>
          <w:rFonts w:ascii="Arial" w:cs="Arial" w:eastAsia="Arial" w:hAnsi="Arial"/>
          <w:sz w:val="18"/>
          <w:szCs w:val="18"/>
          <w:color w:val="auto"/>
        </w:rPr>
        <w:t>On February 28, 2005 and as amended on March 31, 2005, we entered into an agreement with a foundry to reserve and secure foundry fabrication capacity for a fixed number of wafers at agreed upon prices for a period of five and a half years beginning on October 1, 2005. In return, we agreed to pay the foundry $174.2 million over a period of eighteen months. The amendment extends the term of the agreement and the agreed upon pricing terms until December 31, 2015. As of April 30, 2006, payments totaling $129.0 million (included in prepaid expenses and other current assets and other non current assets) have been made and approximately $44.6 million of the prepayment has been utilized as of April 30, 2006. At April 30, 2006, remaining commitments under the agreement were approximately $45.2 million.</w:t>
      </w:r>
    </w:p>
    <w:p>
      <w:pPr>
        <w:spacing w:after="0" w:line="193" w:lineRule="exact"/>
        <w:rPr>
          <w:sz w:val="20"/>
          <w:szCs w:val="20"/>
          <w:color w:val="auto"/>
        </w:rPr>
      </w:pPr>
    </w:p>
    <w:p>
      <w:pPr>
        <w:ind w:right="180" w:firstLine="243"/>
        <w:spacing w:after="0" w:line="288" w:lineRule="auto"/>
        <w:rPr>
          <w:sz w:val="20"/>
          <w:szCs w:val="20"/>
          <w:color w:val="auto"/>
        </w:rPr>
      </w:pPr>
      <w:r>
        <w:rPr>
          <w:rFonts w:ascii="Arial" w:cs="Arial" w:eastAsia="Arial" w:hAnsi="Arial"/>
          <w:sz w:val="16"/>
          <w:szCs w:val="16"/>
          <w:color w:val="auto"/>
        </w:rPr>
        <w:t>In October 2001, we entered into a lease agreement with Yahoo! Inc. to lease a building in Sunnyvale, California consisting of approximately 213,000 square feet. The lease commenced on January 1, 2002 and was amended in the third quarter of fiscal 2006 to end December 31, 2005. In February 2002, we consolidated our three existing facilities in California into this new building. The leases on two of our former facilities expired in February 2002 and</w:t>
      </w:r>
    </w:p>
    <w:p>
      <w:pPr>
        <w:ind w:right="80"/>
        <w:spacing w:after="0" w:line="271" w:lineRule="auto"/>
        <w:rPr>
          <w:sz w:val="20"/>
          <w:szCs w:val="20"/>
          <w:color w:val="auto"/>
        </w:rPr>
      </w:pPr>
      <w:r>
        <w:rPr>
          <w:rFonts w:ascii="Arial" w:cs="Arial" w:eastAsia="Arial" w:hAnsi="Arial"/>
          <w:sz w:val="17"/>
          <w:szCs w:val="17"/>
          <w:color w:val="auto"/>
        </w:rPr>
        <w:t>June 2005, respectively, but we have an ongoing, non-cancelable lease for the remaining facility, for which we have obtained a sublease. Actual sublease income approximated the estimated sublease income, but is less than our actual lease commitment, resulting in future negative cash flow over the remaining term of the sublease of approximately $3.4 million as of April 30, 2006. At April 30, 2006, cash payments of $10.1 million, net of sublease income had been made in connection with this charge. Approximately $3.4 million is accrued for this facilities consolidation charge as of April 30, 2006 of which $0.7 million is the current portion while the long-term portion totaling $2.7 million is payable through 2010.</w:t>
      </w:r>
    </w:p>
    <w:p>
      <w:pPr>
        <w:spacing w:after="0" w:line="179" w:lineRule="exact"/>
        <w:rPr>
          <w:sz w:val="20"/>
          <w:szCs w:val="20"/>
          <w:color w:val="auto"/>
        </w:rPr>
      </w:pPr>
    </w:p>
    <w:p>
      <w:pPr>
        <w:ind w:right="20" w:firstLine="162"/>
        <w:spacing w:after="0" w:line="273" w:lineRule="auto"/>
        <w:rPr>
          <w:sz w:val="20"/>
          <w:szCs w:val="20"/>
          <w:color w:val="auto"/>
        </w:rPr>
      </w:pPr>
      <w:r>
        <w:rPr>
          <w:rFonts w:ascii="Arial" w:cs="Arial" w:eastAsia="Arial" w:hAnsi="Arial"/>
          <w:sz w:val="17"/>
          <w:szCs w:val="17"/>
          <w:color w:val="auto"/>
        </w:rPr>
        <w:t>We expect to make significant commitments and incur costs to improve the buildings at our U.S. headquarters located in Santa Clara, California over the next twelve months. Based upon our current forecasts, we currently expect to spend approximately $50.0 million to $60.0 million for building improvements over the next twelve to eighteen months, of which $39.9 million of non-cancelable purchase orders is currently outstanding. The amount that we plan to spend and commit for building improvements is an estimate and may change as the scope of the work is refined and plans are finalized. In addition, we expect an increase in future operating expenses due to the new buildings, thereby increasing the amount of occupancy costs that will be allocated to cost of goods sold, research and development, sales and marketing and general and administrative expenses.</w:t>
      </w:r>
    </w:p>
    <w:p>
      <w:pPr>
        <w:spacing w:after="0" w:line="178" w:lineRule="exact"/>
        <w:rPr>
          <w:sz w:val="20"/>
          <w:szCs w:val="20"/>
          <w:color w:val="auto"/>
        </w:rPr>
      </w:pPr>
    </w:p>
    <w:p>
      <w:pPr>
        <w:ind w:right="40" w:firstLine="243"/>
        <w:spacing w:after="0" w:line="312" w:lineRule="auto"/>
        <w:rPr>
          <w:sz w:val="20"/>
          <w:szCs w:val="20"/>
          <w:color w:val="auto"/>
        </w:rPr>
      </w:pPr>
      <w:r>
        <w:rPr>
          <w:rFonts w:ascii="Arial" w:cs="Arial" w:eastAsia="Arial" w:hAnsi="Arial"/>
          <w:sz w:val="16"/>
          <w:szCs w:val="16"/>
          <w:color w:val="auto"/>
        </w:rPr>
        <w:t>On November 4, 2005, we completed the acquisition of the hard disk and tape drive controller semiconductor business of QLogic Corporation. The acquisition was completed in accordance with the terms and conditions of an Asset Purchase Agreement dated August 29, 2005. Under the terms of the agreement, in exchange for certain assets and intellectual property of QLogic, we paid $180.0 million in cash and issued 980,499 shares of our common stock</w:t>
      </w:r>
    </w:p>
    <w:p>
      <w:pPr>
        <w:sectPr>
          <w:pgSz w:w="11900" w:h="16912" w:orient="portrait"/>
          <w:cols w:equalWidth="0" w:num="1">
            <w:col w:w="11420"/>
          </w:cols>
          <w:pgMar w:left="240" w:top="125" w:right="239" w:bottom="0" w:gutter="0" w:footer="0" w:header="0"/>
        </w:sectPr>
      </w:pPr>
    </w:p>
    <w:bookmarkStart w:id="20" w:name="page21"/>
    <w:bookmarkEnd w:id="20"/>
    <w:p>
      <w:pPr>
        <w:ind w:right="20"/>
        <w:spacing w:after="0" w:line="279" w:lineRule="auto"/>
        <w:rPr>
          <w:sz w:val="20"/>
          <w:szCs w:val="20"/>
          <w:color w:val="auto"/>
        </w:rPr>
      </w:pPr>
      <w:r>
        <w:rPr>
          <w:rFonts w:ascii="Arial" w:cs="Arial" w:eastAsia="Arial" w:hAnsi="Arial"/>
          <w:sz w:val="17"/>
          <w:szCs w:val="17"/>
          <w:color w:val="auto"/>
        </w:rPr>
        <w:t>to QLogic valued at $45.6 million for consideration of $225.6 million. An additional payment of $4.0 million was made for an inventory adjustment, resulting in total cash paid of $184.0 million and total consideration of $232.5 million, including acquisition costs. Pursuant to the agreement, on the closing date, we placed a portion of the shares in escrow as security for its indemnification rights under the agreement. The shares can be held in escrow for up to 12 months from the closing date. Our shares of common stock were issued pursuant to an exemption under the Securities Act of 1933.</w:t>
      </w:r>
    </w:p>
    <w:p>
      <w:pPr>
        <w:spacing w:after="0" w:line="171" w:lineRule="exact"/>
        <w:rPr>
          <w:sz w:val="20"/>
          <w:szCs w:val="20"/>
          <w:color w:val="auto"/>
        </w:rPr>
      </w:pPr>
    </w:p>
    <w:p>
      <w:pPr>
        <w:ind w:right="740" w:firstLine="243"/>
        <w:spacing w:after="0" w:line="277" w:lineRule="auto"/>
        <w:rPr>
          <w:sz w:val="20"/>
          <w:szCs w:val="20"/>
          <w:color w:val="auto"/>
        </w:rPr>
      </w:pPr>
      <w:r>
        <w:rPr>
          <w:rFonts w:ascii="Arial" w:cs="Arial" w:eastAsia="Arial" w:hAnsi="Arial"/>
          <w:sz w:val="18"/>
          <w:szCs w:val="18"/>
          <w:color w:val="auto"/>
        </w:rPr>
        <w:t>On February 16, 2006, we completed the acquisition of the semiconductor division of UTStarcom, Inc. for $24.0 million in cash. We may pay an additional $16.0 million if certain defined milestones are achieved at various intervals through September 2006.</w:t>
      </w:r>
    </w:p>
    <w:p>
      <w:pPr>
        <w:spacing w:after="0" w:line="170" w:lineRule="exact"/>
        <w:rPr>
          <w:sz w:val="20"/>
          <w:szCs w:val="20"/>
          <w:color w:val="auto"/>
        </w:rPr>
      </w:pPr>
    </w:p>
    <w:p>
      <w:pPr>
        <w:ind w:right="100" w:firstLine="324"/>
        <w:spacing w:after="0" w:line="277" w:lineRule="auto"/>
        <w:rPr>
          <w:sz w:val="20"/>
          <w:szCs w:val="20"/>
          <w:color w:val="auto"/>
        </w:rPr>
      </w:pPr>
      <w:r>
        <w:rPr>
          <w:rFonts w:ascii="Arial" w:cs="Arial" w:eastAsia="Arial" w:hAnsi="Arial"/>
          <w:sz w:val="18"/>
          <w:szCs w:val="18"/>
          <w:color w:val="auto"/>
        </w:rPr>
        <w:t>In April 2006, we made a deposit of $0.5 million for the purchase of land in Singapore. We plan to make additional commitments to construct a building for our Singapore office once the purchase of land is completed in September 2006.</w:t>
      </w:r>
    </w:p>
    <w:p>
      <w:pPr>
        <w:spacing w:after="0" w:line="170" w:lineRule="exact"/>
        <w:rPr>
          <w:sz w:val="20"/>
          <w:szCs w:val="20"/>
          <w:color w:val="auto"/>
        </w:rPr>
      </w:pPr>
    </w:p>
    <w:p>
      <w:pPr>
        <w:ind w:right="40" w:firstLine="259"/>
        <w:spacing w:after="0" w:line="255" w:lineRule="auto"/>
        <w:rPr>
          <w:sz w:val="20"/>
          <w:szCs w:val="20"/>
          <w:color w:val="auto"/>
        </w:rPr>
      </w:pPr>
      <w:r>
        <w:rPr>
          <w:rFonts w:ascii="Arial" w:cs="Arial" w:eastAsia="Arial" w:hAnsi="Arial"/>
          <w:sz w:val="18"/>
          <w:szCs w:val="18"/>
          <w:color w:val="auto"/>
        </w:rPr>
        <w:t>We currently intend to fund our short and long-term capital requirements, as well as our liquidity needs, with existing cash, cash equivalents and short-term investment balances as well as cash generated by operations. We believe that our existing cash, cash equivalents and short-term investment balances will be sufficient to meet our working capital needs, capital requirements, investment requirements, including acquisitions, and commitments for at least the next twelve months. However, our capital requirements will depend on many factors, including our rate of sales growth, market acceptance of our products, costs of securing access to adequate manufacturing capacity, the timing and extent of research and development projects, expenditures in connection with acquisitions, costs of making improvements to facilities and</w:t>
      </w:r>
    </w:p>
    <w:p>
      <w:pPr>
        <w:spacing w:after="0" w:line="200" w:lineRule="exact"/>
        <w:rPr>
          <w:sz w:val="20"/>
          <w:szCs w:val="20"/>
          <w:color w:val="auto"/>
        </w:rPr>
      </w:pPr>
    </w:p>
    <w:p>
      <w:pPr>
        <w:spacing w:after="0" w:line="2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80"/>
        <w:spacing w:after="0" w:line="279" w:lineRule="auto"/>
        <w:rPr>
          <w:sz w:val="20"/>
          <w:szCs w:val="20"/>
          <w:color w:val="auto"/>
        </w:rPr>
      </w:pPr>
      <w:r>
        <w:rPr>
          <w:rFonts w:ascii="Arial" w:cs="Arial" w:eastAsia="Arial" w:hAnsi="Arial"/>
          <w:sz w:val="17"/>
          <w:szCs w:val="17"/>
          <w:color w:val="auto"/>
        </w:rPr>
        <w:t>increases in operating expenses, which are all subject to uncertainty. To the extent that our existing cash, cash equivalents and investment balances and cash generated by operations are insufficient to fund our future activities, we may need to raise additional funds through public or private debt or equity financing. We may enter into acquisitions or strategic arrangements in the future, which could also require us to seek additional debt or equity financing, which in turn may be dilutive to our current shareholders. Additional funds may not be available on terms favorable to us or at all.</w:t>
      </w:r>
    </w:p>
    <w:p>
      <w:pPr>
        <w:spacing w:after="0" w:line="171" w:lineRule="exact"/>
        <w:rPr>
          <w:sz w:val="20"/>
          <w:szCs w:val="20"/>
          <w:color w:val="auto"/>
        </w:rPr>
      </w:pPr>
    </w:p>
    <w:p>
      <w:pPr>
        <w:ind w:right="140" w:firstLine="259"/>
        <w:spacing w:after="0" w:line="277" w:lineRule="auto"/>
        <w:rPr>
          <w:sz w:val="20"/>
          <w:szCs w:val="20"/>
          <w:color w:val="auto"/>
        </w:rPr>
      </w:pPr>
      <w:r>
        <w:rPr>
          <w:rFonts w:ascii="Arial" w:cs="Arial" w:eastAsia="Arial" w:hAnsi="Arial"/>
          <w:sz w:val="18"/>
          <w:szCs w:val="18"/>
          <w:color w:val="auto"/>
        </w:rPr>
        <w:t>The following table summarizes our contractual obligations as of April 30, 2006 and the effect such obligations are expected to have on our liquidity and cash flow in future periods (in thousands):</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1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300" w:type="dxa"/>
            <w:vAlign w:val="bottom"/>
            <w:tcBorders>
              <w:bottom w:val="single" w:sz="8" w:color="auto"/>
            </w:tcBorders>
            <w:gridSpan w:val="6"/>
          </w:tcPr>
          <w:p>
            <w:pPr>
              <w:jc w:val="right"/>
              <w:ind w:right="90"/>
              <w:spacing w:after="0"/>
              <w:rPr>
                <w:sz w:val="20"/>
                <w:szCs w:val="20"/>
                <w:color w:val="auto"/>
              </w:rPr>
            </w:pPr>
            <w:r>
              <w:rPr>
                <w:rFonts w:ascii="Arial" w:cs="Arial" w:eastAsia="Arial" w:hAnsi="Arial"/>
                <w:sz w:val="14"/>
                <w:szCs w:val="14"/>
                <w:b w:val="1"/>
                <w:bCs w:val="1"/>
                <w:color w:val="auto"/>
              </w:rPr>
              <w:t>Payments Due by Period</w:t>
            </w:r>
          </w:p>
        </w:tc>
        <w:tc>
          <w:tcPr>
            <w:tcW w:w="74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3140" w:type="dxa"/>
            <w:vAlign w:val="bottom"/>
          </w:tcPr>
          <w:p>
            <w:pPr>
              <w:spacing w:after="0"/>
              <w:rPr>
                <w:sz w:val="8"/>
                <w:szCs w:val="8"/>
                <w:color w:val="auto"/>
              </w:rPr>
            </w:pPr>
          </w:p>
        </w:tc>
        <w:tc>
          <w:tcPr>
            <w:tcW w:w="360" w:type="dxa"/>
            <w:vAlign w:val="bottom"/>
          </w:tcPr>
          <w:p>
            <w:pPr>
              <w:spacing w:after="0"/>
              <w:rPr>
                <w:sz w:val="8"/>
                <w:szCs w:val="8"/>
                <w:color w:val="auto"/>
              </w:rPr>
            </w:pPr>
          </w:p>
        </w:tc>
        <w:tc>
          <w:tcPr>
            <w:tcW w:w="100" w:type="dxa"/>
            <w:vAlign w:val="bottom"/>
          </w:tcPr>
          <w:p>
            <w:pPr>
              <w:spacing w:after="0"/>
              <w:rPr>
                <w:sz w:val="8"/>
                <w:szCs w:val="8"/>
                <w:color w:val="auto"/>
              </w:rPr>
            </w:pPr>
          </w:p>
        </w:tc>
        <w:tc>
          <w:tcPr>
            <w:tcW w:w="900" w:type="dxa"/>
            <w:vAlign w:val="bottom"/>
            <w:vMerge w:val="restart"/>
          </w:tcPr>
          <w:p>
            <w:pPr>
              <w:jc w:val="center"/>
              <w:ind w:right="36"/>
              <w:spacing w:after="0"/>
              <w:rPr>
                <w:sz w:val="20"/>
                <w:szCs w:val="20"/>
                <w:color w:val="auto"/>
              </w:rPr>
            </w:pPr>
            <w:r>
              <w:rPr>
                <w:rFonts w:ascii="Arial" w:cs="Arial" w:eastAsia="Arial" w:hAnsi="Arial"/>
                <w:sz w:val="14"/>
                <w:szCs w:val="14"/>
                <w:b w:val="1"/>
                <w:bCs w:val="1"/>
                <w:color w:val="auto"/>
                <w:w w:val="96"/>
              </w:rPr>
              <w:t>2007</w:t>
            </w:r>
          </w:p>
        </w:tc>
        <w:tc>
          <w:tcPr>
            <w:tcW w:w="180" w:type="dxa"/>
            <w:vAlign w:val="bottom"/>
          </w:tcPr>
          <w:p>
            <w:pPr>
              <w:spacing w:after="0"/>
              <w:rPr>
                <w:sz w:val="8"/>
                <w:szCs w:val="8"/>
                <w:color w:val="auto"/>
              </w:rPr>
            </w:pPr>
          </w:p>
        </w:tc>
        <w:tc>
          <w:tcPr>
            <w:tcW w:w="220" w:type="dxa"/>
            <w:vAlign w:val="bottom"/>
          </w:tcPr>
          <w:p>
            <w:pPr>
              <w:spacing w:after="0"/>
              <w:rPr>
                <w:sz w:val="8"/>
                <w:szCs w:val="8"/>
                <w:color w:val="auto"/>
              </w:rPr>
            </w:pPr>
          </w:p>
        </w:tc>
        <w:tc>
          <w:tcPr>
            <w:tcW w:w="760" w:type="dxa"/>
            <w:vAlign w:val="bottom"/>
            <w:vMerge w:val="restart"/>
          </w:tcPr>
          <w:p>
            <w:pPr>
              <w:jc w:val="right"/>
              <w:ind w:right="252"/>
              <w:spacing w:after="0"/>
              <w:rPr>
                <w:sz w:val="20"/>
                <w:szCs w:val="20"/>
                <w:color w:val="auto"/>
              </w:rPr>
            </w:pPr>
            <w:r>
              <w:rPr>
                <w:rFonts w:ascii="Arial" w:cs="Arial" w:eastAsia="Arial" w:hAnsi="Arial"/>
                <w:sz w:val="14"/>
                <w:szCs w:val="14"/>
                <w:b w:val="1"/>
                <w:bCs w:val="1"/>
                <w:color w:val="auto"/>
              </w:rPr>
              <w:t>2008</w:t>
            </w:r>
          </w:p>
        </w:tc>
        <w:tc>
          <w:tcPr>
            <w:tcW w:w="200" w:type="dxa"/>
            <w:vAlign w:val="bottom"/>
          </w:tcPr>
          <w:p>
            <w:pPr>
              <w:spacing w:after="0"/>
              <w:rPr>
                <w:sz w:val="8"/>
                <w:szCs w:val="8"/>
                <w:color w:val="auto"/>
              </w:rPr>
            </w:pPr>
          </w:p>
        </w:tc>
        <w:tc>
          <w:tcPr>
            <w:tcW w:w="220" w:type="dxa"/>
            <w:vAlign w:val="bottom"/>
          </w:tcPr>
          <w:p>
            <w:pPr>
              <w:spacing w:after="0"/>
              <w:rPr>
                <w:sz w:val="8"/>
                <w:szCs w:val="8"/>
                <w:color w:val="auto"/>
              </w:rPr>
            </w:pPr>
          </w:p>
        </w:tc>
        <w:tc>
          <w:tcPr>
            <w:tcW w:w="760" w:type="dxa"/>
            <w:vAlign w:val="bottom"/>
            <w:vMerge w:val="restart"/>
          </w:tcPr>
          <w:p>
            <w:pPr>
              <w:jc w:val="right"/>
              <w:ind w:right="274"/>
              <w:spacing w:after="0"/>
              <w:rPr>
                <w:sz w:val="20"/>
                <w:szCs w:val="20"/>
                <w:color w:val="auto"/>
              </w:rPr>
            </w:pPr>
            <w:r>
              <w:rPr>
                <w:rFonts w:ascii="Arial" w:cs="Arial" w:eastAsia="Arial" w:hAnsi="Arial"/>
                <w:sz w:val="14"/>
                <w:szCs w:val="14"/>
                <w:b w:val="1"/>
                <w:bCs w:val="1"/>
                <w:color w:val="auto"/>
              </w:rPr>
              <w:t>2009</w:t>
            </w:r>
          </w:p>
        </w:tc>
        <w:tc>
          <w:tcPr>
            <w:tcW w:w="200" w:type="dxa"/>
            <w:vAlign w:val="bottom"/>
          </w:tcPr>
          <w:p>
            <w:pPr>
              <w:spacing w:after="0"/>
              <w:rPr>
                <w:sz w:val="8"/>
                <w:szCs w:val="8"/>
                <w:color w:val="auto"/>
              </w:rPr>
            </w:pPr>
          </w:p>
        </w:tc>
        <w:tc>
          <w:tcPr>
            <w:tcW w:w="200" w:type="dxa"/>
            <w:vAlign w:val="bottom"/>
          </w:tcPr>
          <w:p>
            <w:pPr>
              <w:spacing w:after="0"/>
              <w:rPr>
                <w:sz w:val="8"/>
                <w:szCs w:val="8"/>
                <w:color w:val="auto"/>
              </w:rPr>
            </w:pPr>
          </w:p>
        </w:tc>
        <w:tc>
          <w:tcPr>
            <w:tcW w:w="740" w:type="dxa"/>
            <w:vAlign w:val="bottom"/>
            <w:vMerge w:val="restart"/>
          </w:tcPr>
          <w:p>
            <w:pPr>
              <w:jc w:val="right"/>
              <w:ind w:right="252"/>
              <w:spacing w:after="0"/>
              <w:rPr>
                <w:sz w:val="20"/>
                <w:szCs w:val="20"/>
                <w:color w:val="auto"/>
              </w:rPr>
            </w:pPr>
            <w:r>
              <w:rPr>
                <w:rFonts w:ascii="Arial" w:cs="Arial" w:eastAsia="Arial" w:hAnsi="Arial"/>
                <w:sz w:val="14"/>
                <w:szCs w:val="14"/>
                <w:b w:val="1"/>
                <w:bCs w:val="1"/>
                <w:color w:val="auto"/>
              </w:rPr>
              <w:t>2010</w:t>
            </w:r>
          </w:p>
        </w:tc>
        <w:tc>
          <w:tcPr>
            <w:tcW w:w="180" w:type="dxa"/>
            <w:vAlign w:val="bottom"/>
          </w:tcPr>
          <w:p>
            <w:pPr>
              <w:spacing w:after="0"/>
              <w:rPr>
                <w:sz w:val="8"/>
                <w:szCs w:val="8"/>
                <w:color w:val="auto"/>
              </w:rPr>
            </w:pPr>
          </w:p>
        </w:tc>
        <w:tc>
          <w:tcPr>
            <w:tcW w:w="220" w:type="dxa"/>
            <w:vAlign w:val="bottom"/>
          </w:tcPr>
          <w:p>
            <w:pPr>
              <w:spacing w:after="0"/>
              <w:rPr>
                <w:sz w:val="8"/>
                <w:szCs w:val="8"/>
                <w:color w:val="auto"/>
              </w:rPr>
            </w:pPr>
          </w:p>
        </w:tc>
        <w:tc>
          <w:tcPr>
            <w:tcW w:w="740" w:type="dxa"/>
            <w:vAlign w:val="bottom"/>
            <w:vMerge w:val="restart"/>
          </w:tcPr>
          <w:p>
            <w:pPr>
              <w:jc w:val="right"/>
              <w:ind w:right="252"/>
              <w:spacing w:after="0"/>
              <w:rPr>
                <w:sz w:val="20"/>
                <w:szCs w:val="20"/>
                <w:color w:val="auto"/>
              </w:rPr>
            </w:pPr>
            <w:r>
              <w:rPr>
                <w:rFonts w:ascii="Arial" w:cs="Arial" w:eastAsia="Arial" w:hAnsi="Arial"/>
                <w:sz w:val="14"/>
                <w:szCs w:val="14"/>
                <w:b w:val="1"/>
                <w:bCs w:val="1"/>
                <w:color w:val="auto"/>
              </w:rPr>
              <w:t>2011</w:t>
            </w:r>
          </w:p>
        </w:tc>
        <w:tc>
          <w:tcPr>
            <w:tcW w:w="180" w:type="dxa"/>
            <w:vAlign w:val="bottom"/>
          </w:tcPr>
          <w:p>
            <w:pPr>
              <w:spacing w:after="0"/>
              <w:rPr>
                <w:sz w:val="8"/>
                <w:szCs w:val="8"/>
                <w:color w:val="auto"/>
              </w:rPr>
            </w:pPr>
          </w:p>
        </w:tc>
        <w:tc>
          <w:tcPr>
            <w:tcW w:w="180" w:type="dxa"/>
            <w:vAlign w:val="bottom"/>
          </w:tcPr>
          <w:p>
            <w:pPr>
              <w:spacing w:after="0"/>
              <w:rPr>
                <w:sz w:val="8"/>
                <w:szCs w:val="8"/>
                <w:color w:val="auto"/>
              </w:rPr>
            </w:pPr>
          </w:p>
        </w:tc>
        <w:tc>
          <w:tcPr>
            <w:tcW w:w="780" w:type="dxa"/>
            <w:vAlign w:val="bottom"/>
          </w:tcPr>
          <w:p>
            <w:pPr>
              <w:jc w:val="right"/>
              <w:ind w:right="196"/>
              <w:spacing w:after="0" w:line="103" w:lineRule="exact"/>
              <w:rPr>
                <w:sz w:val="20"/>
                <w:szCs w:val="20"/>
                <w:color w:val="auto"/>
              </w:rPr>
            </w:pPr>
            <w:r>
              <w:rPr>
                <w:rFonts w:ascii="Arial" w:cs="Arial" w:eastAsia="Arial" w:hAnsi="Arial"/>
                <w:sz w:val="11"/>
                <w:szCs w:val="11"/>
                <w:b w:val="1"/>
                <w:bCs w:val="1"/>
                <w:color w:val="auto"/>
              </w:rPr>
              <w:t>There-</w:t>
            </w:r>
          </w:p>
        </w:tc>
        <w:tc>
          <w:tcPr>
            <w:tcW w:w="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780" w:type="dxa"/>
            <w:vAlign w:val="bottom"/>
            <w:gridSpan w:val="2"/>
            <w:vMerge w:val="restart"/>
          </w:tcPr>
          <w:p>
            <w:pPr>
              <w:ind w:left="12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61"/>
        </w:trPr>
        <w:tc>
          <w:tcPr>
            <w:tcW w:w="31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4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4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80" w:type="dxa"/>
            <w:vAlign w:val="bottom"/>
          </w:tcPr>
          <w:p>
            <w:pPr>
              <w:jc w:val="right"/>
              <w:ind w:right="256"/>
              <w:spacing w:after="0"/>
              <w:rPr>
                <w:sz w:val="20"/>
                <w:szCs w:val="20"/>
                <w:color w:val="auto"/>
              </w:rPr>
            </w:pPr>
            <w:r>
              <w:rPr>
                <w:rFonts w:ascii="Arial" w:cs="Arial" w:eastAsia="Arial" w:hAnsi="Arial"/>
                <w:sz w:val="14"/>
                <w:szCs w:val="14"/>
                <w:b w:val="1"/>
                <w:bCs w:val="1"/>
                <w:color w:val="auto"/>
              </w:rPr>
              <w:t>after</w:t>
            </w:r>
          </w:p>
        </w:tc>
        <w:tc>
          <w:tcPr>
            <w:tcW w:w="1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8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3140" w:type="dxa"/>
            <w:vAlign w:val="bottom"/>
          </w:tcPr>
          <w:p>
            <w:pPr>
              <w:spacing w:after="0"/>
              <w:rPr>
                <w:sz w:val="8"/>
                <w:szCs w:val="8"/>
                <w:color w:val="auto"/>
              </w:rPr>
            </w:pPr>
          </w:p>
        </w:tc>
        <w:tc>
          <w:tcPr>
            <w:tcW w:w="360" w:type="dxa"/>
            <w:vAlign w:val="bottom"/>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900" w:type="dxa"/>
            <w:vAlign w:val="bottom"/>
            <w:tcBorders>
              <w:top w:val="single" w:sz="8" w:color="auto"/>
            </w:tcBorders>
          </w:tcPr>
          <w:p>
            <w:pPr>
              <w:jc w:val="center"/>
              <w:ind w:right="36"/>
              <w:spacing w:after="0" w:line="102" w:lineRule="exact"/>
              <w:rPr>
                <w:sz w:val="20"/>
                <w:szCs w:val="20"/>
                <w:color w:val="auto"/>
              </w:rPr>
            </w:pPr>
            <w:r>
              <w:rPr>
                <w:rFonts w:ascii="Arial" w:cs="Arial" w:eastAsia="Arial" w:hAnsi="Arial"/>
                <w:sz w:val="11"/>
                <w:szCs w:val="11"/>
                <w:color w:val="auto"/>
              </w:rPr>
              <w:t>(remaining</w:t>
            </w:r>
          </w:p>
        </w:tc>
        <w:tc>
          <w:tcPr>
            <w:tcW w:w="180" w:type="dxa"/>
            <w:vAlign w:val="bottom"/>
          </w:tcPr>
          <w:p>
            <w:pPr>
              <w:spacing w:after="0"/>
              <w:rPr>
                <w:sz w:val="8"/>
                <w:szCs w:val="8"/>
                <w:color w:val="auto"/>
              </w:rPr>
            </w:pPr>
          </w:p>
        </w:tc>
        <w:tc>
          <w:tcPr>
            <w:tcW w:w="220" w:type="dxa"/>
            <w:vAlign w:val="bottom"/>
            <w:tcBorders>
              <w:top w:val="single" w:sz="8" w:color="auto"/>
            </w:tcBorders>
          </w:tcPr>
          <w:p>
            <w:pPr>
              <w:spacing w:after="0"/>
              <w:rPr>
                <w:sz w:val="8"/>
                <w:szCs w:val="8"/>
                <w:color w:val="auto"/>
              </w:rPr>
            </w:pPr>
          </w:p>
        </w:tc>
        <w:tc>
          <w:tcPr>
            <w:tcW w:w="760" w:type="dxa"/>
            <w:vAlign w:val="bottom"/>
            <w:tcBorders>
              <w:top w:val="single" w:sz="8" w:color="auto"/>
            </w:tcBorders>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Borders>
              <w:top w:val="single" w:sz="8" w:color="auto"/>
            </w:tcBorders>
          </w:tcPr>
          <w:p>
            <w:pPr>
              <w:spacing w:after="0"/>
              <w:rPr>
                <w:sz w:val="8"/>
                <w:szCs w:val="8"/>
                <w:color w:val="auto"/>
              </w:rPr>
            </w:pPr>
          </w:p>
        </w:tc>
        <w:tc>
          <w:tcPr>
            <w:tcW w:w="760" w:type="dxa"/>
            <w:vAlign w:val="bottom"/>
            <w:tcBorders>
              <w:top w:val="single" w:sz="8" w:color="auto"/>
            </w:tcBorders>
          </w:tcPr>
          <w:p>
            <w:pPr>
              <w:spacing w:after="0"/>
              <w:rPr>
                <w:sz w:val="8"/>
                <w:szCs w:val="8"/>
                <w:color w:val="auto"/>
              </w:rPr>
            </w:pPr>
          </w:p>
        </w:tc>
        <w:tc>
          <w:tcPr>
            <w:tcW w:w="200" w:type="dxa"/>
            <w:vAlign w:val="bottom"/>
          </w:tcPr>
          <w:p>
            <w:pPr>
              <w:spacing w:after="0"/>
              <w:rPr>
                <w:sz w:val="8"/>
                <w:szCs w:val="8"/>
                <w:color w:val="auto"/>
              </w:rPr>
            </w:pPr>
          </w:p>
        </w:tc>
        <w:tc>
          <w:tcPr>
            <w:tcW w:w="200" w:type="dxa"/>
            <w:vAlign w:val="bottom"/>
            <w:tcBorders>
              <w:top w:val="single" w:sz="8" w:color="auto"/>
            </w:tcBorders>
          </w:tcPr>
          <w:p>
            <w:pPr>
              <w:spacing w:after="0"/>
              <w:rPr>
                <w:sz w:val="8"/>
                <w:szCs w:val="8"/>
                <w:color w:val="auto"/>
              </w:rPr>
            </w:pPr>
          </w:p>
        </w:tc>
        <w:tc>
          <w:tcPr>
            <w:tcW w:w="740" w:type="dxa"/>
            <w:vAlign w:val="bottom"/>
            <w:tcBorders>
              <w:top w:val="single" w:sz="8" w:color="auto"/>
            </w:tcBorders>
          </w:tcPr>
          <w:p>
            <w:pPr>
              <w:spacing w:after="0"/>
              <w:rPr>
                <w:sz w:val="8"/>
                <w:szCs w:val="8"/>
                <w:color w:val="auto"/>
              </w:rPr>
            </w:pPr>
          </w:p>
        </w:tc>
        <w:tc>
          <w:tcPr>
            <w:tcW w:w="180" w:type="dxa"/>
            <w:vAlign w:val="bottom"/>
          </w:tcPr>
          <w:p>
            <w:pPr>
              <w:spacing w:after="0"/>
              <w:rPr>
                <w:sz w:val="8"/>
                <w:szCs w:val="8"/>
                <w:color w:val="auto"/>
              </w:rPr>
            </w:pPr>
          </w:p>
        </w:tc>
        <w:tc>
          <w:tcPr>
            <w:tcW w:w="220" w:type="dxa"/>
            <w:vAlign w:val="bottom"/>
            <w:tcBorders>
              <w:top w:val="single" w:sz="8" w:color="auto"/>
            </w:tcBorders>
          </w:tcPr>
          <w:p>
            <w:pPr>
              <w:spacing w:after="0"/>
              <w:rPr>
                <w:sz w:val="8"/>
                <w:szCs w:val="8"/>
                <w:color w:val="auto"/>
              </w:rPr>
            </w:pPr>
          </w:p>
        </w:tc>
        <w:tc>
          <w:tcPr>
            <w:tcW w:w="740" w:type="dxa"/>
            <w:vAlign w:val="bottom"/>
            <w:tcBorders>
              <w:top w:val="single" w:sz="8" w:color="auto"/>
            </w:tcBorders>
          </w:tcPr>
          <w:p>
            <w:pPr>
              <w:spacing w:after="0"/>
              <w:rPr>
                <w:sz w:val="8"/>
                <w:szCs w:val="8"/>
                <w:color w:val="auto"/>
              </w:rPr>
            </w:pPr>
          </w:p>
        </w:tc>
        <w:tc>
          <w:tcPr>
            <w:tcW w:w="180" w:type="dxa"/>
            <w:vAlign w:val="bottom"/>
          </w:tcPr>
          <w:p>
            <w:pPr>
              <w:spacing w:after="0"/>
              <w:rPr>
                <w:sz w:val="8"/>
                <w:szCs w:val="8"/>
                <w:color w:val="auto"/>
              </w:rPr>
            </w:pPr>
          </w:p>
        </w:tc>
        <w:tc>
          <w:tcPr>
            <w:tcW w:w="180" w:type="dxa"/>
            <w:vAlign w:val="bottom"/>
            <w:tcBorders>
              <w:top w:val="single" w:sz="8" w:color="auto"/>
            </w:tcBorders>
          </w:tcPr>
          <w:p>
            <w:pPr>
              <w:spacing w:after="0"/>
              <w:rPr>
                <w:sz w:val="8"/>
                <w:szCs w:val="8"/>
                <w:color w:val="auto"/>
              </w:rPr>
            </w:pPr>
          </w:p>
        </w:tc>
        <w:tc>
          <w:tcPr>
            <w:tcW w:w="780" w:type="dxa"/>
            <w:vAlign w:val="bottom"/>
            <w:tcBorders>
              <w:top w:val="single" w:sz="8" w:color="auto"/>
            </w:tcBorders>
          </w:tcPr>
          <w:p>
            <w:pPr>
              <w:spacing w:after="0"/>
              <w:rPr>
                <w:sz w:val="8"/>
                <w:szCs w:val="8"/>
                <w:color w:val="auto"/>
              </w:rPr>
            </w:pPr>
          </w:p>
        </w:tc>
        <w:tc>
          <w:tcPr>
            <w:tcW w:w="180" w:type="dxa"/>
            <w:vAlign w:val="bottom"/>
          </w:tcPr>
          <w:p>
            <w:pPr>
              <w:spacing w:after="0"/>
              <w:rPr>
                <w:sz w:val="8"/>
                <w:szCs w:val="8"/>
                <w:color w:val="auto"/>
              </w:rPr>
            </w:pPr>
          </w:p>
        </w:tc>
        <w:tc>
          <w:tcPr>
            <w:tcW w:w="200" w:type="dxa"/>
            <w:vAlign w:val="bottom"/>
            <w:tcBorders>
              <w:top w:val="single" w:sz="8" w:color="auto"/>
            </w:tcBorders>
          </w:tcPr>
          <w:p>
            <w:pPr>
              <w:spacing w:after="0"/>
              <w:rPr>
                <w:sz w:val="8"/>
                <w:szCs w:val="8"/>
                <w:color w:val="auto"/>
              </w:rPr>
            </w:pPr>
          </w:p>
        </w:tc>
        <w:tc>
          <w:tcPr>
            <w:tcW w:w="760" w:type="dxa"/>
            <w:vAlign w:val="bottom"/>
            <w:tcBorders>
              <w:top w:val="single" w:sz="8" w:color="auto"/>
            </w:tcBorders>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31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jc w:val="center"/>
              <w:ind w:right="16"/>
              <w:spacing w:after="0"/>
              <w:rPr>
                <w:sz w:val="20"/>
                <w:szCs w:val="20"/>
                <w:color w:val="auto"/>
              </w:rPr>
            </w:pPr>
            <w:r>
              <w:rPr>
                <w:rFonts w:ascii="Arial" w:cs="Arial" w:eastAsia="Arial" w:hAnsi="Arial"/>
                <w:sz w:val="14"/>
                <w:szCs w:val="14"/>
                <w:color w:val="auto"/>
                <w:w w:val="93"/>
              </w:rPr>
              <w:t>nine months)</w:t>
            </w:r>
          </w:p>
        </w:tc>
        <w:tc>
          <w:tcPr>
            <w:tcW w:w="1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3140" w:type="dxa"/>
            <w:vAlign w:val="bottom"/>
            <w:shd w:val="clear" w:color="auto" w:fill="CCEEFF"/>
          </w:tcPr>
          <w:p>
            <w:pPr>
              <w:spacing w:after="0"/>
              <w:rPr>
                <w:sz w:val="20"/>
                <w:szCs w:val="20"/>
                <w:color w:val="auto"/>
              </w:rPr>
            </w:pPr>
            <w:r>
              <w:rPr>
                <w:rFonts w:ascii="Arial" w:cs="Arial" w:eastAsia="Arial" w:hAnsi="Arial"/>
                <w:sz w:val="18"/>
                <w:szCs w:val="18"/>
                <w:color w:val="auto"/>
              </w:rPr>
              <w:t>Contractual obligations:</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40" w:type="dxa"/>
            <w:vAlign w:val="bottom"/>
          </w:tcPr>
          <w:p>
            <w:pPr>
              <w:ind w:left="180"/>
              <w:spacing w:after="0"/>
              <w:rPr>
                <w:sz w:val="20"/>
                <w:szCs w:val="20"/>
                <w:color w:val="auto"/>
              </w:rPr>
            </w:pPr>
            <w:r>
              <w:rPr>
                <w:rFonts w:ascii="Arial" w:cs="Arial" w:eastAsia="Arial" w:hAnsi="Arial"/>
                <w:sz w:val="18"/>
                <w:szCs w:val="18"/>
                <w:color w:val="auto"/>
              </w:rPr>
              <w:t>Operating leases</w:t>
            </w: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4,919</w:t>
            </w:r>
          </w:p>
        </w:tc>
        <w:tc>
          <w:tcPr>
            <w:tcW w:w="400" w:type="dxa"/>
            <w:vAlign w:val="bottom"/>
            <w:gridSpan w:val="2"/>
          </w:tcPr>
          <w:p>
            <w:pPr>
              <w:jc w:val="right"/>
              <w:ind w:right="30"/>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6,183</w:t>
            </w:r>
          </w:p>
        </w:tc>
        <w:tc>
          <w:tcPr>
            <w:tcW w:w="420" w:type="dxa"/>
            <w:vAlign w:val="bottom"/>
            <w:gridSpan w:val="2"/>
          </w:tcPr>
          <w:p>
            <w:pPr>
              <w:jc w:val="right"/>
              <w:ind w:right="65"/>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5,934</w:t>
            </w:r>
          </w:p>
        </w:tc>
        <w:tc>
          <w:tcPr>
            <w:tcW w:w="200" w:type="dxa"/>
            <w:vAlign w:val="bottom"/>
          </w:tcPr>
          <w:p>
            <w:pPr>
              <w:spacing w:after="0"/>
              <w:rPr>
                <w:sz w:val="18"/>
                <w:szCs w:val="18"/>
                <w:color w:val="auto"/>
              </w:rPr>
            </w:pPr>
          </w:p>
        </w:tc>
        <w:tc>
          <w:tcPr>
            <w:tcW w:w="200" w:type="dxa"/>
            <w:vAlign w:val="bottom"/>
          </w:tcPr>
          <w:p>
            <w:pPr>
              <w:jc w:val="right"/>
              <w:ind w:right="45"/>
              <w:spacing w:after="0"/>
              <w:rPr>
                <w:sz w:val="20"/>
                <w:szCs w:val="20"/>
                <w:color w:val="auto"/>
              </w:rPr>
            </w:pPr>
            <w:r>
              <w:rPr>
                <w:rFonts w:ascii="Arial" w:cs="Arial" w:eastAsia="Arial" w:hAnsi="Arial"/>
                <w:sz w:val="15"/>
                <w:szCs w:val="15"/>
                <w:color w:val="auto"/>
                <w:w w:val="71"/>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4,087</w:t>
            </w:r>
          </w:p>
        </w:tc>
        <w:tc>
          <w:tcPr>
            <w:tcW w:w="180" w:type="dxa"/>
            <w:vAlign w:val="bottom"/>
          </w:tcPr>
          <w:p>
            <w:pPr>
              <w:spacing w:after="0"/>
              <w:rPr>
                <w:sz w:val="18"/>
                <w:szCs w:val="18"/>
                <w:color w:val="auto"/>
              </w:rPr>
            </w:pP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3,669</w:t>
            </w:r>
          </w:p>
        </w:tc>
        <w:tc>
          <w:tcPr>
            <w:tcW w:w="360" w:type="dxa"/>
            <w:vAlign w:val="bottom"/>
            <w:gridSpan w:val="2"/>
          </w:tcPr>
          <w:p>
            <w:pPr>
              <w:jc w:val="right"/>
              <w:ind w:right="25"/>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28,740</w:t>
            </w:r>
          </w:p>
        </w:tc>
        <w:tc>
          <w:tcPr>
            <w:tcW w:w="380" w:type="dxa"/>
            <w:vAlign w:val="bottom"/>
            <w:gridSpan w:val="2"/>
          </w:tcPr>
          <w:p>
            <w:pPr>
              <w:jc w:val="right"/>
              <w:ind w:right="45"/>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53,532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Capital lease obligations</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14,408</w:t>
            </w:r>
          </w:p>
        </w:tc>
        <w:tc>
          <w:tcPr>
            <w:tcW w:w="1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17,896</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8,781</w:t>
            </w:r>
          </w:p>
        </w:tc>
        <w:tc>
          <w:tcPr>
            <w:tcW w:w="2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2,389</w:t>
            </w:r>
          </w:p>
        </w:tc>
        <w:tc>
          <w:tcPr>
            <w:tcW w:w="1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43,474</w:t>
            </w: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40" w:type="dxa"/>
            <w:vAlign w:val="bottom"/>
          </w:tcPr>
          <w:p>
            <w:pPr>
              <w:ind w:left="180"/>
              <w:spacing w:after="0"/>
              <w:rPr>
                <w:sz w:val="20"/>
                <w:szCs w:val="20"/>
                <w:color w:val="auto"/>
              </w:rPr>
            </w:pPr>
            <w:r>
              <w:rPr>
                <w:rFonts w:ascii="Arial" w:cs="Arial" w:eastAsia="Arial" w:hAnsi="Arial"/>
                <w:sz w:val="18"/>
                <w:szCs w:val="18"/>
                <w:color w:val="auto"/>
              </w:rPr>
              <w:t>Purchase commitments to foundries</w:t>
            </w: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145,031</w:t>
            </w: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9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145,031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Capacity reservation commitment</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45,180</w:t>
            </w:r>
          </w:p>
        </w:tc>
        <w:tc>
          <w:tcPr>
            <w:tcW w:w="1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45,180</w:t>
            </w: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40" w:type="dxa"/>
            <w:vAlign w:val="bottom"/>
          </w:tcPr>
          <w:p>
            <w:pPr>
              <w:ind w:left="180"/>
              <w:spacing w:after="0"/>
              <w:rPr>
                <w:sz w:val="20"/>
                <w:szCs w:val="20"/>
                <w:color w:val="auto"/>
              </w:rPr>
            </w:pPr>
            <w:r>
              <w:rPr>
                <w:rFonts w:ascii="Arial" w:cs="Arial" w:eastAsia="Arial" w:hAnsi="Arial"/>
                <w:sz w:val="18"/>
                <w:szCs w:val="18"/>
                <w:color w:val="auto"/>
              </w:rPr>
              <w:t>Mask purchase commitment</w:t>
            </w: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4,500</w:t>
            </w: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9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4,500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Capital purchase obligations</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63,176</w:t>
            </w:r>
          </w:p>
        </w:tc>
        <w:tc>
          <w:tcPr>
            <w:tcW w:w="1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63,176</w:t>
            </w: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40" w:type="dxa"/>
            <w:vAlign w:val="bottom"/>
          </w:tcPr>
          <w:p>
            <w:pPr>
              <w:ind w:left="180"/>
              <w:spacing w:after="0"/>
              <w:rPr>
                <w:sz w:val="20"/>
                <w:szCs w:val="20"/>
                <w:color w:val="auto"/>
              </w:rPr>
            </w:pPr>
            <w:r>
              <w:rPr>
                <w:rFonts w:ascii="Arial" w:cs="Arial" w:eastAsia="Arial" w:hAnsi="Arial"/>
                <w:sz w:val="18"/>
                <w:szCs w:val="18"/>
                <w:color w:val="auto"/>
              </w:rPr>
              <w:t>Acquisition related commitments</w:t>
            </w: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247,000</w:t>
            </w: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9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247,000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14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contractual cash obligations</w:t>
            </w:r>
          </w:p>
        </w:tc>
        <w:tc>
          <w:tcPr>
            <w:tcW w:w="36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524,214</w:t>
            </w: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24,079</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14,715</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6,476</w:t>
            </w: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3,669</w:t>
            </w: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28,740</w:t>
            </w: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601,893</w:t>
            </w: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1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18" w:lineRule="exact"/>
        <w:rPr>
          <w:sz w:val="20"/>
          <w:szCs w:val="20"/>
          <w:color w:val="auto"/>
        </w:rPr>
      </w:pPr>
    </w:p>
    <w:p>
      <w:pPr>
        <w:jc w:val="both"/>
        <w:ind w:right="60" w:firstLine="363"/>
        <w:spacing w:after="0" w:line="264" w:lineRule="auto"/>
        <w:rPr>
          <w:sz w:val="20"/>
          <w:szCs w:val="20"/>
          <w:color w:val="auto"/>
        </w:rPr>
      </w:pPr>
      <w:r>
        <w:rPr>
          <w:rFonts w:ascii="Arial" w:cs="Arial" w:eastAsia="Arial" w:hAnsi="Arial"/>
          <w:sz w:val="18"/>
          <w:szCs w:val="18"/>
          <w:color w:val="auto"/>
        </w:rPr>
        <w:t>Included in operating lease commitments are anticipated lease payments for two airplanes that are currently under construction. Delivery of one airplane is expected in fiscal 2007 while delivery of the second airplane is expected in fiscal 2008. The airplanes will be used for business travel purposes and will be accounted for as operating leases once the airplanes are completed and delivered.</w:t>
      </w:r>
    </w:p>
    <w:p>
      <w:pPr>
        <w:spacing w:after="0" w:line="181" w:lineRule="exact"/>
        <w:rPr>
          <w:sz w:val="20"/>
          <w:szCs w:val="20"/>
          <w:color w:val="auto"/>
        </w:rPr>
      </w:pPr>
    </w:p>
    <w:p>
      <w:pPr>
        <w:ind w:left="380"/>
        <w:spacing w:after="0"/>
        <w:rPr>
          <w:sz w:val="20"/>
          <w:szCs w:val="20"/>
          <w:color w:val="auto"/>
        </w:rPr>
      </w:pPr>
      <w:r>
        <w:rPr>
          <w:rFonts w:ascii="Arial" w:cs="Arial" w:eastAsia="Arial" w:hAnsi="Arial"/>
          <w:sz w:val="16"/>
          <w:szCs w:val="16"/>
          <w:color w:val="auto"/>
        </w:rPr>
        <w:t>On May 1, 2006, we completed the acquisition of the printer semiconductor business of Avago Technologies Limited. Under the agreement, we paid</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$240.0 million in cash upon closing of the transaction. We may pay an additional $35.0 million if defined milestones are achieved at various intervals through</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October 2007. We may also record a one-time charge for purchased in-process research and development expenses related to the acquisition. The amount of</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that charge, if any, and the period in which it would be recorded has not yet been determined.</w:t>
      </w:r>
    </w:p>
    <w:p>
      <w:pPr>
        <w:spacing w:after="0" w:line="211" w:lineRule="exact"/>
        <w:rPr>
          <w:sz w:val="20"/>
          <w:szCs w:val="20"/>
          <w:color w:val="auto"/>
        </w:rPr>
      </w:pPr>
    </w:p>
    <w:p>
      <w:pPr>
        <w:ind w:firstLine="324"/>
        <w:spacing w:after="0" w:line="257" w:lineRule="auto"/>
        <w:rPr>
          <w:sz w:val="20"/>
          <w:szCs w:val="20"/>
          <w:color w:val="auto"/>
        </w:rPr>
      </w:pPr>
      <w:r>
        <w:rPr>
          <w:rFonts w:ascii="Arial" w:cs="Arial" w:eastAsia="Arial" w:hAnsi="Arial"/>
          <w:sz w:val="18"/>
          <w:szCs w:val="18"/>
          <w:color w:val="auto"/>
        </w:rPr>
        <w:t>On May 1, 2006, we completed the acquisition from a third party of certain intellectual property and property and equipment. Under terms of the asset purchase agreement, we paid $7.0 million in cash upon closing of the transaction. In addition to the asset purchase, Marvell and the third party agreed to enter into certain additional agreements, including a transition services agreement, a product distribution agreement and an intellectual property agreement. We may also record an as-yet undetermined one-time charge for purchased in-process research and development expenses related to the acquisition, the amount of which, if any, would be recorded in our second fiscal quarter of fiscal 2007.</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As of April 30, 2006, we did not have any material off-balance-sheet arrangements, as defined in Item 303(a)(4)(ii) of SEC Regulation S-K.</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229" w:lineRule="exact"/>
        <w:rPr>
          <w:sz w:val="20"/>
          <w:szCs w:val="20"/>
          <w:color w:val="auto"/>
        </w:rPr>
      </w:pPr>
    </w:p>
    <w:p>
      <w:pPr>
        <w:ind w:right="140" w:firstLine="243"/>
        <w:spacing w:after="0" w:line="273" w:lineRule="auto"/>
        <w:rPr>
          <w:sz w:val="20"/>
          <w:szCs w:val="20"/>
          <w:color w:val="auto"/>
        </w:rPr>
      </w:pPr>
      <w:r>
        <w:rPr>
          <w:rFonts w:ascii="Arial" w:cs="Arial" w:eastAsia="Arial" w:hAnsi="Arial"/>
          <w:sz w:val="17"/>
          <w:szCs w:val="17"/>
          <w:color w:val="auto"/>
        </w:rPr>
        <w:t xml:space="preserve">In May 2005, the FASB issued Statement of Financial Accounting Standards No. 154 (“SFAS 154”), Accounting Changes and Error Corrections, a replacement of APB Opinion No. 20 and Statement No. 3. The statement applies to all voluntary changes in accounting principle and changes the requirements for the accounting for and reporting of a change in accounting principle. SFAS 154 requires retrospective application to prior periods’ financial statements of a voluntary change in accounting principle unless it is impracticable. SFAS 154 is effective for accounting changes and corrections of errors made in fiscal years beginning after December 15, 2005. </w:t>
      </w:r>
      <w:r>
        <w:rPr>
          <w:rFonts w:ascii="Arial" w:cs="Arial" w:eastAsia="Arial" w:hAnsi="Arial"/>
          <w:sz w:val="16"/>
          <w:szCs w:val="16"/>
          <w:color w:val="auto"/>
        </w:rPr>
        <w:t>We adopted this standard in the quarter ended April 30, 2006 and the adoption will only impact the</w:t>
      </w:r>
      <w:r>
        <w:rPr>
          <w:rFonts w:ascii="Arial" w:cs="Arial" w:eastAsia="Arial" w:hAnsi="Arial"/>
          <w:sz w:val="17"/>
          <w:szCs w:val="17"/>
          <w:color w:val="auto"/>
        </w:rPr>
        <w:t xml:space="preserve"> </w:t>
      </w:r>
      <w:r>
        <w:rPr>
          <w:rFonts w:ascii="Arial" w:cs="Arial" w:eastAsia="Arial" w:hAnsi="Arial"/>
          <w:sz w:val="16"/>
          <w:szCs w:val="16"/>
          <w:color w:val="auto"/>
        </w:rPr>
        <w:t>consolidated financial statements in periods in which a change in accounting principle is made.</w:t>
      </w:r>
    </w:p>
    <w:p>
      <w:pPr>
        <w:sectPr>
          <w:pgSz w:w="11900" w:h="16838" w:orient="portrait"/>
          <w:cols w:equalWidth="0" w:num="1">
            <w:col w:w="11420"/>
          </w:cols>
          <w:pgMar w:left="240" w:top="125" w:right="239" w:bottom="0" w:gutter="0" w:footer="0" w:header="0"/>
        </w:sectPr>
      </w:pPr>
    </w:p>
    <w:p>
      <w:pPr>
        <w:spacing w:after="0" w:line="395"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29</w:t>
      </w:r>
    </w:p>
    <w:p>
      <w:pPr>
        <w:sectPr>
          <w:pgSz w:w="11900" w:h="16838" w:orient="portrait"/>
          <w:cols w:equalWidth="0" w:num="1">
            <w:col w:w="11420"/>
          </w:cols>
          <w:pgMar w:left="240" w:top="125" w:right="239" w:bottom="0" w:gutter="0" w:footer="0" w:header="0"/>
          <w:type w:val="continuous"/>
        </w:sectPr>
      </w:pPr>
    </w:p>
    <w:bookmarkStart w:id="21" w:name="page22"/>
    <w:bookmarkEnd w:id="21"/>
    <w:p>
      <w:pPr>
        <w:spacing w:after="0" w:line="69"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155575</wp:posOffset>
            </wp:positionH>
            <wp:positionV relativeFrom="page">
              <wp:posOffset>309880</wp:posOffset>
            </wp:positionV>
            <wp:extent cx="7267575" cy="298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ind w:left="260"/>
        <w:spacing w:after="0"/>
        <w:rPr>
          <w:sz w:val="20"/>
          <w:szCs w:val="20"/>
          <w:color w:val="auto"/>
        </w:rPr>
      </w:pPr>
      <w:r>
        <w:rPr>
          <w:rFonts w:ascii="Arial" w:cs="Arial" w:eastAsia="Arial" w:hAnsi="Arial"/>
          <w:sz w:val="18"/>
          <w:szCs w:val="18"/>
          <w:b w:val="1"/>
          <w:bCs w:val="1"/>
          <w:color w:val="auto"/>
        </w:rPr>
        <w:t>Related Party Transactions</w:t>
      </w:r>
    </w:p>
    <w:p>
      <w:pPr>
        <w:spacing w:after="0" w:line="229" w:lineRule="exact"/>
        <w:rPr>
          <w:sz w:val="20"/>
          <w:szCs w:val="20"/>
          <w:color w:val="auto"/>
        </w:rPr>
      </w:pPr>
    </w:p>
    <w:p>
      <w:pPr>
        <w:ind w:right="100" w:firstLine="243"/>
        <w:spacing w:after="0" w:line="257" w:lineRule="auto"/>
        <w:rPr>
          <w:sz w:val="20"/>
          <w:szCs w:val="20"/>
          <w:color w:val="auto"/>
        </w:rPr>
      </w:pPr>
      <w:r>
        <w:rPr>
          <w:rFonts w:ascii="Arial" w:cs="Arial" w:eastAsia="Arial" w:hAnsi="Arial"/>
          <w:sz w:val="18"/>
          <w:szCs w:val="18"/>
          <w:color w:val="auto"/>
        </w:rPr>
        <w:t>During first quarters of fiscal 2006 and 2005, we incurred approximately $0.4 million and $0.3 million, respectively of expenses from an unrelated third-party entity, ACM Aviation, Inc. (“ACM”) for charter aircraft services provided to MSI. The aircraft provided by ACM to us for such services is owned by Estopia Air LLC (“Estopia Air”). Our President and Chief Executive Officer, Sehat Sutardja, Ph.D, and Chief Operating Officer, Weili Dai, through their control and ownership in Estopia Air, own the aircraft provided by ACM. The expenses were the result of our use of the aircraft for business travel purposes. The pricing was based on values determined to be market prices.</w:t>
      </w:r>
    </w:p>
    <w:p>
      <w:pPr>
        <w:spacing w:after="0" w:line="188" w:lineRule="exact"/>
        <w:rPr>
          <w:sz w:val="20"/>
          <w:szCs w:val="20"/>
          <w:color w:val="auto"/>
        </w:rPr>
      </w:pPr>
    </w:p>
    <w:p>
      <w:pPr>
        <w:ind w:right="80" w:firstLine="243"/>
        <w:spacing w:after="0" w:line="255" w:lineRule="auto"/>
        <w:rPr>
          <w:sz w:val="20"/>
          <w:szCs w:val="20"/>
          <w:color w:val="auto"/>
        </w:rPr>
      </w:pPr>
      <w:r>
        <w:rPr>
          <w:rFonts w:ascii="Arial" w:cs="Arial" w:eastAsia="Arial" w:hAnsi="Arial"/>
          <w:sz w:val="18"/>
          <w:szCs w:val="18"/>
          <w:color w:val="auto"/>
        </w:rPr>
        <w:t>On February 19, 2005, through our subsidiaries MSI and Marvell Asia Pte. Ltd. (“MAPL”), we entered into a development agreement with MagnetoX (“MagnetoX”). The development agreement is on substantially similar terms as other development agreements with other third parties. We did not recognize any revenue from the development agreement or product revenue during the first quarter of fiscal 2007. This development agreement is on substantially similar terms as other development agreements with other third parties. Herbert Chang, one of our directors, is a shareholder of MagnetoX. Estopia LLC (“Estopia”) is also a shareholder of MagnetoX. Sehat Sutardja, Ph.D. and Weili Dai, through their ownership and control of Estopia, are indirect shareholders of MagnetoX.</w:t>
      </w:r>
    </w:p>
    <w:p>
      <w:pPr>
        <w:spacing w:after="0" w:line="193" w:lineRule="exact"/>
        <w:rPr>
          <w:sz w:val="20"/>
          <w:szCs w:val="20"/>
          <w:color w:val="auto"/>
        </w:rPr>
      </w:pPr>
    </w:p>
    <w:p>
      <w:pPr>
        <w:ind w:right="60" w:firstLine="162"/>
        <w:spacing w:after="0" w:line="255" w:lineRule="auto"/>
        <w:rPr>
          <w:sz w:val="20"/>
          <w:szCs w:val="20"/>
          <w:color w:val="auto"/>
        </w:rPr>
      </w:pPr>
      <w:r>
        <w:rPr>
          <w:rFonts w:ascii="Arial" w:cs="Arial" w:eastAsia="Arial" w:hAnsi="Arial"/>
          <w:sz w:val="18"/>
          <w:szCs w:val="18"/>
          <w:color w:val="auto"/>
        </w:rPr>
        <w:t>On August 19, 2005, through our subsidiaries MSI and Marvell International Ltd., we entered into a License and Manufacturing Services Agreement (the “License Agreement”) with C2 Microsystems, Inc. (“C2Micro”). The License Agreement is on substantially similar terms as other license and manufacturing services agreements with other third parties. We recognized $0.2 million of revenue from the License Agreement with C2Micro during the first quarter of fiscal 2007. Sehat Sutardja, Ph.D., and Weili Dai, through their ownership and control of Estopia, are indirect shareholders of C2Micro. Herbert Chang, through his ownership and control of C-Squared venture entities, is also an indirect shareholder of C2Micro. Pantas Sutardja, Ph.D., our Chief Technology Officer, is also a shareholder of C2Micro.</w:t>
      </w:r>
    </w:p>
    <w:p>
      <w:pPr>
        <w:spacing w:after="0" w:line="200" w:lineRule="exact"/>
        <w:rPr>
          <w:sz w:val="20"/>
          <w:szCs w:val="20"/>
          <w:color w:val="auto"/>
        </w:rPr>
      </w:pPr>
    </w:p>
    <w:p>
      <w:pPr>
        <w:spacing w:after="0" w:line="2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7"/>
          <w:szCs w:val="17"/>
          <w:b w:val="1"/>
          <w:bCs w:val="1"/>
          <w:i w:val="1"/>
          <w:iCs w:val="1"/>
          <w:color w:val="auto"/>
        </w:rPr>
        <w:t>Quantitative and Qualitative Disclosures About Market Risk</w:t>
      </w:r>
    </w:p>
    <w:p>
      <w:pPr>
        <w:spacing w:after="0" w:line="229" w:lineRule="exact"/>
        <w:rPr>
          <w:sz w:val="20"/>
          <w:szCs w:val="20"/>
          <w:color w:val="auto"/>
        </w:rPr>
      </w:pPr>
    </w:p>
    <w:p>
      <w:pPr>
        <w:spacing w:after="0" w:line="287" w:lineRule="auto"/>
        <w:rPr>
          <w:sz w:val="20"/>
          <w:szCs w:val="20"/>
          <w:color w:val="auto"/>
        </w:rPr>
      </w:pPr>
      <w:r>
        <w:rPr>
          <w:rFonts w:ascii="Arial" w:cs="Arial" w:eastAsia="Arial" w:hAnsi="Arial"/>
          <w:sz w:val="16"/>
          <w:szCs w:val="16"/>
          <w:i w:val="1"/>
          <w:iCs w:val="1"/>
          <w:color w:val="auto"/>
        </w:rPr>
        <w:t>I</w:t>
      </w:r>
      <w:r>
        <w:rPr>
          <w:rFonts w:ascii="Arial" w:cs="Arial" w:eastAsia="Arial" w:hAnsi="Arial"/>
          <w:sz w:val="15"/>
          <w:szCs w:val="15"/>
          <w:i w:val="1"/>
          <w:iCs w:val="1"/>
          <w:color w:val="auto"/>
        </w:rPr>
        <w:t>nterest Rate Risk.</w:t>
      </w:r>
      <w:r>
        <w:rPr>
          <w:rFonts w:ascii="Arial" w:cs="Arial" w:eastAsia="Arial" w:hAnsi="Arial"/>
          <w:sz w:val="16"/>
          <w:szCs w:val="16"/>
          <w:i w:val="1"/>
          <w:iCs w:val="1"/>
          <w:color w:val="auto"/>
        </w:rPr>
        <w:t xml:space="preserve"> </w:t>
      </w:r>
      <w:r>
        <w:rPr>
          <w:rFonts w:ascii="Arial" w:cs="Arial" w:eastAsia="Arial" w:hAnsi="Arial"/>
          <w:sz w:val="16"/>
          <w:szCs w:val="16"/>
          <w:color w:val="auto"/>
        </w:rPr>
        <w:t>The primary objective of our investment activities is to preserve principal while at the same time maximize the income we receive from our</w:t>
      </w:r>
      <w:r>
        <w:rPr>
          <w:rFonts w:ascii="Arial" w:cs="Arial" w:eastAsia="Arial" w:hAnsi="Arial"/>
          <w:sz w:val="16"/>
          <w:szCs w:val="16"/>
          <w:i w:val="1"/>
          <w:iCs w:val="1"/>
          <w:color w:val="auto"/>
        </w:rPr>
        <w:t xml:space="preserve"> </w:t>
      </w:r>
      <w:r>
        <w:rPr>
          <w:rFonts w:ascii="Arial" w:cs="Arial" w:eastAsia="Arial" w:hAnsi="Arial"/>
          <w:sz w:val="16"/>
          <w:szCs w:val="16"/>
          <w:color w:val="auto"/>
        </w:rPr>
        <w:t>investments without significantly increasing risk. Some of the securities in which we have invested may be subject to market risk. This means that a change in prevailing interest rates may cause the principal amount of the investment to fluctuate. For example, if we hold a security that was issued with a fixed interest rate at the then-prevailing rate and the prevailing interest rate later rises, the principal amount of our investment will probably decline. Also, variable rate securities may produce less income than expected if interest rates fall. To minimize this risk, we maintain our portfolio of cash equivalents and short-term investments in a variety of fixed and variable rate securities including money market funds, corporate debt securities, Federal, State, county and municipal debt securities and auction rate securities. In general, money market funds are not subject to market risk because the interest paid on such funds fluctuates with the prevailing interest rate. The following table presents the amounts of our cash equivalents and short-term investments that are subject to market risk by range of expected maturity and weighted-average interest rates as of April 30, 2006 (in thousands). This table does not include money market funds because those funds are not subject to market risk. Although auction rate securities generally have legally stated maturities in excess of one year, auction rate securities are presented below with an expected fiscal year maturity date in 2007 because such securities are structured with short-term interest reset dates of generally less than 90 days at which time we can sell or continue to hold the securities at par.</w:t>
      </w:r>
    </w:p>
    <w:p>
      <w:pPr>
        <w:spacing w:after="0" w:line="147"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660" w:type="dxa"/>
            <w:vAlign w:val="bottom"/>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2680" w:type="dxa"/>
            <w:vAlign w:val="bottom"/>
            <w:tcBorders>
              <w:bottom w:val="single" w:sz="8" w:color="auto"/>
            </w:tcBorders>
            <w:gridSpan w:val="7"/>
          </w:tcPr>
          <w:p>
            <w:pPr>
              <w:jc w:val="right"/>
              <w:ind w:right="185"/>
              <w:spacing w:after="0"/>
              <w:rPr>
                <w:sz w:val="20"/>
                <w:szCs w:val="20"/>
                <w:color w:val="auto"/>
              </w:rPr>
            </w:pPr>
            <w:r>
              <w:rPr>
                <w:rFonts w:ascii="Arial" w:cs="Arial" w:eastAsia="Arial" w:hAnsi="Arial"/>
                <w:sz w:val="14"/>
                <w:szCs w:val="14"/>
                <w:b w:val="1"/>
                <w:bCs w:val="1"/>
                <w:color w:val="auto"/>
              </w:rPr>
              <w:t>Expected Fiscal Year Maturity Date</w:t>
            </w:r>
          </w:p>
        </w:tc>
        <w:tc>
          <w:tcPr>
            <w:tcW w:w="24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r>
      <w:tr>
        <w:trPr>
          <w:trHeight w:val="129"/>
        </w:trPr>
        <w:tc>
          <w:tcPr>
            <w:tcW w:w="36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00" w:type="dxa"/>
            <w:vAlign w:val="bottom"/>
          </w:tcPr>
          <w:p>
            <w:pPr>
              <w:jc w:val="right"/>
              <w:ind w:right="214"/>
              <w:spacing w:after="0" w:line="129" w:lineRule="exact"/>
              <w:rPr>
                <w:sz w:val="20"/>
                <w:szCs w:val="20"/>
                <w:color w:val="auto"/>
              </w:rPr>
            </w:pPr>
            <w:r>
              <w:rPr>
                <w:rFonts w:ascii="Arial" w:cs="Arial" w:eastAsia="Arial" w:hAnsi="Arial"/>
                <w:sz w:val="14"/>
                <w:szCs w:val="14"/>
                <w:b w:val="1"/>
                <w:bCs w:val="1"/>
                <w:color w:val="auto"/>
              </w:rPr>
              <w:t>2007</w:t>
            </w:r>
          </w:p>
        </w:tc>
        <w:tc>
          <w:tcPr>
            <w:tcW w:w="2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80" w:type="dxa"/>
            <w:vAlign w:val="bottom"/>
          </w:tcPr>
          <w:p>
            <w:pPr>
              <w:jc w:val="right"/>
              <w:ind w:right="214"/>
              <w:spacing w:after="0" w:line="129" w:lineRule="exact"/>
              <w:rPr>
                <w:sz w:val="20"/>
                <w:szCs w:val="20"/>
                <w:color w:val="auto"/>
              </w:rPr>
            </w:pPr>
            <w:r>
              <w:rPr>
                <w:rFonts w:ascii="Arial" w:cs="Arial" w:eastAsia="Arial" w:hAnsi="Arial"/>
                <w:sz w:val="14"/>
                <w:szCs w:val="14"/>
                <w:b w:val="1"/>
                <w:bCs w:val="1"/>
                <w:color w:val="auto"/>
              </w:rPr>
              <w:t>2008</w:t>
            </w:r>
          </w:p>
        </w:tc>
        <w:tc>
          <w:tcPr>
            <w:tcW w:w="2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80" w:type="dxa"/>
            <w:vAlign w:val="bottom"/>
          </w:tcPr>
          <w:p>
            <w:pPr>
              <w:jc w:val="right"/>
              <w:ind w:right="216"/>
              <w:spacing w:after="0" w:line="129" w:lineRule="exact"/>
              <w:rPr>
                <w:sz w:val="20"/>
                <w:szCs w:val="20"/>
                <w:color w:val="auto"/>
              </w:rPr>
            </w:pPr>
            <w:r>
              <w:rPr>
                <w:rFonts w:ascii="Arial" w:cs="Arial" w:eastAsia="Arial" w:hAnsi="Arial"/>
                <w:sz w:val="14"/>
                <w:szCs w:val="14"/>
                <w:b w:val="1"/>
                <w:bCs w:val="1"/>
                <w:color w:val="auto"/>
              </w:rPr>
              <w:t>2009</w:t>
            </w:r>
          </w:p>
        </w:tc>
        <w:tc>
          <w:tcPr>
            <w:tcW w:w="2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60" w:type="dxa"/>
            <w:vAlign w:val="bottom"/>
          </w:tcPr>
          <w:p>
            <w:pPr>
              <w:jc w:val="right"/>
              <w:ind w:right="194"/>
              <w:spacing w:after="0" w:line="129" w:lineRule="exact"/>
              <w:rPr>
                <w:sz w:val="20"/>
                <w:szCs w:val="20"/>
                <w:color w:val="auto"/>
              </w:rPr>
            </w:pPr>
            <w:r>
              <w:rPr>
                <w:rFonts w:ascii="Arial" w:cs="Arial" w:eastAsia="Arial" w:hAnsi="Arial"/>
                <w:sz w:val="14"/>
                <w:szCs w:val="14"/>
                <w:b w:val="1"/>
                <w:bCs w:val="1"/>
                <w:color w:val="auto"/>
              </w:rPr>
              <w:t>2010</w:t>
            </w:r>
          </w:p>
        </w:tc>
        <w:tc>
          <w:tcPr>
            <w:tcW w:w="220" w:type="dxa"/>
            <w:vAlign w:val="bottom"/>
          </w:tcPr>
          <w:p>
            <w:pPr>
              <w:spacing w:after="0"/>
              <w:rPr>
                <w:sz w:val="11"/>
                <w:szCs w:val="11"/>
                <w:color w:val="auto"/>
              </w:rPr>
            </w:pPr>
          </w:p>
        </w:tc>
        <w:tc>
          <w:tcPr>
            <w:tcW w:w="66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rPr>
              <w:t>2011</w:t>
            </w:r>
          </w:p>
        </w:tc>
        <w:tc>
          <w:tcPr>
            <w:tcW w:w="2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gridSpan w:val="2"/>
          </w:tcPr>
          <w:p>
            <w:pPr>
              <w:jc w:val="right"/>
              <w:ind w:right="480"/>
              <w:spacing w:after="0" w:line="129" w:lineRule="exact"/>
              <w:rPr>
                <w:sz w:val="20"/>
                <w:szCs w:val="20"/>
                <w:color w:val="auto"/>
              </w:rPr>
            </w:pPr>
            <w:r>
              <w:rPr>
                <w:rFonts w:ascii="Arial" w:cs="Arial" w:eastAsia="Arial" w:hAnsi="Arial"/>
                <w:sz w:val="14"/>
                <w:szCs w:val="14"/>
                <w:b w:val="1"/>
                <w:bCs w:val="1"/>
                <w:color w:val="auto"/>
              </w:rPr>
              <w:t>Total</w:t>
            </w: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80" w:type="dxa"/>
            <w:vAlign w:val="bottom"/>
          </w:tcPr>
          <w:p>
            <w:pPr>
              <w:jc w:val="right"/>
              <w:ind w:right="36"/>
              <w:spacing w:after="0" w:line="129" w:lineRule="exact"/>
              <w:rPr>
                <w:sz w:val="20"/>
                <w:szCs w:val="20"/>
                <w:color w:val="auto"/>
              </w:rPr>
            </w:pPr>
            <w:r>
              <w:rPr>
                <w:rFonts w:ascii="Arial" w:cs="Arial" w:eastAsia="Arial" w:hAnsi="Arial"/>
                <w:sz w:val="14"/>
                <w:szCs w:val="14"/>
                <w:b w:val="1"/>
                <w:bCs w:val="1"/>
                <w:color w:val="auto"/>
                <w:w w:val="95"/>
              </w:rPr>
              <w:t>Fair Value</w:t>
            </w:r>
          </w:p>
        </w:tc>
        <w:tc>
          <w:tcPr>
            <w:tcW w:w="20" w:type="dxa"/>
            <w:vAlign w:val="bottom"/>
          </w:tcPr>
          <w:p>
            <w:pPr>
              <w:spacing w:after="0"/>
              <w:rPr>
                <w:sz w:val="11"/>
                <w:szCs w:val="11"/>
                <w:color w:val="auto"/>
              </w:rPr>
            </w:pPr>
          </w:p>
        </w:tc>
      </w:tr>
      <w:tr>
        <w:trPr>
          <w:trHeight w:val="210"/>
        </w:trPr>
        <w:tc>
          <w:tcPr>
            <w:tcW w:w="36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Variable Rate</w:t>
            </w:r>
          </w:p>
        </w:tc>
        <w:tc>
          <w:tcPr>
            <w:tcW w:w="200" w:type="dxa"/>
            <w:vAlign w:val="bottom"/>
            <w:tcBorders>
              <w:top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263,086</w:t>
            </w:r>
          </w:p>
        </w:tc>
        <w:tc>
          <w:tcPr>
            <w:tcW w:w="2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8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jc w:val="right"/>
              <w:ind w:right="445"/>
              <w:spacing w:after="0"/>
              <w:rPr>
                <w:sz w:val="20"/>
                <w:szCs w:val="20"/>
                <w:color w:val="auto"/>
              </w:rPr>
            </w:pPr>
            <w:r>
              <w:rPr>
                <w:rFonts w:ascii="Arial" w:cs="Arial" w:eastAsia="Arial" w:hAnsi="Arial"/>
                <w:sz w:val="15"/>
                <w:szCs w:val="15"/>
                <w:color w:val="auto"/>
                <w:w w:val="71"/>
              </w:rPr>
              <w:t>$</w:t>
            </w:r>
          </w:p>
        </w:tc>
        <w:tc>
          <w:tcPr>
            <w:tcW w:w="240" w:type="dxa"/>
            <w:vAlign w:val="bottom"/>
            <w:tcBorders>
              <w:top w:val="single" w:sz="8" w:color="auto"/>
            </w:tcBorders>
            <w:shd w:val="clear" w:color="auto" w:fill="CCEEFF"/>
          </w:tcPr>
          <w:p>
            <w:pPr>
              <w:ind w:left="60"/>
              <w:spacing w:after="0"/>
              <w:rPr>
                <w:sz w:val="20"/>
                <w:szCs w:val="20"/>
                <w:color w:val="auto"/>
              </w:rPr>
            </w:pPr>
            <w:r>
              <w:rPr>
                <w:rFonts w:ascii="Arial" w:cs="Arial" w:eastAsia="Arial" w:hAnsi="Arial"/>
                <w:sz w:val="18"/>
                <w:szCs w:val="18"/>
                <w:color w:val="auto"/>
                <w:w w:val="88"/>
              </w:rPr>
              <w:t>—</w:t>
            </w:r>
          </w:p>
        </w:tc>
        <w:tc>
          <w:tcPr>
            <w:tcW w:w="28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263,086</w:t>
            </w:r>
          </w:p>
        </w:tc>
        <w:tc>
          <w:tcPr>
            <w:tcW w:w="20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263,086</w:t>
            </w:r>
          </w:p>
        </w:tc>
        <w:tc>
          <w:tcPr>
            <w:tcW w:w="20" w:type="dxa"/>
            <w:vAlign w:val="bottom"/>
            <w:tcBorders>
              <w:top w:val="single" w:sz="8" w:color="CCEEFF"/>
            </w:tcBorders>
            <w:shd w:val="clear" w:color="auto" w:fill="CCEEFF"/>
          </w:tcPr>
          <w:p>
            <w:pPr>
              <w:spacing w:after="0"/>
              <w:rPr>
                <w:sz w:val="18"/>
                <w:szCs w:val="18"/>
                <w:color w:val="auto"/>
              </w:rPr>
            </w:pPr>
          </w:p>
        </w:tc>
      </w:tr>
      <w:tr>
        <w:trPr>
          <w:trHeight w:val="216"/>
        </w:trPr>
        <w:tc>
          <w:tcPr>
            <w:tcW w:w="3660" w:type="dxa"/>
            <w:vAlign w:val="bottom"/>
          </w:tcPr>
          <w:p>
            <w:pPr>
              <w:spacing w:after="0"/>
              <w:rPr>
                <w:sz w:val="20"/>
                <w:szCs w:val="20"/>
                <w:color w:val="auto"/>
              </w:rPr>
            </w:pPr>
            <w:r>
              <w:rPr>
                <w:rFonts w:ascii="Arial" w:cs="Arial" w:eastAsia="Arial" w:hAnsi="Arial"/>
                <w:sz w:val="18"/>
                <w:szCs w:val="18"/>
                <w:color w:val="auto"/>
              </w:rPr>
              <w:t>Average Interest Rate</w:t>
            </w:r>
          </w:p>
        </w:tc>
        <w:tc>
          <w:tcPr>
            <w:tcW w:w="200" w:type="dxa"/>
            <w:vAlign w:val="bottom"/>
          </w:tcPr>
          <w:p>
            <w:pPr>
              <w:spacing w:after="0"/>
              <w:rPr>
                <w:sz w:val="18"/>
                <w:szCs w:val="18"/>
                <w:color w:val="auto"/>
              </w:rPr>
            </w:pPr>
          </w:p>
        </w:tc>
        <w:tc>
          <w:tcPr>
            <w:tcW w:w="980" w:type="dxa"/>
            <w:vAlign w:val="bottom"/>
            <w:gridSpan w:val="2"/>
          </w:tcPr>
          <w:p>
            <w:pPr>
              <w:jc w:val="right"/>
              <w:ind w:right="140"/>
              <w:spacing w:after="0"/>
              <w:rPr>
                <w:sz w:val="20"/>
                <w:szCs w:val="20"/>
                <w:color w:val="auto"/>
              </w:rPr>
            </w:pPr>
            <w:r>
              <w:rPr>
                <w:rFonts w:ascii="Arial" w:cs="Arial" w:eastAsia="Arial" w:hAnsi="Arial"/>
                <w:sz w:val="18"/>
                <w:szCs w:val="18"/>
                <w:color w:val="auto"/>
              </w:rPr>
              <w:t>4.82%</w:t>
            </w:r>
          </w:p>
        </w:tc>
        <w:tc>
          <w:tcPr>
            <w:tcW w:w="200" w:type="dxa"/>
            <w:vAlign w:val="bottom"/>
          </w:tcPr>
          <w:p>
            <w:pPr>
              <w:spacing w:after="0"/>
              <w:rPr>
                <w:sz w:val="18"/>
                <w:szCs w:val="18"/>
                <w:color w:val="auto"/>
              </w:rPr>
            </w:pPr>
          </w:p>
        </w:tc>
        <w:tc>
          <w:tcPr>
            <w:tcW w:w="96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96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8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520" w:type="dxa"/>
            <w:vAlign w:val="bottom"/>
            <w:gridSpan w:val="2"/>
          </w:tcPr>
          <w:p>
            <w:pPr>
              <w:ind w:left="6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880" w:type="dxa"/>
            <w:vAlign w:val="bottom"/>
            <w:gridSpan w:val="2"/>
          </w:tcPr>
          <w:p>
            <w:pPr>
              <w:jc w:val="right"/>
              <w:ind w:right="60"/>
              <w:spacing w:after="0"/>
              <w:rPr>
                <w:sz w:val="20"/>
                <w:szCs w:val="20"/>
                <w:color w:val="auto"/>
              </w:rPr>
            </w:pPr>
            <w:r>
              <w:rPr>
                <w:rFonts w:ascii="Arial" w:cs="Arial" w:eastAsia="Arial" w:hAnsi="Arial"/>
                <w:sz w:val="18"/>
                <w:szCs w:val="18"/>
                <w:color w:val="auto"/>
              </w:rPr>
              <w:t>4.82%</w:t>
            </w: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 w:type="dxa"/>
            <w:vAlign w:val="bottom"/>
          </w:tcPr>
          <w:p>
            <w:pPr>
              <w:spacing w:after="0"/>
              <w:rPr>
                <w:sz w:val="18"/>
                <w:szCs w:val="18"/>
                <w:color w:val="auto"/>
              </w:rPr>
            </w:pPr>
          </w:p>
        </w:tc>
      </w:tr>
      <w:tr>
        <w:trPr>
          <w:trHeight w:val="216"/>
        </w:trPr>
        <w:tc>
          <w:tcPr>
            <w:tcW w:w="3660" w:type="dxa"/>
            <w:vAlign w:val="bottom"/>
            <w:shd w:val="clear" w:color="auto" w:fill="CCEEFF"/>
          </w:tcPr>
          <w:p>
            <w:pPr>
              <w:spacing w:after="0"/>
              <w:rPr>
                <w:sz w:val="20"/>
                <w:szCs w:val="20"/>
                <w:color w:val="auto"/>
              </w:rPr>
            </w:pPr>
            <w:r>
              <w:rPr>
                <w:rFonts w:ascii="Arial" w:cs="Arial" w:eastAsia="Arial" w:hAnsi="Arial"/>
                <w:sz w:val="18"/>
                <w:szCs w:val="18"/>
                <w:color w:val="auto"/>
              </w:rPr>
              <w:t>Fixed Rate</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68,014</w:t>
            </w: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37,729</w:t>
            </w: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20,177</w:t>
            </w: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5,010</w:t>
            </w:r>
          </w:p>
        </w:tc>
        <w:tc>
          <w:tcPr>
            <w:tcW w:w="22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445"/>
              <w:spacing w:after="0"/>
              <w:rPr>
                <w:sz w:val="20"/>
                <w:szCs w:val="20"/>
                <w:color w:val="auto"/>
              </w:rPr>
            </w:pPr>
            <w:r>
              <w:rPr>
                <w:rFonts w:ascii="Arial" w:cs="Arial" w:eastAsia="Arial" w:hAnsi="Arial"/>
                <w:sz w:val="18"/>
                <w:szCs w:val="18"/>
                <w:color w:val="auto"/>
              </w:rPr>
              <w:t>$</w:t>
            </w:r>
          </w:p>
        </w:tc>
        <w:tc>
          <w:tcPr>
            <w:tcW w:w="52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130,930</w:t>
            </w:r>
          </w:p>
        </w:tc>
        <w:tc>
          <w:tcPr>
            <w:tcW w:w="200" w:type="dxa"/>
            <w:vAlign w:val="bottom"/>
            <w:shd w:val="clear" w:color="auto" w:fill="CCEEFF"/>
          </w:tcPr>
          <w:p>
            <w:pPr>
              <w:spacing w:after="0"/>
              <w:rPr>
                <w:sz w:val="18"/>
                <w:szCs w:val="18"/>
                <w:color w:val="auto"/>
              </w:rPr>
            </w:pPr>
          </w:p>
        </w:tc>
        <w:tc>
          <w:tcPr>
            <w:tcW w:w="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128,935</w:t>
            </w:r>
          </w:p>
        </w:tc>
        <w:tc>
          <w:tcPr>
            <w:tcW w:w="20" w:type="dxa"/>
            <w:vAlign w:val="bottom"/>
            <w:shd w:val="clear" w:color="auto" w:fill="CCEEFF"/>
          </w:tcPr>
          <w:p>
            <w:pPr>
              <w:spacing w:after="0"/>
              <w:rPr>
                <w:sz w:val="18"/>
                <w:szCs w:val="18"/>
                <w:color w:val="auto"/>
              </w:rPr>
            </w:pPr>
          </w:p>
        </w:tc>
      </w:tr>
      <w:tr>
        <w:trPr>
          <w:trHeight w:val="230"/>
        </w:trPr>
        <w:tc>
          <w:tcPr>
            <w:tcW w:w="3660" w:type="dxa"/>
            <w:vAlign w:val="bottom"/>
          </w:tcPr>
          <w:p>
            <w:pPr>
              <w:spacing w:after="0"/>
              <w:rPr>
                <w:sz w:val="20"/>
                <w:szCs w:val="20"/>
                <w:color w:val="auto"/>
              </w:rPr>
            </w:pPr>
            <w:r>
              <w:rPr>
                <w:rFonts w:ascii="Arial" w:cs="Arial" w:eastAsia="Arial" w:hAnsi="Arial"/>
                <w:sz w:val="18"/>
                <w:szCs w:val="18"/>
                <w:color w:val="auto"/>
              </w:rPr>
              <w:t>Average Interest Rate</w:t>
            </w:r>
          </w:p>
        </w:tc>
        <w:tc>
          <w:tcPr>
            <w:tcW w:w="200" w:type="dxa"/>
            <w:vAlign w:val="bottom"/>
          </w:tcPr>
          <w:p>
            <w:pPr>
              <w:spacing w:after="0"/>
              <w:rPr>
                <w:sz w:val="20"/>
                <w:szCs w:val="20"/>
                <w:color w:val="auto"/>
              </w:rPr>
            </w:pPr>
          </w:p>
        </w:tc>
        <w:tc>
          <w:tcPr>
            <w:tcW w:w="980" w:type="dxa"/>
            <w:vAlign w:val="bottom"/>
            <w:gridSpan w:val="2"/>
          </w:tcPr>
          <w:p>
            <w:pPr>
              <w:jc w:val="right"/>
              <w:ind w:right="140"/>
              <w:spacing w:after="0"/>
              <w:rPr>
                <w:sz w:val="20"/>
                <w:szCs w:val="20"/>
                <w:color w:val="auto"/>
              </w:rPr>
            </w:pPr>
            <w:r>
              <w:rPr>
                <w:rFonts w:ascii="Arial" w:cs="Arial" w:eastAsia="Arial" w:hAnsi="Arial"/>
                <w:sz w:val="18"/>
                <w:szCs w:val="18"/>
                <w:color w:val="auto"/>
              </w:rPr>
              <w:t>3.00%</w:t>
            </w:r>
          </w:p>
        </w:tc>
        <w:tc>
          <w:tcPr>
            <w:tcW w:w="200" w:type="dxa"/>
            <w:vAlign w:val="bottom"/>
          </w:tcPr>
          <w:p>
            <w:pPr>
              <w:spacing w:after="0"/>
              <w:rPr>
                <w:sz w:val="20"/>
                <w:szCs w:val="20"/>
                <w:color w:val="auto"/>
              </w:rPr>
            </w:pPr>
          </w:p>
        </w:tc>
        <w:tc>
          <w:tcPr>
            <w:tcW w:w="960" w:type="dxa"/>
            <w:vAlign w:val="bottom"/>
            <w:gridSpan w:val="2"/>
          </w:tcPr>
          <w:p>
            <w:pPr>
              <w:jc w:val="right"/>
              <w:ind w:right="120"/>
              <w:spacing w:after="0"/>
              <w:rPr>
                <w:sz w:val="20"/>
                <w:szCs w:val="20"/>
                <w:color w:val="auto"/>
              </w:rPr>
            </w:pPr>
            <w:r>
              <w:rPr>
                <w:rFonts w:ascii="Arial" w:cs="Arial" w:eastAsia="Arial" w:hAnsi="Arial"/>
                <w:sz w:val="18"/>
                <w:szCs w:val="18"/>
                <w:color w:val="auto"/>
              </w:rPr>
              <w:t>3.05%</w:t>
            </w:r>
          </w:p>
        </w:tc>
        <w:tc>
          <w:tcPr>
            <w:tcW w:w="200" w:type="dxa"/>
            <w:vAlign w:val="bottom"/>
          </w:tcPr>
          <w:p>
            <w:pPr>
              <w:spacing w:after="0"/>
              <w:rPr>
                <w:sz w:val="20"/>
                <w:szCs w:val="20"/>
                <w:color w:val="auto"/>
              </w:rPr>
            </w:pPr>
          </w:p>
        </w:tc>
        <w:tc>
          <w:tcPr>
            <w:tcW w:w="960" w:type="dxa"/>
            <w:vAlign w:val="bottom"/>
            <w:gridSpan w:val="2"/>
          </w:tcPr>
          <w:p>
            <w:pPr>
              <w:jc w:val="right"/>
              <w:ind w:right="120"/>
              <w:spacing w:after="0"/>
              <w:rPr>
                <w:sz w:val="20"/>
                <w:szCs w:val="20"/>
                <w:color w:val="auto"/>
              </w:rPr>
            </w:pPr>
            <w:r>
              <w:rPr>
                <w:rFonts w:ascii="Arial" w:cs="Arial" w:eastAsia="Arial" w:hAnsi="Arial"/>
                <w:sz w:val="18"/>
                <w:szCs w:val="18"/>
                <w:color w:val="auto"/>
              </w:rPr>
              <w:t>3.57%</w:t>
            </w:r>
          </w:p>
        </w:tc>
        <w:tc>
          <w:tcPr>
            <w:tcW w:w="180" w:type="dxa"/>
            <w:vAlign w:val="bottom"/>
          </w:tcPr>
          <w:p>
            <w:pPr>
              <w:spacing w:after="0"/>
              <w:rPr>
                <w:sz w:val="20"/>
                <w:szCs w:val="20"/>
                <w:color w:val="auto"/>
              </w:rPr>
            </w:pPr>
          </w:p>
        </w:tc>
        <w:tc>
          <w:tcPr>
            <w:tcW w:w="880" w:type="dxa"/>
            <w:vAlign w:val="bottom"/>
            <w:gridSpan w:val="2"/>
          </w:tcPr>
          <w:p>
            <w:pPr>
              <w:jc w:val="right"/>
              <w:ind w:right="60"/>
              <w:spacing w:after="0"/>
              <w:rPr>
                <w:sz w:val="20"/>
                <w:szCs w:val="20"/>
                <w:color w:val="auto"/>
              </w:rPr>
            </w:pPr>
            <w:r>
              <w:rPr>
                <w:rFonts w:ascii="Arial" w:cs="Arial" w:eastAsia="Arial" w:hAnsi="Arial"/>
                <w:sz w:val="18"/>
                <w:szCs w:val="18"/>
                <w:color w:val="auto"/>
              </w:rPr>
              <w:t>4.75%</w:t>
            </w:r>
          </w:p>
        </w:tc>
        <w:tc>
          <w:tcPr>
            <w:tcW w:w="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520" w:type="dxa"/>
            <w:vAlign w:val="bottom"/>
            <w:gridSpan w:val="2"/>
          </w:tcPr>
          <w:p>
            <w:pPr>
              <w:ind w:left="6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880" w:type="dxa"/>
            <w:vAlign w:val="bottom"/>
            <w:gridSpan w:val="2"/>
          </w:tcPr>
          <w:p>
            <w:pPr>
              <w:jc w:val="right"/>
              <w:ind w:right="60"/>
              <w:spacing w:after="0"/>
              <w:rPr>
                <w:sz w:val="20"/>
                <w:szCs w:val="20"/>
                <w:color w:val="auto"/>
              </w:rPr>
            </w:pPr>
            <w:r>
              <w:rPr>
                <w:rFonts w:ascii="Arial" w:cs="Arial" w:eastAsia="Arial" w:hAnsi="Arial"/>
                <w:sz w:val="18"/>
                <w:szCs w:val="18"/>
                <w:color w:val="auto"/>
              </w:rPr>
              <w:t>3.17%</w:t>
            </w:r>
          </w:p>
        </w:tc>
        <w:tc>
          <w:tcPr>
            <w:tcW w:w="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r>
    </w:tbl>
    <w:p>
      <w:pPr>
        <w:spacing w:after="0" w:line="241" w:lineRule="exact"/>
        <w:rPr>
          <w:sz w:val="20"/>
          <w:szCs w:val="20"/>
          <w:color w:val="auto"/>
        </w:rPr>
      </w:pPr>
    </w:p>
    <w:p>
      <w:pPr>
        <w:jc w:val="both"/>
        <w:ind w:right="180" w:firstLine="259"/>
        <w:spacing w:after="0" w:line="264" w:lineRule="auto"/>
        <w:rPr>
          <w:sz w:val="20"/>
          <w:szCs w:val="20"/>
          <w:color w:val="auto"/>
        </w:rPr>
      </w:pPr>
      <w:r>
        <w:rPr>
          <w:rFonts w:ascii="Arial" w:cs="Arial" w:eastAsia="Arial" w:hAnsi="Arial"/>
          <w:sz w:val="18"/>
          <w:szCs w:val="18"/>
          <w:color w:val="auto"/>
        </w:rPr>
        <w:t>At any time, fluctuations in interest rates could affect interest earnings on our cash, cash equivalents, and short-term investments, or the fair value of our investment portfolio. A 10% move in interest rates as of April 30, 2006 would have an immaterial effect on our financial position, results of operations and cash flows.</w:t>
      </w:r>
    </w:p>
    <w:p>
      <w:pPr>
        <w:spacing w:after="0" w:line="181" w:lineRule="exact"/>
        <w:rPr>
          <w:sz w:val="20"/>
          <w:szCs w:val="20"/>
          <w:color w:val="auto"/>
        </w:rPr>
      </w:pPr>
    </w:p>
    <w:p>
      <w:pPr>
        <w:spacing w:after="0"/>
        <w:rPr>
          <w:sz w:val="20"/>
          <w:szCs w:val="20"/>
          <w:color w:val="auto"/>
        </w:rPr>
      </w:pPr>
      <w:r>
        <w:rPr>
          <w:rFonts w:ascii="Arial" w:cs="Arial" w:eastAsia="Arial" w:hAnsi="Arial"/>
          <w:sz w:val="17"/>
          <w:szCs w:val="17"/>
          <w:i w:val="1"/>
          <w:iCs w:val="1"/>
          <w:color w:val="auto"/>
        </w:rPr>
        <w:t>I</w:t>
      </w:r>
      <w:r>
        <w:rPr>
          <w:rFonts w:ascii="Arial" w:cs="Arial" w:eastAsia="Arial" w:hAnsi="Arial"/>
          <w:sz w:val="16"/>
          <w:szCs w:val="16"/>
          <w:i w:val="1"/>
          <w:iCs w:val="1"/>
          <w:color w:val="auto"/>
        </w:rPr>
        <w:t>nvestment Risk.</w:t>
      </w:r>
      <w:r>
        <w:rPr>
          <w:rFonts w:ascii="Arial" w:cs="Arial" w:eastAsia="Arial" w:hAnsi="Arial"/>
          <w:sz w:val="17"/>
          <w:szCs w:val="17"/>
          <w:i w:val="1"/>
          <w:iCs w:val="1"/>
          <w:color w:val="auto"/>
        </w:rPr>
        <w:t xml:space="preserve"> </w:t>
      </w:r>
      <w:r>
        <w:rPr>
          <w:rFonts w:ascii="Arial" w:cs="Arial" w:eastAsia="Arial" w:hAnsi="Arial"/>
          <w:sz w:val="17"/>
          <w:szCs w:val="17"/>
          <w:color w:val="auto"/>
        </w:rPr>
        <w:t>We invest in equity instruments of privately-held companies for business and strategic purposes. These investments, which totaled</w:t>
      </w:r>
    </w:p>
    <w:p>
      <w:pPr>
        <w:spacing w:after="0" w:line="35" w:lineRule="exact"/>
        <w:rPr>
          <w:sz w:val="20"/>
          <w:szCs w:val="20"/>
          <w:color w:val="auto"/>
        </w:rPr>
      </w:pPr>
    </w:p>
    <w:p>
      <w:pPr>
        <w:ind w:right="180"/>
        <w:spacing w:after="0" w:line="302" w:lineRule="auto"/>
        <w:rPr>
          <w:sz w:val="20"/>
          <w:szCs w:val="20"/>
          <w:color w:val="auto"/>
        </w:rPr>
      </w:pPr>
      <w:r>
        <w:rPr>
          <w:rFonts w:ascii="Arial" w:cs="Arial" w:eastAsia="Arial" w:hAnsi="Arial"/>
          <w:sz w:val="16"/>
          <w:szCs w:val="16"/>
          <w:color w:val="auto"/>
        </w:rPr>
        <w:t>$11.7 million at April 30, 2006, are included in other non-current assets in the accompanying balance sheets and are accounted for under the cost method because our ownership is less than 20% and we do not have the ability to exercise significant influence over the operations on these companies. We monitor these investments for impairment and make appropriate reductions in carrying value when an impairment is deemed to be other than temporary.</w:t>
      </w:r>
    </w:p>
    <w:p>
      <w:pPr>
        <w:spacing w:after="0" w:line="155" w:lineRule="exact"/>
        <w:rPr>
          <w:sz w:val="20"/>
          <w:szCs w:val="20"/>
          <w:color w:val="auto"/>
        </w:rPr>
      </w:pPr>
    </w:p>
    <w:p>
      <w:pPr>
        <w:ind w:right="140"/>
        <w:spacing w:after="0" w:line="259" w:lineRule="auto"/>
        <w:rPr>
          <w:sz w:val="20"/>
          <w:szCs w:val="20"/>
          <w:color w:val="auto"/>
        </w:rPr>
      </w:pPr>
      <w:r>
        <w:rPr>
          <w:rFonts w:ascii="Arial" w:cs="Arial" w:eastAsia="Arial" w:hAnsi="Arial"/>
          <w:sz w:val="18"/>
          <w:szCs w:val="18"/>
          <w:i w:val="1"/>
          <w:iCs w:val="1"/>
          <w:color w:val="auto"/>
        </w:rPr>
        <w:t>F</w:t>
      </w:r>
      <w:r>
        <w:rPr>
          <w:rFonts w:ascii="Arial" w:cs="Arial" w:eastAsia="Arial" w:hAnsi="Arial"/>
          <w:sz w:val="17"/>
          <w:szCs w:val="17"/>
          <w:i w:val="1"/>
          <w:iCs w:val="1"/>
          <w:color w:val="auto"/>
        </w:rPr>
        <w:t>oreign Currency Exchange Risk.</w:t>
      </w:r>
      <w:r>
        <w:rPr>
          <w:rFonts w:ascii="Arial" w:cs="Arial" w:eastAsia="Arial" w:hAnsi="Arial"/>
          <w:sz w:val="18"/>
          <w:szCs w:val="18"/>
          <w:i w:val="1"/>
          <w:iCs w:val="1"/>
          <w:color w:val="auto"/>
        </w:rPr>
        <w:t xml:space="preserve"> </w:t>
      </w:r>
      <w:r>
        <w:rPr>
          <w:rFonts w:ascii="Arial" w:cs="Arial" w:eastAsia="Arial" w:hAnsi="Arial"/>
          <w:sz w:val="18"/>
          <w:szCs w:val="18"/>
          <w:color w:val="auto"/>
        </w:rPr>
        <w:t>Substantially all of our sales and the majority of our expenses to date have been denominated in United States dollars, and,</w:t>
      </w:r>
      <w:r>
        <w:rPr>
          <w:rFonts w:ascii="Arial" w:cs="Arial" w:eastAsia="Arial" w:hAnsi="Arial"/>
          <w:sz w:val="18"/>
          <w:szCs w:val="18"/>
          <w:i w:val="1"/>
          <w:iCs w:val="1"/>
          <w:color w:val="auto"/>
        </w:rPr>
        <w:t xml:space="preserve"> </w:t>
      </w:r>
      <w:r>
        <w:rPr>
          <w:rFonts w:ascii="Arial" w:cs="Arial" w:eastAsia="Arial" w:hAnsi="Arial"/>
          <w:sz w:val="18"/>
          <w:szCs w:val="18"/>
          <w:color w:val="auto"/>
        </w:rPr>
        <w:t>as a result, we have relatively little exposure to foreign currency exchange risk. Occasionally, we will enter into short-term forward exchange contracts to hedge exposures for purchases denominated in foreign currencies such as the Singapore Dollar and the New Israeli Shekel. We do not enter into any other derivative financial instruments for trading or speculative purposes.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229" w:lineRule="exact"/>
        <w:rPr>
          <w:sz w:val="20"/>
          <w:szCs w:val="20"/>
          <w:color w:val="auto"/>
        </w:rPr>
      </w:pPr>
    </w:p>
    <w:p>
      <w:pPr>
        <w:ind w:right="60" w:firstLine="259"/>
        <w:spacing w:after="0" w:line="293" w:lineRule="auto"/>
        <w:rPr>
          <w:sz w:val="20"/>
          <w:szCs w:val="20"/>
          <w:color w:val="auto"/>
        </w:rPr>
      </w:pPr>
      <w:r>
        <w:rPr>
          <w:rFonts w:ascii="Arial" w:cs="Arial" w:eastAsia="Arial" w:hAnsi="Arial"/>
          <w:sz w:val="16"/>
          <w:szCs w:val="16"/>
          <w:color w:val="auto"/>
        </w:rPr>
        <w:t>We maintain disclosure controls and procedures that are designed to ensure that information required to be disclosed in our Exchange Act reports is recorded, processed, summarized and reported within the time periods specified in the SEC’s rules and forms, and that such information is accumulated and communicated to our management, including our Chief Executive Officer and our Chief Financial Officer, as appropriate, to allow timely decisions regarding required disclosures. Management, including our Chief Executive Officer and our Chief Financial Officer, does not expect that our disclosure controls or procedures will prevent all error and all fraud. A control system, no matter how well conceived and operated, can provide only reasonable, not absolute, assurance that the objectives of the control system are met. Further, the benefits of controls must be considered relative to their costs. Because of the inherent</w:t>
      </w:r>
    </w:p>
    <w:p>
      <w:pPr>
        <w:sectPr>
          <w:pgSz w:w="11900" w:h="16907" w:orient="portrait"/>
          <w:cols w:equalWidth="0" w:num="1">
            <w:col w:w="11420"/>
          </w:cols>
          <w:pgMar w:left="240" w:top="864" w:right="239" w:bottom="0" w:gutter="0" w:footer="0" w:header="0"/>
        </w:sectPr>
      </w:pPr>
    </w:p>
    <w:bookmarkStart w:id="22" w:name="page23"/>
    <w:bookmarkEnd w:id="22"/>
    <w:p>
      <w:pPr>
        <w:spacing w:after="0" w:line="273" w:lineRule="auto"/>
        <w:rPr>
          <w:sz w:val="20"/>
          <w:szCs w:val="20"/>
          <w:color w:val="auto"/>
        </w:rPr>
      </w:pPr>
      <w:r>
        <w:rPr>
          <w:rFonts w:ascii="Arial" w:cs="Arial" w:eastAsia="Arial" w:hAnsi="Arial"/>
          <w:sz w:val="17"/>
          <w:szCs w:val="17"/>
          <w:color w:val="auto"/>
        </w:rPr>
        <w:t>limitations in all control systems, no evaluation of controls can provide absolute assurance that all control issues and instances of fraud, if any, have been detected. These inherent limitations include the realities that judgments in decision making can be faulty, and that breakdowns can occur because of simple error or mistake. Additionally, controls can be circumvented by the individual acts of some persons, by collusion of two or more people, or by management override of the control. The design of any system of controls is also based in part upon certain assumptions about the likelihood of future events, and there can be no assurance that any design will succeed in achieving its stated goals under all potential future conditions. Because of the inherent limitations in a cost-effective control system, misstatements due to error or fraud may occur and not be detected.</w:t>
      </w:r>
    </w:p>
    <w:p>
      <w:pPr>
        <w:spacing w:after="0" w:line="39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firstLine="259"/>
        <w:spacing w:after="0" w:line="259" w:lineRule="auto"/>
        <w:rPr>
          <w:sz w:val="20"/>
          <w:szCs w:val="20"/>
          <w:color w:val="auto"/>
        </w:rPr>
      </w:pPr>
      <w:r>
        <w:rPr>
          <w:rFonts w:ascii="Arial" w:cs="Arial" w:eastAsia="Arial" w:hAnsi="Arial"/>
          <w:sz w:val="18"/>
          <w:szCs w:val="18"/>
          <w:color w:val="auto"/>
        </w:rPr>
        <w:t>We carried out an evaluation, under the supervision and with the participation of management, including our Chief Executive Officer and our Chief Financial Officer, of the effectiveness of the design and operation of our disclosure controls and procedures as of April 30, 2006, the end of the quarterly period covered by this report. Based on the foregoing, our Chief Executive Officer and our Chief Financial Officer concluded that our disclosure controls and procedures were effective at the reasonable assurance level.</w:t>
      </w:r>
    </w:p>
    <w:p>
      <w:pPr>
        <w:spacing w:after="0" w:line="187" w:lineRule="exact"/>
        <w:rPr>
          <w:sz w:val="20"/>
          <w:szCs w:val="20"/>
          <w:color w:val="auto"/>
        </w:rPr>
      </w:pPr>
    </w:p>
    <w:p>
      <w:pPr>
        <w:ind w:right="40" w:firstLine="267"/>
        <w:spacing w:after="0" w:line="277" w:lineRule="auto"/>
        <w:rPr>
          <w:sz w:val="20"/>
          <w:szCs w:val="20"/>
          <w:color w:val="auto"/>
        </w:rPr>
      </w:pPr>
      <w:r>
        <w:rPr>
          <w:rFonts w:ascii="Arial" w:cs="Arial" w:eastAsia="Arial" w:hAnsi="Arial"/>
          <w:sz w:val="18"/>
          <w:szCs w:val="18"/>
          <w:color w:val="auto"/>
        </w:rPr>
        <w:t>There has been no change in our internal control over financial reporting during the most recent fiscal quarter that has materially affected, or is reasonably likely to materially affect, our internal control over financial reporting.</w:t>
      </w:r>
    </w:p>
    <w:p>
      <w:pPr>
        <w:spacing w:after="0" w:line="16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II. OTHER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229" w:lineRule="exact"/>
        <w:rPr>
          <w:sz w:val="20"/>
          <w:szCs w:val="20"/>
          <w:color w:val="auto"/>
        </w:rPr>
      </w:pPr>
    </w:p>
    <w:p>
      <w:pPr>
        <w:ind w:firstLine="259"/>
        <w:spacing w:after="0" w:line="271" w:lineRule="auto"/>
        <w:rPr>
          <w:sz w:val="20"/>
          <w:szCs w:val="20"/>
          <w:color w:val="auto"/>
        </w:rPr>
      </w:pPr>
      <w:r>
        <w:rPr>
          <w:rFonts w:ascii="Arial" w:cs="Arial" w:eastAsia="Arial" w:hAnsi="Arial"/>
          <w:sz w:val="17"/>
          <w:szCs w:val="17"/>
          <w:color w:val="auto"/>
        </w:rPr>
        <w:t xml:space="preserve">On July 31, 2001, a putative class action suit was filed against two investment banks that participated in the underwriting of our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 Marvell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consolidated with hundreds of other lawsuits filed by plaintiffs against approximately 40 underwriters and approximately 300 issuers across the United States.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On June 26, 2003, the plaintiffs announced that a settlement among plaintiffs, the issuer defendants and their directors and officers, and their insurers has been structured, a part of which provides that the insurers for all issuer defendants would guarantee up to $1 billion to investors who are class members, depending upon plaintiffs’ success against non-settling parties. Our board of directors has approved the proposed settlement, which will result in the plaintiffs’ dismissing the case against us and granting releases that extend to all of our officers and directors. Definitive settlement documentation was completed in early June 2004 and first presented to the court on June 14, 2004. On February 15, 2005, the court issued an opinion preliminarily approving the proposed settlement, contingent upon certain modifications being made to one aspect of the proposed settlement — the proposed “bar order”. The court ruled that it had no authority to deviate from the wording of the Private Securities Litigation Reform Act of 1995 and that any bar order that may issue should the proposed settlement be finally approved must be limited to the express wording of 15 U.S.C. section 78u-4(f)(7)(A). </w:t>
      </w:r>
      <w:r>
        <w:rPr>
          <w:rFonts w:ascii="Arial" w:cs="Arial" w:eastAsia="Arial" w:hAnsi="Arial"/>
          <w:sz w:val="16"/>
          <w:szCs w:val="16"/>
          <w:color w:val="auto"/>
        </w:rPr>
        <w:t>On May 2, 2005 the issuer defendants and plaintiffs jointly</w:t>
      </w:r>
      <w:r>
        <w:rPr>
          <w:rFonts w:ascii="Arial" w:cs="Arial" w:eastAsia="Arial" w:hAnsi="Arial"/>
          <w:sz w:val="17"/>
          <w:szCs w:val="17"/>
          <w:color w:val="auto"/>
        </w:rPr>
        <w:t xml:space="preserve"> </w:t>
      </w:r>
      <w:r>
        <w:rPr>
          <w:rFonts w:ascii="Arial" w:cs="Arial" w:eastAsia="Arial" w:hAnsi="Arial"/>
          <w:sz w:val="16"/>
          <w:szCs w:val="16"/>
          <w:color w:val="auto"/>
        </w:rPr>
        <w:t>submitted an amendment to the settlement agreement conforming the language of the settlement agreement with the court’s February 15, 2005 ruling regarding the bar order. The court on August 31, 2005 issued an order preliminarily approving the settlement and setting a public hearing on its fairness for April 24, 2006 due to difficulties in mailing the required notice to class members. On April 24, 2006, the court held a public hearing on the fairness of the proposed settlement. The court took the matter under submission and has not yet ruled. Based on currently available information, we do not believe that the ultimate disposition of the lawsuit will have a material adverse impact on our business, results of operations or financial condition. However, litigation is subject to inherent uncertainties and unfavorable rulings could occur. An unfavorable ruling, if the settlement proposal is not concluded, could include monetary damages. If an unfavorable ruling were to occur, there exists the possibility of a material adverse impact on our business, results of operations, financial condition or cash flows for the period in which the ruling occurs, or future periods. These claims and any resulting litigation could result in substantial costs and could divert the attention and resources of our management.</w:t>
      </w:r>
    </w:p>
    <w:p>
      <w:pPr>
        <w:spacing w:after="0" w:line="181" w:lineRule="exact"/>
        <w:rPr>
          <w:sz w:val="20"/>
          <w:szCs w:val="20"/>
          <w:color w:val="auto"/>
        </w:rPr>
      </w:pPr>
    </w:p>
    <w:p>
      <w:pPr>
        <w:ind w:right="260" w:firstLine="243"/>
        <w:spacing w:after="0" w:line="257" w:lineRule="auto"/>
        <w:rPr>
          <w:sz w:val="20"/>
          <w:szCs w:val="20"/>
          <w:color w:val="auto"/>
        </w:rPr>
      </w:pPr>
      <w:r>
        <w:rPr>
          <w:rFonts w:ascii="Arial" w:cs="Arial" w:eastAsia="Arial" w:hAnsi="Arial"/>
          <w:sz w:val="18"/>
          <w:szCs w:val="18"/>
          <w:color w:val="auto"/>
        </w:rPr>
        <w:t>On September 12, 2001, Jasmine Networks, Inc. (“Jasmine”) filed a lawsuit in the Santa Clara County Superior Court asserting claims against our personnel and us for improperly obtaining and using information and technologies during the course of the negotiations with our personnel regarding the potential acquisition of certain Jasmine assets by Marvell. The lawsuit claims that our officers improperly obtained and used such information and technologies after we signed a non-disclosure agreement with Jasmine. We believe the claims asserted against our officers and us are without merit and we intend to defend all claims vigorously.</w:t>
      </w:r>
    </w:p>
    <w:p>
      <w:pPr>
        <w:spacing w:after="0" w:line="200" w:lineRule="exact"/>
        <w:rPr>
          <w:sz w:val="20"/>
          <w:szCs w:val="20"/>
          <w:color w:val="auto"/>
        </w:rPr>
      </w:pPr>
    </w:p>
    <w:p>
      <w:pPr>
        <w:spacing w:after="0" w:line="2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0" w:firstLine="243"/>
        <w:spacing w:after="0" w:line="271" w:lineRule="auto"/>
        <w:rPr>
          <w:sz w:val="20"/>
          <w:szCs w:val="20"/>
          <w:color w:val="auto"/>
        </w:rPr>
      </w:pPr>
      <w:r>
        <w:rPr>
          <w:rFonts w:ascii="Arial" w:cs="Arial" w:eastAsia="Arial" w:hAnsi="Arial"/>
          <w:sz w:val="17"/>
          <w:szCs w:val="17"/>
          <w:color w:val="auto"/>
        </w:rPr>
        <w:t>On June 21, 2005, we filed a cross complaint in the above disclosed action in the Santa Clara County Superior Court asserting claims against Jasmine and unnamed Jasmine officers and employees. The cross complaint was later amended to name two individual officers of Jasmine. Among other actions, the cross complaint alleges that Jasmine and its personnel engaged in fraud in connection with their effort to sell to Marvell technology that Jasmine and its personnel wrongfully obtained from a third party in violation of such third party’s rights. The cross complaint seeks declaratory judgment that our technology does not incorporate any of Jasmine’s alleged technology. The cross complaint seeks further declaratory judgment that Jasmine and its personnel misappropriated certain aspects of Jasmine’s alleged technology. We intend to prosecute the cross complaint against Jasmine and its personnel vigorously. We cannot predict the outcome of this litigation. Any litigation could be costly, divert our management’s attention and could have a material adverse effect on our business, results of operations, financial condition or cash flows.</w:t>
      </w:r>
    </w:p>
    <w:p>
      <w:pPr>
        <w:sectPr>
          <w:pgSz w:w="11900" w:h="16838" w:orient="portrait"/>
          <w:cols w:equalWidth="0" w:num="1">
            <w:col w:w="11420"/>
          </w:cols>
          <w:pgMar w:left="240" w:top="125" w:right="239" w:bottom="0" w:gutter="0" w:footer="0" w:header="0"/>
        </w:sectPr>
      </w:pPr>
    </w:p>
    <w:bookmarkStart w:id="23" w:name="page24"/>
    <w:bookmarkEnd w:id="23"/>
    <w:p>
      <w:pPr>
        <w:spacing w:after="0" w:line="42" w:lineRule="exact"/>
        <w:rPr>
          <w:sz w:val="20"/>
          <w:szCs w:val="20"/>
          <w:color w:val="auto"/>
        </w:rPr>
      </w:pPr>
    </w:p>
    <w:p>
      <w:pPr>
        <w:ind w:firstLine="259"/>
        <w:spacing w:after="0" w:line="276" w:lineRule="auto"/>
        <w:rPr>
          <w:sz w:val="20"/>
          <w:szCs w:val="20"/>
          <w:color w:val="auto"/>
        </w:rPr>
      </w:pPr>
      <w:r>
        <w:rPr>
          <w:rFonts w:ascii="Arial" w:cs="Arial" w:eastAsia="Arial" w:hAnsi="Arial"/>
          <w:sz w:val="17"/>
          <w:szCs w:val="17"/>
          <w:color w:val="auto"/>
        </w:rPr>
        <w:t>We are also party to other claims and litigation proceedings arising in the normal course of business. Although the legal responsibility and financial impact with respect to such claims and litigation cannot currently be ascertained, we do not believe that these matters will result in our payment of monetary damages, net of any applicable insurance proceeds that, in the aggregate would be material in relation to our consolidated financial position or results of operations. There can be no assurance that these matters will be resolved without costly litigation, in a manner that is not adverse to our financial position, results of operations or cash flows or without requiring royalty payments in the future, which may adversely impact gross margins.</w:t>
      </w:r>
    </w:p>
    <w:p>
      <w:pPr>
        <w:spacing w:after="0" w:line="1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229" w:lineRule="exact"/>
        <w:rPr>
          <w:sz w:val="20"/>
          <w:szCs w:val="20"/>
          <w:color w:val="auto"/>
        </w:rPr>
      </w:pPr>
    </w:p>
    <w:p>
      <w:pPr>
        <w:ind w:right="120" w:firstLine="259"/>
        <w:spacing w:after="0" w:line="264" w:lineRule="auto"/>
        <w:rPr>
          <w:sz w:val="20"/>
          <w:szCs w:val="20"/>
          <w:color w:val="auto"/>
        </w:rPr>
      </w:pPr>
      <w:r>
        <w:rPr>
          <w:rFonts w:ascii="Arial" w:cs="Arial" w:eastAsia="Arial" w:hAnsi="Arial"/>
          <w:sz w:val="18"/>
          <w:szCs w:val="18"/>
          <w:color w:val="auto"/>
        </w:rPr>
        <w:t>In addition to the factors discussed in the “Overview” and “Liquidity and Capital Resources” sections of Item 2 “Management’s Discussion and Analysis of Financial Condition and Results of Operations,” the following additional factors may affect our future results. Many of these factors are beyond our control, including business cycles and seasonal trends of the computing, semiconductor and related industries.</w:t>
      </w:r>
    </w:p>
    <w:p>
      <w:pPr>
        <w:spacing w:after="0" w:line="181" w:lineRule="exact"/>
        <w:rPr>
          <w:sz w:val="20"/>
          <w:szCs w:val="20"/>
          <w:color w:val="auto"/>
        </w:rPr>
      </w:pPr>
    </w:p>
    <w:p>
      <w:pPr>
        <w:spacing w:after="0" w:line="277" w:lineRule="auto"/>
        <w:rPr>
          <w:sz w:val="20"/>
          <w:szCs w:val="20"/>
          <w:color w:val="auto"/>
        </w:rPr>
      </w:pPr>
      <w:r>
        <w:rPr>
          <w:rFonts w:ascii="Arial" w:cs="Arial" w:eastAsia="Arial" w:hAnsi="Arial"/>
          <w:sz w:val="18"/>
          <w:szCs w:val="18"/>
          <w:b w:val="1"/>
          <w:bCs w:val="1"/>
          <w:i w:val="1"/>
          <w:iCs w:val="1"/>
          <w:color w:val="auto"/>
        </w:rPr>
        <w:t>A significant portion of our business is dependent upon the hard disk drive industry, which is highly cyclical, experiences rapid technological change, and is facing increased competition from alternate technologies.</w:t>
      </w:r>
    </w:p>
    <w:p>
      <w:pPr>
        <w:spacing w:after="0" w:line="170" w:lineRule="exact"/>
        <w:rPr>
          <w:sz w:val="20"/>
          <w:szCs w:val="20"/>
          <w:color w:val="auto"/>
        </w:rPr>
      </w:pPr>
    </w:p>
    <w:p>
      <w:pPr>
        <w:ind w:right="40" w:firstLine="259"/>
        <w:spacing w:after="0" w:line="255" w:lineRule="auto"/>
        <w:rPr>
          <w:sz w:val="20"/>
          <w:szCs w:val="20"/>
          <w:color w:val="auto"/>
        </w:rPr>
      </w:pPr>
      <w:r>
        <w:rPr>
          <w:rFonts w:ascii="Arial" w:cs="Arial" w:eastAsia="Arial" w:hAnsi="Arial"/>
          <w:sz w:val="18"/>
          <w:szCs w:val="18"/>
          <w:color w:val="auto"/>
        </w:rPr>
        <w:t>The hard disk drive industry is intensely competitive, and the technology changes rapidly. As a result, this industry is highly cyclical, with periods of increased demand and rapid growth followed by periods of oversupply and subsequent contraction. These cycles may affect us because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 Rapid technological changes in the hard disk drive industry often result in significant and rapid shifts in market share among the industry’s participants. If the hard disk drive manufacturers using our products do not retain or increase their market share, our sales may decrease.</w:t>
      </w:r>
    </w:p>
    <w:p>
      <w:pPr>
        <w:spacing w:after="0" w:line="189" w:lineRule="exact"/>
        <w:rPr>
          <w:sz w:val="20"/>
          <w:szCs w:val="20"/>
          <w:color w:val="auto"/>
        </w:rPr>
      </w:pPr>
    </w:p>
    <w:p>
      <w:pPr>
        <w:ind w:right="20" w:firstLine="259"/>
        <w:spacing w:after="0" w:line="297" w:lineRule="auto"/>
        <w:rPr>
          <w:sz w:val="20"/>
          <w:szCs w:val="20"/>
          <w:color w:val="auto"/>
        </w:rPr>
      </w:pPr>
      <w:r>
        <w:rPr>
          <w:rFonts w:ascii="Arial" w:cs="Arial" w:eastAsia="Arial" w:hAnsi="Arial"/>
          <w:sz w:val="16"/>
          <w:szCs w:val="16"/>
          <w:color w:val="auto"/>
        </w:rPr>
        <w:t>Future changes in the nature of information storage products may reduce demand for traditional hard disk drives. For instance, products using alternative technologies, such as semiconductor memory, optical storage, and other storage technologies could become a significant source of competition to applications of hard disk drives. Flash memory has typically been more costly than disk drive technologies. However, flash memory manufacturers have been reducing the prices for their products, which could enable them to complete more effectively with very small form factor hard disk drive products. Demand for hard disk drives could be reduced if alternative storage technologies such as flash memory can meet customers’ cost and capacity requirements.</w:t>
      </w:r>
    </w:p>
    <w:p>
      <w:pPr>
        <w:spacing w:after="0" w:line="158"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We depend on a small number of large customers for a significant portion of our sales. The loss of, or a significant reduction or cancellation in sales to, any key customer would significantly reduce our revenues.</w:t>
      </w:r>
    </w:p>
    <w:p>
      <w:pPr>
        <w:spacing w:after="0" w:line="170" w:lineRule="exact"/>
        <w:rPr>
          <w:sz w:val="20"/>
          <w:szCs w:val="20"/>
          <w:color w:val="auto"/>
        </w:rPr>
      </w:pPr>
    </w:p>
    <w:p>
      <w:pPr>
        <w:ind w:right="40" w:firstLine="259"/>
        <w:spacing w:after="0" w:line="271" w:lineRule="auto"/>
        <w:rPr>
          <w:sz w:val="20"/>
          <w:szCs w:val="20"/>
          <w:color w:val="auto"/>
        </w:rPr>
      </w:pPr>
      <w:r>
        <w:rPr>
          <w:rFonts w:ascii="Arial" w:cs="Arial" w:eastAsia="Arial" w:hAnsi="Arial"/>
          <w:sz w:val="17"/>
          <w:szCs w:val="17"/>
          <w:color w:val="auto"/>
        </w:rPr>
        <w:t>In first quarter of fiscal 2007, approximately 53% of our net revenue was derived from sales to four customers, each of whom individually accounted for 10% or more of our net revenue during this period. Of these customers, Western Digital accounted for approximately 15%, Toshiba accounted for approximately 13%, Samsung accounted for approximately 13% and Fujitsu accounted for approximately 12%.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 due from them would likely seriously harm our financial condition and results of operations. Our operating results in the foreseeable future will continue to depend on sales to a relatively small number of customers, as well as the ability of these customers to sell products that incorporate our products. In the</w:t>
      </w:r>
    </w:p>
    <w:p>
      <w:pPr>
        <w:spacing w:after="0" w:line="39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color w:val="auto"/>
        </w:rPr>
        <w:t>future, these customers may decide not to purchase our products at all, purchase fewer products than they did in the past, or alter their purchasing patterns in some other way, particularly because:</w:t>
      </w:r>
    </w:p>
    <w:p>
      <w:pPr>
        <w:spacing w:after="0" w:line="170" w:lineRule="exact"/>
        <w:rPr>
          <w:sz w:val="20"/>
          <w:szCs w:val="20"/>
          <w:color w:val="auto"/>
        </w:rPr>
      </w:pPr>
    </w:p>
    <w:p>
      <w:pPr>
        <w:ind w:left="980" w:right="520" w:hanging="324"/>
        <w:spacing w:after="0" w:line="277" w:lineRule="auto"/>
        <w:tabs>
          <w:tab w:leader="none" w:pos="944" w:val="left"/>
        </w:tabs>
        <w:numPr>
          <w:ilvl w:val="0"/>
          <w:numId w:val="8"/>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 or</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If we are unable to accurately predict our future sales and to appropriately budget for our expenses, our operating results can suffer.</w:t>
      </w:r>
    </w:p>
    <w:p>
      <w:pPr>
        <w:spacing w:after="0" w:line="225" w:lineRule="exact"/>
        <w:rPr>
          <w:sz w:val="20"/>
          <w:szCs w:val="20"/>
          <w:color w:val="auto"/>
        </w:rPr>
      </w:pPr>
    </w:p>
    <w:p>
      <w:pPr>
        <w:ind w:right="20" w:firstLine="259"/>
        <w:spacing w:after="0" w:line="279" w:lineRule="auto"/>
        <w:rPr>
          <w:sz w:val="20"/>
          <w:szCs w:val="20"/>
          <w:color w:val="auto"/>
        </w:rPr>
      </w:pPr>
      <w:r>
        <w:rPr>
          <w:rFonts w:ascii="Arial" w:cs="Arial" w:eastAsia="Arial" w:hAnsi="Arial"/>
          <w:sz w:val="17"/>
          <w:szCs w:val="17"/>
          <w:color w:val="auto"/>
        </w:rPr>
        <w:t>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71"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b w:val="1"/>
          <w:bCs w:val="1"/>
          <w:i w:val="1"/>
          <w:iCs w:val="1"/>
          <w:color w:val="auto"/>
        </w:rPr>
        <w:t>Because we expect to experience lower sequential growth rates in future periods, investors should not rely on our historical growth rates when evaluating our business.</w:t>
      </w:r>
    </w:p>
    <w:p>
      <w:pPr>
        <w:spacing w:after="0" w:line="170" w:lineRule="exact"/>
        <w:rPr>
          <w:sz w:val="20"/>
          <w:szCs w:val="20"/>
          <w:color w:val="auto"/>
        </w:rPr>
      </w:pPr>
    </w:p>
    <w:p>
      <w:pPr>
        <w:ind w:right="20" w:firstLine="259"/>
        <w:spacing w:after="0" w:line="273" w:lineRule="auto"/>
        <w:rPr>
          <w:sz w:val="20"/>
          <w:szCs w:val="20"/>
          <w:color w:val="auto"/>
        </w:rPr>
      </w:pPr>
      <w:r>
        <w:rPr>
          <w:rFonts w:ascii="Arial" w:cs="Arial" w:eastAsia="Arial" w:hAnsi="Arial"/>
          <w:sz w:val="17"/>
          <w:szCs w:val="17"/>
          <w:color w:val="auto"/>
        </w:rPr>
        <w:t>For the past four years, we have been able to report significant sequential quarterly growth in revenues; however, our revenues have grown at a slower sequential rate in the past seven sequential quarters ending with the first quarter of fiscal 2007 compared to the double digit sequential growth rate of the previous eleven quarters. This slower growth rate is due, among other things, to the larger base of revenue and market share we now enjoy, which makes continuation of double digit revenue growth on a sequential quarterly basis unlikely in the current market. However, due to our recent acquisitions, the growth in our revenues is attributable to a combination of both organic growth and growth from our acquisitions. Accordingly, investors should not rely on the results of any prior quarterly or annual periods as an indication of our future performance.</w:t>
      </w:r>
    </w:p>
    <w:p>
      <w:pPr>
        <w:sectPr>
          <w:pgSz w:w="11900" w:h="16880" w:orient="portrait"/>
          <w:cols w:equalWidth="0" w:num="1">
            <w:col w:w="11420"/>
          </w:cols>
          <w:pgMar w:left="240" w:top="125" w:right="239" w:bottom="0" w:gutter="0" w:footer="0" w:header="0"/>
        </w:sectPr>
      </w:pPr>
    </w:p>
    <w:bookmarkStart w:id="24" w:name="page25"/>
    <w:bookmarkEnd w:id="24"/>
    <w:p>
      <w:pPr>
        <w:ind w:right="100"/>
        <w:spacing w:after="0" w:line="264" w:lineRule="auto"/>
        <w:rPr>
          <w:sz w:val="20"/>
          <w:szCs w:val="20"/>
          <w:color w:val="auto"/>
        </w:rPr>
      </w:pPr>
      <w:r>
        <w:rPr>
          <w:rFonts w:ascii="Arial" w:cs="Arial" w:eastAsia="Arial" w:hAnsi="Arial"/>
          <w:sz w:val="18"/>
          <w:szCs w:val="18"/>
          <w:b w:val="1"/>
          <w:bCs w:val="1"/>
          <w:i w:val="1"/>
          <w:iCs w:val="1"/>
          <w:color w:val="auto"/>
        </w:rPr>
        <w:t>The implementation of new accounting rules related to the expensing of stock-based awards adversely affected our reported results of operations for first quarter of fiscal 2007 and will continue to negatively impact our operating results in subsequent periods. Any subsequent changes in accounting rules may also have an adverse effect on our results of operations.</w:t>
      </w:r>
    </w:p>
    <w:p>
      <w:pPr>
        <w:spacing w:after="0" w:line="181" w:lineRule="exact"/>
        <w:rPr>
          <w:sz w:val="20"/>
          <w:szCs w:val="20"/>
          <w:color w:val="auto"/>
        </w:rPr>
      </w:pPr>
    </w:p>
    <w:p>
      <w:pPr>
        <w:ind w:right="200" w:firstLine="243"/>
        <w:spacing w:after="0" w:line="259" w:lineRule="auto"/>
        <w:rPr>
          <w:sz w:val="20"/>
          <w:szCs w:val="20"/>
          <w:color w:val="auto"/>
        </w:rPr>
      </w:pPr>
      <w:r>
        <w:rPr>
          <w:rFonts w:ascii="Arial" w:cs="Arial" w:eastAsia="Arial" w:hAnsi="Arial"/>
          <w:sz w:val="18"/>
          <w:szCs w:val="18"/>
          <w:color w:val="auto"/>
        </w:rPr>
        <w:t>Effective February 1, 2006, we adopted Statement of Financial Accounting Standards no. 123 (revised 2004), Share-Based Payment (SFAS 123R). SFAS 123R requires all share-based payment awards to employees, including grants of employee stock options, to be recognized in the financial statements based on their grant date fair values and does not allow the previously permitted pro forma disclosure-only method as an alternative to financial statement recognition.</w:t>
      </w:r>
    </w:p>
    <w:p>
      <w:pPr>
        <w:spacing w:after="0" w:line="187" w:lineRule="exact"/>
        <w:rPr>
          <w:sz w:val="20"/>
          <w:szCs w:val="20"/>
          <w:color w:val="auto"/>
        </w:rPr>
      </w:pPr>
    </w:p>
    <w:p>
      <w:pPr>
        <w:ind w:left="260"/>
        <w:spacing w:after="0"/>
        <w:rPr>
          <w:sz w:val="20"/>
          <w:szCs w:val="20"/>
          <w:color w:val="auto"/>
        </w:rPr>
      </w:pPr>
      <w:r>
        <w:rPr>
          <w:rFonts w:ascii="Arial" w:cs="Arial" w:eastAsia="Arial" w:hAnsi="Arial"/>
          <w:sz w:val="16"/>
          <w:szCs w:val="16"/>
          <w:color w:val="auto"/>
        </w:rPr>
        <w:t>The adoption of SFAS 123R has a significant adverse impact on our reported results of operations because the stock-based compensation expense is</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charged directly against our reported earnings. Our net income for the three months ended April 30, 2006 reflected stock-based compensation expense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$44.5 million as a result of our adoption of SFAS 123R. The amount of unearned stock-based compensation currently estimated to be expensed in the period</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commencing May 1, 2006 through April 30, 2011 related to unvested share-based payment awards at April 30, 2006 is $376.8 million. If there are any</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modifications or cancellations of the underlying unvested securities, we may be required to accelerate, increase or cancel any remaining unearned stock-based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compensation expense. Future stock-based compensation expense and unearned stock-based compensation will increase to the extent that we grant additional</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equity awards to employees or assume unvested equity awards in connection with acquisitions.</w:t>
      </w:r>
    </w:p>
    <w:p>
      <w:pPr>
        <w:spacing w:after="0" w:line="211" w:lineRule="exact"/>
        <w:rPr>
          <w:sz w:val="20"/>
          <w:szCs w:val="20"/>
          <w:color w:val="auto"/>
        </w:rPr>
      </w:pPr>
    </w:p>
    <w:p>
      <w:pPr>
        <w:jc w:val="both"/>
        <w:ind w:right="160" w:firstLine="243"/>
        <w:spacing w:after="0" w:line="264" w:lineRule="auto"/>
        <w:rPr>
          <w:sz w:val="20"/>
          <w:szCs w:val="20"/>
          <w:color w:val="auto"/>
        </w:rPr>
      </w:pPr>
      <w:r>
        <w:rPr>
          <w:rFonts w:ascii="Arial" w:cs="Arial" w:eastAsia="Arial" w:hAnsi="Arial"/>
          <w:sz w:val="18"/>
          <w:szCs w:val="18"/>
          <w:color w:val="auto"/>
        </w:rPr>
        <w:t>We also plan to grant additional employee stock options as well as restricted stock units in the second quarter of fiscal 2007 as part of our compensation plan. The unearned stock-based compensation resulting from those stock options and restricted stock unit grants will depend on the number of stock options and restricted stock units granted and their then current fair values.</w:t>
      </w:r>
    </w:p>
    <w:p>
      <w:pPr>
        <w:spacing w:after="0" w:line="3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7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0" w:firstLine="243"/>
        <w:spacing w:after="0" w:line="297" w:lineRule="auto"/>
        <w:rPr>
          <w:sz w:val="20"/>
          <w:szCs w:val="20"/>
          <w:color w:val="auto"/>
        </w:rPr>
      </w:pPr>
      <w:r>
        <w:rPr>
          <w:rFonts w:ascii="Arial" w:cs="Arial" w:eastAsia="Arial" w:hAnsi="Arial"/>
          <w:sz w:val="16"/>
          <w:szCs w:val="16"/>
          <w:color w:val="auto"/>
        </w:rPr>
        <w:t>Had we adopted SFAS 123R in prior periods, the magnitude of the impact of that standard on our results of operations would have approximated the impact of SFAS 123 assuming the application of the Black-Scholes option pricing model as described in the disclosure of pro forma net income (loss) and pro forma net income (loss) per share in Notes 1 and 7 of Notes to Unaudited Condensed Consolidated Financial Statements. SFAS 123R also requires the benefits of tax deductions in excess of recognized compensation cost to be reported as a financing cash flow, rather than as an operating cash flow as required under current literature. This requirement may reduce net operating cash flows and increase net financing cash flows in periods after its adoption.</w:t>
      </w:r>
    </w:p>
    <w:p>
      <w:pPr>
        <w:spacing w:after="0" w:line="158" w:lineRule="exact"/>
        <w:rPr>
          <w:sz w:val="20"/>
          <w:szCs w:val="20"/>
          <w:color w:val="auto"/>
        </w:rPr>
      </w:pPr>
    </w:p>
    <w:p>
      <w:pPr>
        <w:ind w:left="260"/>
        <w:spacing w:after="0"/>
        <w:rPr>
          <w:sz w:val="20"/>
          <w:szCs w:val="20"/>
          <w:color w:val="auto"/>
        </w:rPr>
      </w:pPr>
      <w:r>
        <w:rPr>
          <w:rFonts w:ascii="Arial" w:cs="Arial" w:eastAsia="Arial" w:hAnsi="Arial"/>
          <w:sz w:val="18"/>
          <w:szCs w:val="18"/>
          <w:color w:val="auto"/>
        </w:rPr>
        <w:t>Any other subsequent changes in the accounting rules applicable to us may also have an adverse effect on our results of operations.</w:t>
      </w:r>
    </w:p>
    <w:p>
      <w:pPr>
        <w:spacing w:after="0" w:line="225" w:lineRule="exact"/>
        <w:rPr>
          <w:sz w:val="20"/>
          <w:szCs w:val="20"/>
          <w:color w:val="auto"/>
        </w:rPr>
      </w:pPr>
    </w:p>
    <w:p>
      <w:pPr>
        <w:ind w:right="720"/>
        <w:spacing w:after="0" w:line="277"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operating results and competitive position will be harmed.</w:t>
      </w:r>
    </w:p>
    <w:p>
      <w:pPr>
        <w:spacing w:after="0" w:line="170" w:lineRule="exact"/>
        <w:rPr>
          <w:sz w:val="20"/>
          <w:szCs w:val="20"/>
          <w:color w:val="auto"/>
        </w:rPr>
      </w:pPr>
    </w:p>
    <w:p>
      <w:pPr>
        <w:ind w:right="120" w:firstLine="259"/>
        <w:spacing w:after="0" w:line="255" w:lineRule="auto"/>
        <w:rPr>
          <w:sz w:val="20"/>
          <w:szCs w:val="20"/>
          <w:color w:val="auto"/>
        </w:rPr>
      </w:pPr>
      <w:r>
        <w:rPr>
          <w:rFonts w:ascii="Arial" w:cs="Arial" w:eastAsia="Arial" w:hAnsi="Arial"/>
          <w:sz w:val="18"/>
          <w:szCs w:val="18"/>
          <w:color w:val="auto"/>
        </w:rPr>
        <w:t>Our future success will depend on our ability, in a timely and cost-effective manner, to develop and introduce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Even if the new and enhanced products are introduced to the market, we may not be able to achieve market acceptance of these products in a timely manner.</w:t>
      </w:r>
    </w:p>
    <w:p>
      <w:pPr>
        <w:spacing w:after="0" w:line="193" w:lineRule="exact"/>
        <w:rPr>
          <w:sz w:val="20"/>
          <w:szCs w:val="20"/>
          <w:color w:val="auto"/>
        </w:rPr>
      </w:pPr>
    </w:p>
    <w:p>
      <w:pPr>
        <w:ind w:firstLine="259"/>
        <w:spacing w:after="0" w:line="255"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193" w:lineRule="exact"/>
        <w:rPr>
          <w:sz w:val="20"/>
          <w:szCs w:val="20"/>
          <w:color w:val="auto"/>
        </w:rPr>
      </w:pPr>
    </w:p>
    <w:p>
      <w:pPr>
        <w:ind w:right="680"/>
        <w:spacing w:after="0" w:line="277"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and services or to the demand for new products requested by our customers, our business could be materially and adversely affected.</w:t>
      </w:r>
    </w:p>
    <w:p>
      <w:pPr>
        <w:spacing w:after="0" w:line="170" w:lineRule="exact"/>
        <w:rPr>
          <w:sz w:val="20"/>
          <w:szCs w:val="20"/>
          <w:color w:val="auto"/>
        </w:rPr>
      </w:pPr>
    </w:p>
    <w:p>
      <w:pPr>
        <w:ind w:right="20" w:firstLine="259"/>
        <w:spacing w:after="0" w:line="271" w:lineRule="auto"/>
        <w:rPr>
          <w:sz w:val="20"/>
          <w:szCs w:val="20"/>
          <w:color w:val="auto"/>
        </w:rPr>
      </w:pPr>
      <w:r>
        <w:rPr>
          <w:rFonts w:ascii="Arial" w:cs="Arial" w:eastAsia="Arial" w:hAnsi="Arial"/>
          <w:sz w:val="17"/>
          <w:szCs w:val="17"/>
          <w:color w:val="auto"/>
        </w:rPr>
        <w:t>To achieve our business objectives, we anticipate that we will need to continue to expand. We have experienced a period of rapid growth and expansion in the past. Through internal growth and acquisitions, we significantly increased the scope of our operations and expanded our workforce from 1,205 employees, as of January 31, 2003 to 2,795 employees, as of April 30, 2006. Nonetheless, we may not be able to expand our workforce and operations in a sufficiently timely manner to respond effectively to changes in demand for our existing products and services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operating expenses may exceed the rate of increase in our revenue, which would adversely affect our operating results.</w:t>
      </w:r>
    </w:p>
    <w:p>
      <w:pPr>
        <w:spacing w:after="0" w:line="179" w:lineRule="exact"/>
        <w:rPr>
          <w:sz w:val="20"/>
          <w:szCs w:val="20"/>
          <w:color w:val="auto"/>
        </w:rPr>
      </w:pPr>
    </w:p>
    <w:p>
      <w:pPr>
        <w:ind w:right="20" w:firstLine="259"/>
        <w:spacing w:after="0" w:line="289" w:lineRule="auto"/>
        <w:rPr>
          <w:sz w:val="20"/>
          <w:szCs w:val="20"/>
          <w:color w:val="auto"/>
        </w:rPr>
      </w:pPr>
      <w:r>
        <w:rPr>
          <w:rFonts w:ascii="Arial" w:cs="Arial" w:eastAsia="Arial" w:hAnsi="Arial"/>
          <w:sz w:val="16"/>
          <w:szCs w:val="16"/>
          <w:color w:val="auto"/>
        </w:rPr>
        <w:t>Our past growth has placed, and any future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implemented an enterprise resource planning, or ERP, system to help us improve our planning and management processes and are implementing a new human resources management, or HRM, system, we anticipate that we will also need to continue to implement and improve a variety of new and upgraded operational and financial systems, as well as additional procedures and other internal management systems. These processes can be time consuming and expensive,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expenses may exceed the rate of increase in our revenue, either of which would materially and adversely affect our current or future business.</w:t>
      </w:r>
    </w:p>
    <w:p>
      <w:pPr>
        <w:sectPr>
          <w:pgSz w:w="11900" w:h="16838" w:orient="portrait"/>
          <w:cols w:equalWidth="0" w:num="1">
            <w:col w:w="11420"/>
          </w:cols>
          <w:pgMar w:left="240" w:top="125" w:right="239" w:bottom="0" w:gutter="0" w:footer="0" w:header="0"/>
        </w:sectPr>
      </w:pPr>
    </w:p>
    <w:p>
      <w:pPr>
        <w:spacing w:after="0" w:line="383"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35</w:t>
      </w:r>
    </w:p>
    <w:p>
      <w:pPr>
        <w:sectPr>
          <w:pgSz w:w="11900" w:h="16838" w:orient="portrait"/>
          <w:cols w:equalWidth="0" w:num="1">
            <w:col w:w="11420"/>
          </w:cols>
          <w:pgMar w:left="240" w:top="125" w:right="239" w:bottom="0" w:gutter="0" w:footer="0" w:header="0"/>
          <w:type w:val="continuous"/>
        </w:sectPr>
      </w:pPr>
    </w:p>
    <w:bookmarkStart w:id="25" w:name="page26"/>
    <w:bookmarkEnd w:id="25"/>
    <w:p>
      <w:pPr>
        <w:spacing w:after="0" w:line="9"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p>
    <w:p>
      <w:pPr>
        <w:jc w:val="both"/>
        <w:ind w:right="80"/>
        <w:spacing w:after="0" w:line="264"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181" w:lineRule="exact"/>
        <w:rPr>
          <w:sz w:val="20"/>
          <w:szCs w:val="20"/>
          <w:color w:val="auto"/>
        </w:rPr>
      </w:pPr>
    </w:p>
    <w:p>
      <w:pPr>
        <w:ind w:right="40" w:firstLine="259"/>
        <w:spacing w:after="0" w:line="270" w:lineRule="auto"/>
        <w:rPr>
          <w:sz w:val="20"/>
          <w:szCs w:val="20"/>
          <w:color w:val="auto"/>
        </w:rPr>
      </w:pPr>
      <w:r>
        <w:rPr>
          <w:rFonts w:ascii="Arial" w:cs="Arial" w:eastAsia="Arial" w:hAnsi="Arial"/>
          <w:sz w:val="17"/>
          <w:szCs w:val="17"/>
          <w:color w:val="auto"/>
        </w:rPr>
        <w:t>We do not have our own manufacturing or assembly facilities and have very limited in-house testing facilities. Therefore, we must rely on third-party vendors to manufacture, assemble and test the products we design. We currently rely on several third-party foundries to produce substantially all of our integrated circuit products. We also currently rely on several third-party assembly and test subcontractors to assemble, package and test our products. The resurgence of severe acute respiratory syndrome, or SARS, the outbreak of avian flu and any similar future outbreaks in Asia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harm our business, financial condition or results of operations.</w:t>
      </w:r>
    </w:p>
    <w:p>
      <w:pPr>
        <w:spacing w:after="0" w:line="182" w:lineRule="exact"/>
        <w:rPr>
          <w:sz w:val="20"/>
          <w:szCs w:val="20"/>
          <w:color w:val="auto"/>
        </w:rPr>
      </w:pPr>
    </w:p>
    <w:p>
      <w:pPr>
        <w:ind w:right="60" w:firstLine="259"/>
        <w:spacing w:after="0" w:line="253" w:lineRule="auto"/>
        <w:rPr>
          <w:sz w:val="20"/>
          <w:szCs w:val="20"/>
          <w:color w:val="auto"/>
        </w:rPr>
      </w:pPr>
      <w:r>
        <w:rPr>
          <w:rFonts w:ascii="Arial" w:cs="Arial" w:eastAsia="Arial" w:hAnsi="Arial"/>
          <w:sz w:val="18"/>
          <w:szCs w:val="18"/>
          <w:color w:val="auto"/>
        </w:rPr>
        <w:t>With limited exceptions, our vendors are not obligated to perform services or supply products to us for any specific period, in any specific quantities, or at any specific price, except as may be provided in a particular purchase order. These vendors may allocate capacity to the production of other companies’ products while reducing deliveries to us on short notice. In particular, some foundry customers may have long-term agreements with these foundries that may cause these foundries to reallocate capacity to those customers, decreasing the capacity available to us. If we need another integrated circuit foundry or assembly and test subcontractor because of increased demand, or we are unable to obtain timely and adequate deliveries from our providers at the required 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qualify a new provider. Such a change may also require the approval of our customers, which would take time to effect and could cause our customers to cancel orders or fail to place new orders.</w:t>
      </w:r>
    </w:p>
    <w:p>
      <w:pPr>
        <w:spacing w:after="0" w:line="197" w:lineRule="exact"/>
        <w:rPr>
          <w:sz w:val="20"/>
          <w:szCs w:val="20"/>
          <w:color w:val="auto"/>
        </w:rPr>
      </w:pPr>
    </w:p>
    <w:p>
      <w:pPr>
        <w:ind w:right="80"/>
        <w:spacing w:after="0" w:line="264" w:lineRule="auto"/>
        <w:rPr>
          <w:sz w:val="20"/>
          <w:szCs w:val="20"/>
          <w:color w:val="auto"/>
        </w:rPr>
      </w:pPr>
      <w:r>
        <w:rPr>
          <w:rFonts w:ascii="Arial" w:cs="Arial" w:eastAsia="Arial" w:hAnsi="Arial"/>
          <w:sz w:val="18"/>
          <w:szCs w:val="18"/>
          <w:b w:val="1"/>
          <w:bCs w:val="1"/>
          <w:i w:val="1"/>
          <w:iCs w:val="1"/>
          <w:color w:val="auto"/>
        </w:rPr>
        <w:t>Our Marvell Semiconductor Israel Ltd., Marvell T.I. Ltd. and RADLAN Computer Communications Ltd. subsidiaries are incorporated under the laws of, and their principal offices are located in, the State of Israel and therefore their business operations may be harmed by adverse political, economic and military conditions affecting Israel.</w:t>
      </w:r>
    </w:p>
    <w:p>
      <w:pPr>
        <w:spacing w:after="0" w:line="181" w:lineRule="exact"/>
        <w:rPr>
          <w:sz w:val="20"/>
          <w:szCs w:val="20"/>
          <w:color w:val="auto"/>
        </w:rPr>
      </w:pPr>
    </w:p>
    <w:p>
      <w:pPr>
        <w:ind w:right="20" w:firstLine="259"/>
        <w:spacing w:after="0" w:line="271" w:lineRule="auto"/>
        <w:rPr>
          <w:sz w:val="20"/>
          <w:szCs w:val="20"/>
          <w:color w:val="auto"/>
        </w:rPr>
      </w:pPr>
      <w:r>
        <w:rPr>
          <w:rFonts w:ascii="Arial" w:cs="Arial" w:eastAsia="Arial" w:hAnsi="Arial"/>
          <w:sz w:val="17"/>
          <w:szCs w:val="17"/>
          <w:color w:val="auto"/>
        </w:rPr>
        <w:t>Each of Marvell Semiconductor Israel Ltd., or MSIL, Marvell T.I. Ltd, or MTIL and RADLAN Computer Communications Ltd., or RADLAN, are incorporated under the laws of and has its principal offices in the State of Israel. In addition, MSIL and RADLAN maintain their research and development operations in Israel. Thus, MSIL, MTIL and RADLAN are directly influenced by the political, economic and military conditions affecting Israel. Major hostilities involving or within Israel could disrupt MSIL, MTIL and RADLAN’s operations. For example, continued hostilities between Israel and the Palestinian authority in recent months have caused substantial political unrest, which could lead to a potential economic downturn in Israel. Additionally, the ongoing situation in Iraq and political tensions with Iran could lead to more economic instability and uncertainty in the State of Israel and the Middle East. Also, the interruption or curtailment of trade between Israel and its present trading partners or a significant downturn in the economic or financial condition of Israel could negatively impact the business operations and financial results of each of MSIL, MTIL and RADLAN.</w:t>
      </w:r>
    </w:p>
    <w:p>
      <w:pPr>
        <w:spacing w:after="0" w:line="17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Past acquisitions and any future acquisitions or transactions may not be successful.</w:t>
      </w:r>
    </w:p>
    <w:p>
      <w:pPr>
        <w:spacing w:after="0" w:line="225" w:lineRule="exact"/>
        <w:rPr>
          <w:sz w:val="20"/>
          <w:szCs w:val="20"/>
          <w:color w:val="auto"/>
        </w:rPr>
      </w:pPr>
    </w:p>
    <w:p>
      <w:pPr>
        <w:ind w:right="80" w:firstLine="259"/>
        <w:spacing w:after="0" w:line="302"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54" w:lineRule="exact"/>
        <w:rPr>
          <w:sz w:val="20"/>
          <w:szCs w:val="20"/>
          <w:color w:val="auto"/>
        </w:rPr>
      </w:pPr>
    </w:p>
    <w:p>
      <w:pPr>
        <w:ind w:right="280" w:firstLine="259"/>
        <w:spacing w:after="0" w:line="277" w:lineRule="auto"/>
        <w:rPr>
          <w:sz w:val="20"/>
          <w:szCs w:val="20"/>
          <w:color w:val="auto"/>
        </w:rPr>
      </w:pPr>
      <w:r>
        <w:rPr>
          <w:rFonts w:ascii="Arial" w:cs="Arial" w:eastAsia="Arial" w:hAnsi="Arial"/>
          <w:sz w:val="18"/>
          <w:szCs w:val="18"/>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pacing w:after="0" w:line="170" w:lineRule="exact"/>
        <w:rPr>
          <w:sz w:val="20"/>
          <w:szCs w:val="20"/>
          <w:color w:val="auto"/>
        </w:rPr>
      </w:pPr>
    </w:p>
    <w:p>
      <w:pPr>
        <w:ind w:left="5620" w:right="4620" w:hanging="4964"/>
        <w:spacing w:after="0" w:line="838" w:lineRule="auto"/>
        <w:tabs>
          <w:tab w:leader="none" w:pos="941" w:val="left"/>
        </w:tabs>
        <w:numPr>
          <w:ilvl w:val="0"/>
          <w:numId w:val="9"/>
        </w:numPr>
        <w:rPr>
          <w:rFonts w:ascii="Arial" w:cs="Arial" w:eastAsia="Arial" w:hAnsi="Arial"/>
          <w:sz w:val="17"/>
          <w:szCs w:val="17"/>
          <w:color w:val="auto"/>
        </w:rPr>
      </w:pPr>
      <w:r>
        <w:rPr>
          <w:rFonts w:ascii="Arial" w:cs="Arial" w:eastAsia="Arial" w:hAnsi="Arial"/>
          <w:sz w:val="17"/>
          <w:szCs w:val="17"/>
          <w:color w:val="auto"/>
        </w:rPr>
        <w:t>the difficulty of assimilating the operations and personnel of acquired businesses; 36</w:t>
      </w:r>
    </w:p>
    <w:p>
      <w:pPr>
        <w:spacing w:after="0" w:line="200" w:lineRule="exact"/>
        <w:rPr>
          <w:rFonts w:ascii="Arial" w:cs="Arial" w:eastAsia="Arial" w:hAnsi="Arial"/>
          <w:sz w:val="17"/>
          <w:szCs w:val="17"/>
          <w:color w:val="auto"/>
        </w:rPr>
      </w:pPr>
    </w:p>
    <w:p>
      <w:pPr>
        <w:spacing w:after="0" w:line="200" w:lineRule="exact"/>
        <w:rPr>
          <w:rFonts w:ascii="Arial" w:cs="Arial" w:eastAsia="Arial" w:hAnsi="Arial"/>
          <w:sz w:val="17"/>
          <w:szCs w:val="17"/>
          <w:color w:val="auto"/>
        </w:rPr>
      </w:pPr>
    </w:p>
    <w:p>
      <w:pPr>
        <w:spacing w:after="0" w:line="274" w:lineRule="exact"/>
        <w:rPr>
          <w:rFonts w:ascii="Arial" w:cs="Arial" w:eastAsia="Arial" w:hAnsi="Arial"/>
          <w:sz w:val="17"/>
          <w:szCs w:val="17"/>
          <w:color w:val="auto"/>
        </w:rPr>
      </w:pPr>
    </w:p>
    <w:p>
      <w:pPr>
        <w:ind w:left="940" w:hanging="284"/>
        <w:spacing w:after="0"/>
        <w:tabs>
          <w:tab w:leader="none" w:pos="94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potential disruption of our ongoing business;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distraction of management from our business;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potential inability of management to maximize our financial and strategic position as a result of an acquisition;</w:t>
      </w:r>
    </w:p>
    <w:p>
      <w:pPr>
        <w:spacing w:after="0" w:line="225" w:lineRule="exact"/>
        <w:rPr>
          <w:rFonts w:ascii="Arial" w:cs="Arial" w:eastAsia="Arial" w:hAnsi="Arial"/>
          <w:sz w:val="18"/>
          <w:szCs w:val="18"/>
          <w:color w:val="auto"/>
        </w:rPr>
      </w:pPr>
    </w:p>
    <w:p>
      <w:pPr>
        <w:ind w:left="980" w:right="580" w:hanging="324"/>
        <w:spacing w:after="0" w:line="277" w:lineRule="auto"/>
        <w:tabs>
          <w:tab w:leader="none" w:pos="944"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potential for costs and delays in implementing, and the potential difficulty in maintaining uniform standards, controls, procedures and policies, including the integration of different information systems;</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impairment of relationships with employees and customers as a result of any integration of new management personnel;</w:t>
      </w:r>
    </w:p>
    <w:p>
      <w:pPr>
        <w:spacing w:after="0" w:line="225" w:lineRule="exact"/>
        <w:rPr>
          <w:rFonts w:ascii="Arial" w:cs="Arial" w:eastAsia="Arial" w:hAnsi="Arial"/>
          <w:sz w:val="18"/>
          <w:szCs w:val="18"/>
          <w:color w:val="auto"/>
        </w:rPr>
      </w:pPr>
    </w:p>
    <w:p>
      <w:pPr>
        <w:ind w:left="980" w:hanging="324"/>
        <w:spacing w:after="0" w:line="277" w:lineRule="auto"/>
        <w:tabs>
          <w:tab w:leader="none" w:pos="944"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risk of entering market segments in which we have no or limited direct prior experience and where competitors in such market segments have stronger market segment positions;</w:t>
      </w:r>
    </w:p>
    <w:p>
      <w:pPr>
        <w:spacing w:after="0" w:line="170" w:lineRule="exact"/>
        <w:rPr>
          <w:rFonts w:ascii="Arial" w:cs="Arial" w:eastAsia="Arial" w:hAnsi="Arial"/>
          <w:sz w:val="18"/>
          <w:szCs w:val="18"/>
          <w:color w:val="auto"/>
        </w:rPr>
      </w:pPr>
    </w:p>
    <w:p>
      <w:pPr>
        <w:ind w:left="980" w:right="20" w:hanging="324"/>
        <w:spacing w:after="0" w:line="277" w:lineRule="auto"/>
        <w:tabs>
          <w:tab w:leader="none" w:pos="944"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risk that there could be deficiencies in the internal control of any acquired company or investments that could result in a material weakness in our overall internal controls taken as a whole;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-2740025</wp:posOffset>
            </wp:positionV>
            <wp:extent cx="7267575" cy="2984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7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48" w:orient="portrait"/>
          <w:cols w:equalWidth="0" w:num="1">
            <w:col w:w="11420"/>
          </w:cols>
          <w:pgMar w:left="240" w:top="949" w:right="239" w:bottom="0" w:gutter="0" w:footer="0" w:header="0"/>
        </w:sectPr>
      </w:pPr>
    </w:p>
    <w:bookmarkStart w:id="26" w:name="page27"/>
    <w:bookmarkEnd w:id="26"/>
    <w:p>
      <w:pPr>
        <w:ind w:left="940" w:hanging="284"/>
        <w:spacing w:after="0"/>
        <w:tabs>
          <w:tab w:leader="none" w:pos="9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potential loss of key employees of an acquired company; and</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potential dilution of earnings through acquisitions and options granted to employees of acquired companies or businesses</w:t>
      </w:r>
    </w:p>
    <w:p>
      <w:pPr>
        <w:spacing w:after="0" w:line="225" w:lineRule="exact"/>
        <w:rPr>
          <w:sz w:val="20"/>
          <w:szCs w:val="20"/>
          <w:color w:val="auto"/>
        </w:rPr>
      </w:pPr>
    </w:p>
    <w:p>
      <w:pPr>
        <w:jc w:val="both"/>
        <w:ind w:firstLine="259"/>
        <w:spacing w:after="0" w:line="264" w:lineRule="auto"/>
        <w:rPr>
          <w:sz w:val="20"/>
          <w:szCs w:val="20"/>
          <w:color w:val="auto"/>
        </w:rPr>
      </w:pPr>
      <w:r>
        <w:rPr>
          <w:rFonts w:ascii="Arial" w:cs="Arial" w:eastAsia="Arial" w:hAnsi="Arial"/>
          <w:sz w:val="18"/>
          <w:szCs w:val="18"/>
          <w:color w:val="auto"/>
        </w:rPr>
        <w:t>Our ability to realize the expected benefits of our pending acquisition of the printer semiconductor business of Avago Technologies Limited will depend in large part on our ability to retain the business’ relationship with its principal customer, as well as the factors described above relating to our ability to integrate effectively the acquired business and its technologies, operations and personnel.</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recent acquisitions and any future acquisitions could harm our operating results and share price.</w:t>
      </w:r>
    </w:p>
    <w:p>
      <w:pPr>
        <w:spacing w:after="0" w:line="225" w:lineRule="exact"/>
        <w:rPr>
          <w:sz w:val="20"/>
          <w:szCs w:val="20"/>
          <w:color w:val="auto"/>
        </w:rPr>
      </w:pPr>
    </w:p>
    <w:p>
      <w:pPr>
        <w:jc w:val="both"/>
        <w:ind w:right="520" w:firstLine="259"/>
        <w:spacing w:after="0" w:line="312" w:lineRule="auto"/>
        <w:rPr>
          <w:sz w:val="20"/>
          <w:szCs w:val="20"/>
          <w:color w:val="auto"/>
        </w:rPr>
      </w:pPr>
      <w:r>
        <w:rPr>
          <w:rFonts w:ascii="Arial" w:cs="Arial" w:eastAsia="Arial" w:hAnsi="Arial"/>
          <w:sz w:val="16"/>
          <w:szCs w:val="16"/>
          <w:color w:val="auto"/>
        </w:rPr>
        <w:t>We recently acquired the hard disk and tape drive controller semiconductor business of QLogic Corporation and the semiconductor design business division of UTStarcom, Inc. In addition, in May 2006, we announced the completion of the acquisition of the printer semiconductor division of Avago Technologies, Pte. Also in May 2006, we completed the acquisition from a third party of certain intellectual property and property and equipment.</w:t>
      </w:r>
    </w:p>
    <w:p>
      <w:pPr>
        <w:spacing w:after="0" w:line="147" w:lineRule="exact"/>
        <w:rPr>
          <w:sz w:val="20"/>
          <w:szCs w:val="20"/>
          <w:color w:val="auto"/>
        </w:rPr>
      </w:pPr>
    </w:p>
    <w:p>
      <w:pPr>
        <w:ind w:right="80" w:firstLine="259"/>
        <w:spacing w:after="0" w:line="255" w:lineRule="auto"/>
        <w:rPr>
          <w:sz w:val="20"/>
          <w:szCs w:val="20"/>
          <w:color w:val="auto"/>
        </w:rPr>
      </w:pPr>
      <w:r>
        <w:rPr>
          <w:rFonts w:ascii="Arial" w:cs="Arial" w:eastAsia="Arial" w:hAnsi="Arial"/>
          <w:sz w:val="18"/>
          <w:szCs w:val="18"/>
          <w:color w:val="auto"/>
        </w:rPr>
        <w:t>Any acquisitions could materially harm our operating results as a result of possible concurrent issuances of dilutive equity securities or payment of cash. In addition, the purchase price of any acquired businesses may exceed the current fair values of the net tangible assets of the acquired businesses. As a result, we would be required to record material amounts of goodwill, and acquired in-process research and development charges and other intangible assets, which could result in significant impairment and acquired in-process research and development charges and amortization expense in future periods.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189" w:lineRule="exact"/>
        <w:rPr>
          <w:sz w:val="20"/>
          <w:szCs w:val="20"/>
          <w:color w:val="auto"/>
        </w:rPr>
      </w:pPr>
    </w:p>
    <w:p>
      <w:pPr>
        <w:ind w:right="40" w:firstLine="259"/>
        <w:spacing w:after="0" w:line="270" w:lineRule="auto"/>
        <w:rPr>
          <w:sz w:val="20"/>
          <w:szCs w:val="20"/>
          <w:color w:val="auto"/>
        </w:rPr>
      </w:pPr>
      <w:r>
        <w:rPr>
          <w:rFonts w:ascii="Arial" w:cs="Arial" w:eastAsia="Arial" w:hAnsi="Arial"/>
          <w:sz w:val="17"/>
          <w:szCs w:val="17"/>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Over the past few years, there has been a slowdown in worldwide economies, including the United States, which has affected our business. End customers for our products have slowed their purchases of next-generation technology and have delayed or rescheduled existing orders for products that incorporate our technology. Although recently we have seen some signs of recovery in the worldwide economy, we cannot predict the timing, strength and duration of any economic recovery, worldwide or in our served markets. If the economy does not continue to recover, or if other presently unforeseen events or changes in circumstances arise which indicate that the carrying value of our goodwill or other intangible assets may not be recoverable, we will be required to perform impairment reviews of these assets, which have carrying values of approximately $1.7 billion as of April 30, 2006. An impairment review could result in a write-down of all or a portion of these assets to their fair values. We intend to perform an annual impairment review during the fourth quarter of each fiscal year or</w:t>
      </w:r>
    </w:p>
    <w:p>
      <w:pPr>
        <w:spacing w:after="0" w:line="3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color w:val="auto"/>
        </w:rPr>
        <w:t>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181" w:lineRule="exact"/>
        <w:rPr>
          <w:sz w:val="20"/>
          <w:szCs w:val="20"/>
          <w:color w:val="auto"/>
        </w:rPr>
      </w:pPr>
    </w:p>
    <w:p>
      <w:pPr>
        <w:spacing w:after="0" w:line="277"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170" w:lineRule="exact"/>
        <w:rPr>
          <w:sz w:val="20"/>
          <w:szCs w:val="20"/>
          <w:color w:val="auto"/>
        </w:rPr>
      </w:pPr>
    </w:p>
    <w:p>
      <w:pPr>
        <w:ind w:right="80" w:firstLine="259"/>
        <w:spacing w:after="0" w:line="270" w:lineRule="auto"/>
        <w:rPr>
          <w:sz w:val="20"/>
          <w:szCs w:val="20"/>
          <w:color w:val="auto"/>
        </w:rPr>
      </w:pPr>
      <w:r>
        <w:rPr>
          <w:rFonts w:ascii="Arial" w:cs="Arial" w:eastAsia="Arial" w:hAnsi="Arial"/>
          <w:sz w:val="17"/>
          <w:szCs w:val="17"/>
          <w:color w:val="auto"/>
        </w:rPr>
        <w:t>We sell many of our products to customers through distributors and manufacturers’ representatives. Our relationships with some of our distributors and manufacturers’ representatives have been established within the last two years,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178"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profit margin, or, conversely, we may have insufficient inventory, which would result in lost revenue opportunities and potentially in loss of market share and damaged customer relationships.</w:t>
      </w:r>
    </w:p>
    <w:p>
      <w:pPr>
        <w:spacing w:after="0" w:line="181" w:lineRule="exact"/>
        <w:rPr>
          <w:sz w:val="20"/>
          <w:szCs w:val="20"/>
          <w:color w:val="auto"/>
        </w:rPr>
      </w:pPr>
    </w:p>
    <w:p>
      <w:pPr>
        <w:ind w:right="20" w:firstLine="259"/>
        <w:spacing w:after="0" w:line="268" w:lineRule="auto"/>
        <w:rPr>
          <w:sz w:val="20"/>
          <w:szCs w:val="20"/>
          <w:color w:val="auto"/>
        </w:rPr>
      </w:pPr>
      <w:r>
        <w:rPr>
          <w:rFonts w:ascii="Arial" w:cs="Arial" w:eastAsia="Arial" w:hAnsi="Arial"/>
          <w:sz w:val="17"/>
          <w:szCs w:val="17"/>
          <w:color w:val="auto"/>
        </w:rPr>
        <w:t>We typically sell products pursuant to purchase orders rather than long-term purchase commitments. Customers can generally cancel or defer purchase orders on short notice without incurring a significant penalty. In the recent past, some of our customers have developed excess inventories of their own products and have, as a consequence, deferred purchase orders for our products. We currently do not have the ability to accurately predict what or how many products our customers will need in the future. Anticipating demand is difficult because our customers face volatile pricing and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If we overestimate customer demand, we may allocate resources to manufacturing products that we may not be able to sell when we expect to, if at all. As a result, we would hold excess or obsolete inventory, which would reduce our profit margins and adversely affect our financial results. Conversely, if we underestimate customer demand or if insufficient manufacturing capacity is available, we would forego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 Furthermore, we generally recognize revenue upon shipment of products to a customer. If a customer refuses to accept shipped products or does not timely pay for these products, we could incur significant charges against our income.</w:t>
      </w:r>
    </w:p>
    <w:p>
      <w:pPr>
        <w:sectPr>
          <w:pgSz w:w="11900" w:h="16838" w:orient="portrait"/>
          <w:cols w:equalWidth="0" w:num="1">
            <w:col w:w="11400"/>
          </w:cols>
          <w:pgMar w:left="240" w:top="125" w:right="259" w:bottom="0" w:gutter="0" w:footer="0" w:header="0"/>
        </w:sectPr>
      </w:pPr>
    </w:p>
    <w:bookmarkStart w:id="27" w:name="page28"/>
    <w:bookmarkEnd w:id="27"/>
    <w:p>
      <w:pPr>
        <w:ind w:right="680"/>
        <w:spacing w:after="0" w:line="277" w:lineRule="auto"/>
        <w:rPr>
          <w:sz w:val="20"/>
          <w:szCs w:val="20"/>
          <w:color w:val="auto"/>
        </w:rPr>
      </w:pPr>
      <w:r>
        <w:rPr>
          <w:rFonts w:ascii="Arial" w:cs="Arial" w:eastAsia="Arial" w:hAnsi="Arial"/>
          <w:sz w:val="18"/>
          <w:szCs w:val="18"/>
          <w:b w:val="1"/>
          <w:bCs w:val="1"/>
          <w:i w:val="1"/>
          <w:iCs w:val="1"/>
          <w:color w:val="auto"/>
        </w:rPr>
        <w:t>The uncertain and volatile worldwide economy, acts of war, terrorism, international conflicts and related uncertainties may adversely impact our revenues and profitability.</w:t>
      </w:r>
    </w:p>
    <w:p>
      <w:pPr>
        <w:spacing w:after="0" w:line="170" w:lineRule="exact"/>
        <w:rPr>
          <w:sz w:val="20"/>
          <w:szCs w:val="20"/>
          <w:color w:val="auto"/>
        </w:rPr>
      </w:pPr>
    </w:p>
    <w:p>
      <w:pPr>
        <w:ind w:right="20" w:firstLine="259"/>
        <w:spacing w:after="0" w:line="272" w:lineRule="auto"/>
        <w:rPr>
          <w:sz w:val="20"/>
          <w:szCs w:val="20"/>
          <w:color w:val="auto"/>
        </w:rPr>
      </w:pPr>
      <w:r>
        <w:rPr>
          <w:rFonts w:ascii="Arial" w:cs="Arial" w:eastAsia="Arial" w:hAnsi="Arial"/>
          <w:sz w:val="17"/>
          <w:szCs w:val="17"/>
          <w:color w:val="auto"/>
        </w:rPr>
        <w:t>In recent years, worldwide economic conditions have been volatile with concerns about inflation, increased reliance on consumer confidence and the situation in Iraq. The events of September 11, 2001, the continuing international conflicts and terrorist acts, continued increases in oil prices, the possibility of an extended United States presence in Iraq and the potential pandemic of avian or other flu-like illness can be expected to place further pressure on economic conditions in the United States and worldwide. These conditions make it extremely difficult for our customers, our vendors and for us to accurately forecast and plan future business activities. We cannot predict the timing, strength or duration of any economic recovery, worldwide, or in our served markets. If the worldwide economy or our served markets in which we operate were to experience any of the conditions above, our business, financial condition and results of operations could be adversely affected.</w:t>
      </w:r>
    </w:p>
    <w:p>
      <w:pPr>
        <w:spacing w:after="0" w:line="39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7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right="540"/>
        <w:spacing w:after="0" w:line="277" w:lineRule="auto"/>
        <w:rPr>
          <w:sz w:val="20"/>
          <w:szCs w:val="20"/>
          <w:color w:val="auto"/>
        </w:rPr>
      </w:pPr>
      <w:r>
        <w:rPr>
          <w:rFonts w:ascii="Arial" w:cs="Arial" w:eastAsia="Arial" w:hAnsi="Arial"/>
          <w:sz w:val="18"/>
          <w:szCs w:val="18"/>
          <w:b w:val="1"/>
          <w:bCs w:val="1"/>
          <w:i w:val="1"/>
          <w:iCs w:val="1"/>
          <w:color w:val="auto"/>
        </w:rPr>
        <w:t>We are a mid-sized company with limited resources compared to some of our current and potential competitors, and we may not be able to compete effectively and increase or maintain revenue and market share.</w:t>
      </w:r>
    </w:p>
    <w:p>
      <w:pPr>
        <w:spacing w:after="0" w:line="170" w:lineRule="exact"/>
        <w:rPr>
          <w:sz w:val="20"/>
          <w:szCs w:val="20"/>
          <w:color w:val="auto"/>
        </w:rPr>
      </w:pPr>
    </w:p>
    <w:p>
      <w:pPr>
        <w:ind w:firstLine="259"/>
        <w:spacing w:after="0" w:line="289" w:lineRule="auto"/>
        <w:rPr>
          <w:sz w:val="20"/>
          <w:szCs w:val="20"/>
          <w:color w:val="auto"/>
        </w:rPr>
      </w:pPr>
      <w:r>
        <w:rPr>
          <w:rFonts w:ascii="Arial" w:cs="Arial" w:eastAsia="Arial" w:hAnsi="Arial"/>
          <w:sz w:val="16"/>
          <w:szCs w:val="16"/>
          <w:color w:val="auto"/>
        </w:rPr>
        <w:t>We may not be able to compete successfully against current or potential competitors. If we do not compete successfully, our market share and revenues may not increase or may decline. In addition, some of our current and potential competitors have longer operating histories, significantly greater resources and name recognition, and a larger base of customers than we do. As a result, these competitors may have greater credibility with our existing and potential customers. Moreover, our competitors may foresee the course of market developments more accurately than we do. They also may be able to adopt more aggressive pricing policies and devote greater resources to the development, promotion and sale of their products than us, which would allow them to respond more quickly than us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167" w:lineRule="exact"/>
        <w:rPr>
          <w:sz w:val="20"/>
          <w:szCs w:val="20"/>
          <w:color w:val="auto"/>
        </w:rPr>
      </w:pPr>
    </w:p>
    <w:p>
      <w:pPr>
        <w:ind w:right="360"/>
        <w:spacing w:after="0" w:line="277" w:lineRule="auto"/>
        <w:rPr>
          <w:sz w:val="20"/>
          <w:szCs w:val="20"/>
          <w:color w:val="auto"/>
        </w:rPr>
      </w:pPr>
      <w:r>
        <w:rPr>
          <w:rFonts w:ascii="Arial" w:cs="Arial" w:eastAsia="Arial" w:hAnsi="Arial"/>
          <w:sz w:val="18"/>
          <w:szCs w:val="18"/>
          <w:b w:val="1"/>
          <w:bCs w:val="1"/>
          <w:i w:val="1"/>
          <w:iCs w:val="1"/>
          <w:color w:val="auto"/>
        </w:rPr>
        <w:t>Because we do not have significant long-term commitments from our customers, we must estimate customer demand, and errors in our estimates can have negative effects on our inventory levels, sales and operating results.</w:t>
      </w:r>
    </w:p>
    <w:p>
      <w:pPr>
        <w:spacing w:after="0" w:line="170" w:lineRule="exact"/>
        <w:rPr>
          <w:sz w:val="20"/>
          <w:szCs w:val="20"/>
          <w:color w:val="auto"/>
        </w:rPr>
      </w:pPr>
    </w:p>
    <w:p>
      <w:pPr>
        <w:ind w:right="140" w:firstLine="259"/>
        <w:spacing w:after="0" w:line="290" w:lineRule="auto"/>
        <w:rPr>
          <w:sz w:val="20"/>
          <w:szCs w:val="20"/>
          <w:color w:val="auto"/>
        </w:rPr>
      </w:pPr>
      <w:r>
        <w:rPr>
          <w:rFonts w:ascii="Arial" w:cs="Arial" w:eastAsia="Arial" w:hAnsi="Arial"/>
          <w:sz w:val="16"/>
          <w:szCs w:val="16"/>
          <w:color w:val="auto"/>
        </w:rPr>
        <w:t>Our sales are typically made on the basis of individual purchase orders rather than long-term purchase commitments. In addition, our customers may cancel or defer purchase orders. We have historically placed firm orders for products with our suppliers up to sixteen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166" w:lineRule="exact"/>
        <w:rPr>
          <w:sz w:val="20"/>
          <w:szCs w:val="20"/>
          <w:color w:val="auto"/>
        </w:rPr>
      </w:pPr>
    </w:p>
    <w:p>
      <w:pPr>
        <w:ind w:right="160"/>
        <w:spacing w:after="0" w:line="381"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pacing w:after="0" w:line="101" w:lineRule="exact"/>
        <w:rPr>
          <w:sz w:val="20"/>
          <w:szCs w:val="20"/>
          <w:color w:val="auto"/>
        </w:rPr>
      </w:pPr>
    </w:p>
    <w:p>
      <w:pPr>
        <w:ind w:right="20" w:firstLine="259"/>
        <w:spacing w:after="0" w:line="254" w:lineRule="auto"/>
        <w:rPr>
          <w:sz w:val="20"/>
          <w:szCs w:val="20"/>
          <w:color w:val="auto"/>
        </w:rPr>
      </w:pPr>
      <w:r>
        <w:rPr>
          <w:rFonts w:ascii="Arial" w:cs="Arial" w:eastAsia="Arial" w:hAnsi="Arial"/>
          <w:sz w:val="18"/>
          <w:szCs w:val="18"/>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Our customers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the development could impair our relationships with our strategic customers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If our foundries do not achieve satisfactory yields or quality, our relationships with our customers and our reputation will be harmed.</w:t>
      </w:r>
    </w:p>
    <w:p>
      <w:pPr>
        <w:spacing w:after="0" w:line="225" w:lineRule="exact"/>
        <w:rPr>
          <w:sz w:val="20"/>
          <w:szCs w:val="20"/>
          <w:color w:val="auto"/>
        </w:rPr>
      </w:pPr>
    </w:p>
    <w:p>
      <w:pPr>
        <w:ind w:right="20" w:firstLine="259"/>
        <w:spacing w:after="0" w:line="291"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w:t>
      </w:r>
    </w:p>
    <w:p>
      <w:pPr>
        <w:spacing w:after="0" w:line="38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color w:val="auto"/>
        </w:rPr>
        <w:t>products could result in significant warranty, support and repair costs, and divert the attention of our engineering personnel from our product development efforts.</w:t>
      </w:r>
    </w:p>
    <w:p>
      <w:pPr>
        <w:sectPr>
          <w:pgSz w:w="11900" w:h="16838" w:orient="portrait"/>
          <w:cols w:equalWidth="0" w:num="1">
            <w:col w:w="11400"/>
          </w:cols>
          <w:pgMar w:left="240" w:top="125" w:right="259" w:bottom="0" w:gutter="0" w:footer="0" w:header="0"/>
        </w:sectPr>
      </w:pPr>
    </w:p>
    <w:p>
      <w:pPr>
        <w:spacing w:after="0" w:line="170"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b w:val="1"/>
          <w:bCs w:val="1"/>
          <w:i w:val="1"/>
          <w:iCs w:val="1"/>
          <w:color w:val="auto"/>
        </w:rPr>
        <w:t>When demand for foundry capacity is high, we may take various actions to try to secure sufficient capacity, which may be costly and harm our operating results.</w:t>
      </w:r>
    </w:p>
    <w:p>
      <w:pPr>
        <w:sectPr>
          <w:pgSz w:w="11900" w:h="16838" w:orient="portrait"/>
          <w:cols w:equalWidth="0" w:num="1">
            <w:col w:w="11400"/>
          </w:cols>
          <w:pgMar w:left="240" w:top="125" w:right="259" w:bottom="0" w:gutter="0" w:footer="0" w:header="0"/>
          <w:type w:val="continuous"/>
        </w:sectPr>
      </w:pPr>
    </w:p>
    <w:bookmarkStart w:id="28" w:name="page29"/>
    <w:bookmarkEnd w:id="28"/>
    <w:p>
      <w:pPr>
        <w:ind w:firstLine="259"/>
        <w:spacing w:after="0" w:line="286" w:lineRule="auto"/>
        <w:rPr>
          <w:sz w:val="20"/>
          <w:szCs w:val="20"/>
          <w:color w:val="auto"/>
        </w:rPr>
      </w:pPr>
      <w:r>
        <w:rPr>
          <w:rFonts w:ascii="Arial" w:cs="Arial" w:eastAsia="Arial" w:hAnsi="Arial"/>
          <w:sz w:val="16"/>
          <w:szCs w:val="16"/>
          <w:color w:val="auto"/>
        </w:rPr>
        <w:t>Availability of foundry capacity has in the recent past been reduced due to strong demand. The ability of each foundry to provide us with semiconductor devices is limited by its available capacity and existing obligations. Although we have entered into contractual commitments to supply specified levels of products to some of our customers, we may not have sufficient levels of production capacity with all of our foundries, despite signing a long-term guaranteed production capacity agreement with one of our foundries. Despite this agreement,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Although we use several independent foundries to manufacture substantially all of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we could experience significant delays in securing sufficient supplies of those components. We cannot assure you that any of our existing or new foundries will be able to produce integrated circuits with acceptable manufacturing yields, or that our foundries will be able to deliver enough semiconductor devices to us on a timely basis, or at reasonable prices. These and other related factors could impair our ability to meet our customers’ needs and have a material and adverse effect on our operating results.</w:t>
      </w:r>
    </w:p>
    <w:p>
      <w:pPr>
        <w:spacing w:after="0" w:line="172" w:lineRule="exact"/>
        <w:rPr>
          <w:sz w:val="20"/>
          <w:szCs w:val="20"/>
          <w:color w:val="auto"/>
        </w:rPr>
      </w:pPr>
    </w:p>
    <w:p>
      <w:pPr>
        <w:ind w:right="60" w:firstLine="259"/>
        <w:spacing w:after="0" w:line="286" w:lineRule="auto"/>
        <w:rPr>
          <w:sz w:val="20"/>
          <w:szCs w:val="20"/>
          <w:color w:val="auto"/>
        </w:rPr>
      </w:pPr>
      <w:r>
        <w:rPr>
          <w:rFonts w:ascii="Arial" w:cs="Arial" w:eastAsia="Arial" w:hAnsi="Arial"/>
          <w:sz w:val="17"/>
          <w:szCs w:val="17"/>
          <w:color w:val="auto"/>
        </w:rPr>
        <w:t>In order to secure sufficient foundry capacity when demand is high and mitigate the risks described in the foregoing paragraph, we may enter into various arrangements with suppliers that could be costly and harm our operating results, such as nonrefundable deposits with or loans to foundries in exchange for capacity commitments, and contracts that commit us to purchase specified quantities of integrated circuits over extended periods.</w:t>
      </w:r>
    </w:p>
    <w:p>
      <w:pPr>
        <w:spacing w:after="0" w:line="166" w:lineRule="exact"/>
        <w:rPr>
          <w:sz w:val="20"/>
          <w:szCs w:val="20"/>
          <w:color w:val="auto"/>
        </w:rPr>
      </w:pPr>
    </w:p>
    <w:p>
      <w:pPr>
        <w:jc w:val="both"/>
        <w:ind w:right="60" w:firstLine="259"/>
        <w:spacing w:after="0" w:line="279" w:lineRule="auto"/>
        <w:rPr>
          <w:sz w:val="20"/>
          <w:szCs w:val="20"/>
          <w:color w:val="auto"/>
        </w:rPr>
      </w:pPr>
      <w:r>
        <w:rPr>
          <w:rFonts w:ascii="Arial" w:cs="Arial" w:eastAsia="Arial" w:hAnsi="Arial"/>
          <w:sz w:val="17"/>
          <w:szCs w:val="17"/>
          <w:color w:val="auto"/>
        </w:rPr>
        <w:t>We may not be able to make any such arrangement in a timely fashion or at all, and any arrangements may be costly, reduce our financial flexibility, and not be on terms favorable to us. For example, amounts payable under our foundry capacity are non-refundable regardless of whether we are able to utilize all of any of the guaranteed wafer capacity under the terms of the agreement. Moreover, if we are able to secure foundry capacity, we may be obligated to use all of that capacity or incur penalties. These penalties may be expensive and could harm our financial results.</w:t>
      </w:r>
    </w:p>
    <w:p>
      <w:pPr>
        <w:spacing w:after="0" w:line="171" w:lineRule="exact"/>
        <w:rPr>
          <w:sz w:val="20"/>
          <w:szCs w:val="20"/>
          <w:color w:val="auto"/>
        </w:rPr>
      </w:pPr>
    </w:p>
    <w:p>
      <w:pPr>
        <w:ind w:right="440"/>
        <w:spacing w:after="0" w:line="381" w:lineRule="auto"/>
        <w:rPr>
          <w:sz w:val="20"/>
          <w:szCs w:val="20"/>
          <w:color w:val="auto"/>
        </w:rPr>
      </w:pPr>
      <w:r>
        <w:rPr>
          <w:rFonts w:ascii="Arial" w:cs="Arial" w:eastAsia="Arial" w:hAnsi="Arial"/>
          <w:sz w:val="15"/>
          <w:szCs w:val="15"/>
          <w:b w:val="1"/>
          <w:bCs w:val="1"/>
          <w:i w:val="1"/>
          <w:iCs w:val="1"/>
          <w:color w:val="auto"/>
        </w:rPr>
        <w:t>The complexity of our products could result in unforeseen delays or expenses or undetected defects or bugs, which could adversely affect the market acceptance of new products, damage our reputation with current or prospective customers, and materially and adversely affect our operating costs.</w:t>
      </w:r>
    </w:p>
    <w:p>
      <w:pPr>
        <w:spacing w:after="0" w:line="101" w:lineRule="exact"/>
        <w:rPr>
          <w:sz w:val="20"/>
          <w:szCs w:val="20"/>
          <w:color w:val="auto"/>
        </w:rPr>
      </w:pPr>
    </w:p>
    <w:p>
      <w:pPr>
        <w:ind w:right="20" w:firstLine="259"/>
        <w:spacing w:after="0" w:line="287" w:lineRule="auto"/>
        <w:rPr>
          <w:sz w:val="20"/>
          <w:szCs w:val="20"/>
          <w:color w:val="auto"/>
        </w:rPr>
      </w:pPr>
      <w:r>
        <w:rPr>
          <w:rFonts w:ascii="Arial" w:cs="Arial" w:eastAsia="Arial" w:hAnsi="Arial"/>
          <w:sz w:val="16"/>
          <w:szCs w:val="16"/>
          <w:color w:val="auto"/>
        </w:rPr>
        <w:t>Highly complex products such as the products that we offer frequently contain defects and bugs when they are first introduced or as new versions are released. We have in the past experienced, and may in the future experience, these defects and bugs. Historically, we have been able to design workarounds to fix these defects and bugs with minimal to no disruption to our business or our customers’ business. If any of our products contain defects or bugs, or have reliability, quality, or compatibility problems, we may not be able to successfully design workarounds. Consequently, our reputation may be damaged and customers may be reluctant to buy our products, which could materially and adversely affect our ability to retain existing customers, attract new customers, and our financial results. In addition, these defects or bugs could interrupt or delay sales to our customers. To alleviate these problems, we may have to invest significant capital and other resources. Although our products are tested by our suppliers, our customers and ourselves, it is possible that our new products will contain defects or bugs. If any of these problems are not found until after we have commenced commercial production of a new product, we may be required to incur additional development costs and product recall, repair or replacement costs. These problems may also result in claims against us by our customers or others. In addition, these problems may divert our technical and other resources from other development efforts. Moreover, we would likely lose, or experience a delay in, market acceptance of the affected product or products, and we could lose credibility with our current and prospective customers. As a result, our financial results could be materially harmed.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7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70" w:lineRule="exact"/>
        <w:rPr>
          <w:sz w:val="20"/>
          <w:szCs w:val="20"/>
          <w:color w:val="auto"/>
        </w:rPr>
      </w:pPr>
    </w:p>
    <w:p>
      <w:pPr>
        <w:ind w:firstLine="259"/>
        <w:spacing w:after="0" w:line="268" w:lineRule="auto"/>
        <w:rPr>
          <w:sz w:val="20"/>
          <w:szCs w:val="20"/>
          <w:color w:val="auto"/>
        </w:rPr>
      </w:pPr>
      <w:r>
        <w:rPr>
          <w:rFonts w:ascii="Arial" w:cs="Arial" w:eastAsia="Arial" w:hAnsi="Arial"/>
          <w:sz w:val="17"/>
          <w:szCs w:val="17"/>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any of our foundry subcontractors or we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operating results, as we may reduce our revenue by integrating the functionality of multiple chips into a single chip.</w:t>
      </w:r>
    </w:p>
    <w:p>
      <w:pPr>
        <w:spacing w:after="0" w:line="185"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If we fail to maintain an effective system of internal controls, we may not be able to accurately report our financial results or prevent fraud.</w:t>
      </w:r>
    </w:p>
    <w:p>
      <w:pPr>
        <w:spacing w:after="0" w:line="237" w:lineRule="exact"/>
        <w:rPr>
          <w:sz w:val="20"/>
          <w:szCs w:val="20"/>
          <w:color w:val="auto"/>
        </w:rPr>
      </w:pPr>
    </w:p>
    <w:p>
      <w:pPr>
        <w:ind w:firstLine="259"/>
        <w:spacing w:after="0" w:line="290" w:lineRule="auto"/>
        <w:rPr>
          <w:sz w:val="20"/>
          <w:szCs w:val="20"/>
          <w:color w:val="auto"/>
        </w:rPr>
      </w:pPr>
      <w:r>
        <w:rPr>
          <w:rFonts w:ascii="Arial" w:cs="Arial" w:eastAsia="Arial" w:hAnsi="Arial"/>
          <w:sz w:val="16"/>
          <w:szCs w:val="16"/>
          <w:color w:val="auto"/>
        </w:rPr>
        <w:t>Our management, including our CEO and CFO, does not expect that our system of internal control over financial reporting can prevent all error and all fraud.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Because of the inherent limitations in all control systems, no evaluation of controls can provide absolute assurance that all control issues and instances of fraud, if any, involving Marvell have been, or will be, detected. These inherent limitations include the realities that judgments in decision making can be faulty and that breakdowns can occur because of simple error or mistake. Controls can also be circumvented by the individual acts of some persons, by collusion of two or more people, or by management override of the controls. The design of any system of controls is based in part on certain assumptions about the likelihood of future events, and we cannot assure you that any design will succeed in achieving its stated goals under all potential</w:t>
      </w:r>
    </w:p>
    <w:p>
      <w:pPr>
        <w:sectPr>
          <w:pgSz w:w="11900" w:h="16838" w:orient="portrait"/>
          <w:cols w:equalWidth="0" w:num="1">
            <w:col w:w="11400"/>
          </w:cols>
          <w:pgMar w:left="240" w:top="125" w:right="259" w:bottom="0" w:gutter="0" w:footer="0" w:header="0"/>
        </w:sectPr>
      </w:pPr>
    </w:p>
    <w:bookmarkStart w:id="29" w:name="page30"/>
    <w:bookmarkEnd w:id="29"/>
    <w:p>
      <w:pPr>
        <w:ind w:right="120"/>
        <w:spacing w:after="0" w:line="342" w:lineRule="auto"/>
        <w:rPr>
          <w:sz w:val="20"/>
          <w:szCs w:val="20"/>
          <w:color w:val="auto"/>
        </w:rPr>
      </w:pPr>
      <w:r>
        <w:rPr>
          <w:rFonts w:ascii="Arial" w:cs="Arial" w:eastAsia="Arial" w:hAnsi="Arial"/>
          <w:sz w:val="16"/>
          <w:szCs w:val="16"/>
          <w:color w:val="auto"/>
        </w:rPr>
        <w:t>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124" w:lineRule="exact"/>
        <w:rPr>
          <w:sz w:val="20"/>
          <w:szCs w:val="20"/>
          <w:color w:val="auto"/>
        </w:rPr>
      </w:pPr>
    </w:p>
    <w:p>
      <w:pPr>
        <w:ind w:firstLine="259"/>
        <w:spacing w:after="0" w:line="269" w:lineRule="auto"/>
        <w:rPr>
          <w:sz w:val="20"/>
          <w:szCs w:val="20"/>
          <w:color w:val="auto"/>
        </w:rPr>
      </w:pPr>
      <w:r>
        <w:rPr>
          <w:rFonts w:ascii="Arial" w:cs="Arial" w:eastAsia="Arial" w:hAnsi="Arial"/>
          <w:sz w:val="17"/>
          <w:szCs w:val="17"/>
          <w:color w:val="auto"/>
        </w:rPr>
        <w:t>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 These Sarbanes-Oxley Act requirements may be modified, supplemented or amended from time to time. Implementing these changes may take a significant amount of time and may require specific compliance training of our personnel. We have in the past discovered, and may in the future discover, areas of our internal controls that need improvement. If we or our auditors discover a material weakness, the disclosure of that fact, even if quickly remedied, could reduce the market’s confidence in our financial statements and harm our stock price. We may not be able to effectively and timely implement necessary control changes and employee training to ensure continued compliance with the Sarbanes-Oxley Act and other regulatory and reporting requirements. Our rapid growth in recent periods, and our possible future expansion through additional acquisitions, present challenges to maintain the internal control and disclosure control standards applicable to public companies. If we fail to maintain effective internal controls we could be subject to regulatory scrutiny and sanctions and investors could lose confidence in the accuracy and completeness of our financial reports. We cannot assure you that we will be able to fully comply with the requirements of the Sarbanes-Oxley Act or that management or our auditors will conclude that our internal controls are effective in future periods.</w:t>
      </w:r>
    </w:p>
    <w:p>
      <w:pPr>
        <w:spacing w:after="0" w:line="39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7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225" w:lineRule="exact"/>
        <w:rPr>
          <w:sz w:val="20"/>
          <w:szCs w:val="20"/>
          <w:color w:val="auto"/>
        </w:rPr>
      </w:pPr>
    </w:p>
    <w:p>
      <w:pPr>
        <w:ind w:right="300" w:firstLine="259"/>
        <w:spacing w:after="0" w:line="277" w:lineRule="auto"/>
        <w:rPr>
          <w:sz w:val="20"/>
          <w:szCs w:val="20"/>
          <w:color w:val="auto"/>
        </w:rPr>
      </w:pPr>
      <w:r>
        <w:rPr>
          <w:rFonts w:ascii="Arial" w:cs="Arial" w:eastAsia="Arial" w:hAnsi="Arial"/>
          <w:sz w:val="18"/>
          <w:szCs w:val="18"/>
          <w:color w:val="auto"/>
        </w:rPr>
        <w:t>Our U.S. headquarters located in Santa Clara, California and our planned purchase of real property in Singapore subjects us to the risks of owning real property, including:</w:t>
      </w:r>
    </w:p>
    <w:p>
      <w:pPr>
        <w:spacing w:after="0" w:line="170" w:lineRule="exact"/>
        <w:rPr>
          <w:sz w:val="20"/>
          <w:szCs w:val="20"/>
          <w:color w:val="auto"/>
        </w:rPr>
      </w:pPr>
    </w:p>
    <w:p>
      <w:pPr>
        <w:ind w:left="940" w:hanging="284"/>
        <w:spacing w:after="0"/>
        <w:tabs>
          <w:tab w:leader="none" w:pos="9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225" w:lineRule="exact"/>
        <w:rPr>
          <w:rFonts w:ascii="Arial" w:cs="Arial" w:eastAsia="Arial" w:hAnsi="Arial"/>
          <w:sz w:val="18"/>
          <w:szCs w:val="18"/>
          <w:color w:val="auto"/>
        </w:rPr>
      </w:pPr>
    </w:p>
    <w:p>
      <w:pPr>
        <w:ind w:left="980" w:right="240" w:hanging="324"/>
        <w:spacing w:after="0" w:line="277" w:lineRule="auto"/>
        <w:tabs>
          <w:tab w:leader="none" w:pos="944" w:val="left"/>
        </w:tabs>
        <w:numPr>
          <w:ilvl w:val="0"/>
          <w:numId w:val="11"/>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potential disruption of our business and operations arising from or connected with a relocation due to moving to the facility;</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225" w:lineRule="exact"/>
        <w:rPr>
          <w:rFonts w:ascii="Arial" w:cs="Arial" w:eastAsia="Arial" w:hAnsi="Arial"/>
          <w:sz w:val="18"/>
          <w:szCs w:val="18"/>
          <w:color w:val="auto"/>
        </w:rPr>
      </w:pPr>
    </w:p>
    <w:p>
      <w:pPr>
        <w:ind w:left="980" w:right="160" w:hanging="324"/>
        <w:spacing w:after="0" w:line="277" w:lineRule="auto"/>
        <w:tabs>
          <w:tab w:leader="none" w:pos="944"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an earthquake.</w:t>
      </w:r>
    </w:p>
    <w:p>
      <w:pPr>
        <w:spacing w:after="0" w:line="170" w:lineRule="exact"/>
        <w:rPr>
          <w:sz w:val="20"/>
          <w:szCs w:val="20"/>
          <w:color w:val="auto"/>
        </w:rPr>
      </w:pPr>
    </w:p>
    <w:p>
      <w:pPr>
        <w:ind w:right="460"/>
        <w:spacing w:after="0" w:line="34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24" w:lineRule="exact"/>
        <w:rPr>
          <w:sz w:val="20"/>
          <w:szCs w:val="20"/>
          <w:color w:val="auto"/>
        </w:rPr>
      </w:pPr>
    </w:p>
    <w:p>
      <w:pPr>
        <w:ind w:right="20" w:firstLine="259"/>
        <w:spacing w:after="0" w:line="273" w:lineRule="auto"/>
        <w:rPr>
          <w:sz w:val="20"/>
          <w:szCs w:val="20"/>
          <w:color w:val="auto"/>
        </w:rPr>
      </w:pPr>
      <w:r>
        <w:rPr>
          <w:rFonts w:ascii="Arial" w:cs="Arial" w:eastAsia="Arial" w:hAnsi="Arial"/>
          <w:sz w:val="17"/>
          <w:szCs w:val="17"/>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believe that our future success is highly dependent on the contributions of Sehat Sutardja, Ph.D., our co-founder, President and Chief Executive Officer; Weili Dai, our co-founder and Executive Vice President; and Pantas Sutardja, Ph.D., our co-founder and Chief Technology Officer. We do not have employment contracts with these or any other key personnel, and their knowledge of our business and industry would be extremely difficult to replace.</w:t>
      </w:r>
    </w:p>
    <w:p>
      <w:pPr>
        <w:spacing w:after="0" w:line="178" w:lineRule="exact"/>
        <w:rPr>
          <w:sz w:val="20"/>
          <w:szCs w:val="20"/>
          <w:color w:val="auto"/>
        </w:rPr>
      </w:pPr>
    </w:p>
    <w:p>
      <w:pPr>
        <w:ind w:right="120" w:firstLine="259"/>
        <w:spacing w:after="0" w:line="257" w:lineRule="auto"/>
        <w:rPr>
          <w:sz w:val="20"/>
          <w:szCs w:val="20"/>
          <w:color w:val="auto"/>
        </w:rPr>
      </w:pPr>
      <w:r>
        <w:rPr>
          <w:rFonts w:ascii="Arial" w:cs="Arial" w:eastAsia="Arial" w:hAnsi="Arial"/>
          <w:sz w:val="18"/>
          <w:szCs w:val="18"/>
          <w:color w:val="auto"/>
        </w:rPr>
        <w:t>There is currently a shortage of qualified technical personnel with significant experience in the design, development, manufacturing, marketing and sales of integrated circuits.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and retaining sufficient numbers of technical personnel to support our anticipated growth.</w:t>
      </w:r>
    </w:p>
    <w:p>
      <w:pPr>
        <w:spacing w:after="0" w:line="188" w:lineRule="exact"/>
        <w:rPr>
          <w:sz w:val="20"/>
          <w:szCs w:val="20"/>
          <w:color w:val="auto"/>
        </w:rPr>
      </w:pPr>
    </w:p>
    <w:p>
      <w:pPr>
        <w:jc w:val="both"/>
        <w:ind w:right="80" w:firstLine="259"/>
        <w:spacing w:after="0" w:line="276" w:lineRule="auto"/>
        <w:rPr>
          <w:sz w:val="20"/>
          <w:szCs w:val="20"/>
          <w:color w:val="auto"/>
        </w:rPr>
      </w:pPr>
      <w:r>
        <w:rPr>
          <w:rFonts w:ascii="Arial" w:cs="Arial" w:eastAsia="Arial" w:hAnsi="Arial"/>
          <w:sz w:val="17"/>
          <w:szCs w:val="17"/>
          <w:color w:val="auto"/>
        </w:rPr>
        <w:t>Stock options generally comprise a significant portion of our compensation packages for all employees. The FASB requirement to expense the fair value of stock options awarded to employees beginning in the first quarter of our fiscal 2007 has increased our operating expenses and may cause us to reevaluate our compensation structure for our employees. We cannot be certain that the changes in our compensation policies, if any, will improve our ability to attract, retain and motivate employees. Our inability to attract and retain additional key employees and the increase in stock-based compensation expense could each have an adverse effect on our business, financial condition and results of operations.</w:t>
      </w:r>
    </w:p>
    <w:p>
      <w:pPr>
        <w:spacing w:after="0" w:line="3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7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5" w:right="259" w:bottom="937" w:gutter="0" w:footer="0" w:header="0"/>
        </w:sectPr>
      </w:pPr>
    </w:p>
    <w:bookmarkStart w:id="30" w:name="page31"/>
    <w:bookmarkEnd w:id="30"/>
    <w:p>
      <w:pPr>
        <w:spacing w:after="0" w:line="42"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b w:val="1"/>
          <w:bCs w:val="1"/>
          <w:i w:val="1"/>
          <w:iCs w:val="1"/>
          <w:color w:val="auto"/>
        </w:rPr>
        <w:t>Our officers and directors own a large percentage of our voting stock, and three existing directors, who are also significant shareholders, are related by blood or marriage. These factors may allow the officers and directors as a group or the three related directors to greatly influence the election of directors and the approval or disapproval of significant corporate actions.</w:t>
      </w:r>
    </w:p>
    <w:p>
      <w:pPr>
        <w:spacing w:after="0" w:line="181" w:lineRule="exact"/>
        <w:rPr>
          <w:sz w:val="20"/>
          <w:szCs w:val="20"/>
          <w:color w:val="auto"/>
        </w:rPr>
      </w:pPr>
    </w:p>
    <w:p>
      <w:pPr>
        <w:ind w:right="100" w:firstLine="259"/>
        <w:spacing w:after="0" w:line="254" w:lineRule="auto"/>
        <w:rPr>
          <w:sz w:val="20"/>
          <w:szCs w:val="20"/>
          <w:color w:val="auto"/>
        </w:rPr>
      </w:pPr>
      <w:r>
        <w:rPr>
          <w:rFonts w:ascii="Arial" w:cs="Arial" w:eastAsia="Arial" w:hAnsi="Arial"/>
          <w:sz w:val="18"/>
          <w:szCs w:val="18"/>
          <w:color w:val="auto"/>
        </w:rPr>
        <w:t>As of May 31, 2006, our executive officers and directors beneficially owned or controlled, directly or indirectly, approximately 20% of the outstanding shares our common stock. Additionally, Sehat Sutardja, Ph.D. and Weili Dai are husband and wife and Sehat Sutardja, Ph.D. and Pantas Sutardja, Ph.D. are brothers. All three are directors and together they held approximately 19% of our outstanding common stock as of May 31, 2006. As a result, if the directors and officers as a group or any of Sehat Sutardja, Ph.D., Weili Dai and Pantas Sutardja, Ph.D. act together, they will significantly influence the election of our directors and the approval or disapproval of our significant corporate actions. This influence over our affairs might be adverse to the interests of other shareholders. In addition, the voting power of these officers or directors could have the effect of delaying or preventing an acquisition of our company on terms that other shareholders may desire. Furthermore, we have a classified board, which could also further delay or prevent an acquisition, under certain circumstances.</w:t>
      </w:r>
    </w:p>
    <w:p>
      <w:pPr>
        <w:spacing w:after="0" w:line="192" w:lineRule="exact"/>
        <w:rPr>
          <w:sz w:val="20"/>
          <w:szCs w:val="20"/>
          <w:color w:val="auto"/>
        </w:rPr>
      </w:pPr>
    </w:p>
    <w:p>
      <w:pPr>
        <w:ind w:firstLine="259"/>
        <w:spacing w:after="0" w:line="270" w:lineRule="auto"/>
        <w:rPr>
          <w:sz w:val="20"/>
          <w:szCs w:val="20"/>
          <w:color w:val="auto"/>
        </w:rPr>
      </w:pPr>
      <w:r>
        <w:rPr>
          <w:rFonts w:ascii="Arial" w:cs="Arial" w:eastAsia="Arial" w:hAnsi="Arial"/>
          <w:sz w:val="17"/>
          <w:szCs w:val="17"/>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82"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170" w:lineRule="exact"/>
        <w:rPr>
          <w:sz w:val="20"/>
          <w:szCs w:val="20"/>
          <w:color w:val="auto"/>
        </w:rPr>
      </w:pPr>
    </w:p>
    <w:p>
      <w:pPr>
        <w:ind w:firstLine="259"/>
        <w:spacing w:after="0" w:line="297"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94% of our net revenue in the first three months of fiscal 2007, 94% of our net revenue in fiscal 2006 and 93% of our net revenue in fiscal 2005.</w:t>
      </w:r>
    </w:p>
    <w:p>
      <w:pPr>
        <w:spacing w:after="0" w:line="158" w:lineRule="exact"/>
        <w:rPr>
          <w:sz w:val="20"/>
          <w:szCs w:val="20"/>
          <w:color w:val="auto"/>
        </w:rPr>
      </w:pPr>
    </w:p>
    <w:p>
      <w:pPr>
        <w:ind w:right="380" w:firstLine="259"/>
        <w:spacing w:after="0" w:line="308" w:lineRule="auto"/>
        <w:rPr>
          <w:sz w:val="20"/>
          <w:szCs w:val="20"/>
          <w:color w:val="auto"/>
        </w:rPr>
      </w:pPr>
      <w:r>
        <w:rPr>
          <w:rFonts w:ascii="Arial" w:cs="Arial" w:eastAsia="Arial" w:hAnsi="Arial"/>
          <w:sz w:val="17"/>
          <w:szCs w:val="17"/>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147" w:lineRule="exact"/>
        <w:rPr>
          <w:sz w:val="20"/>
          <w:szCs w:val="20"/>
          <w:color w:val="auto"/>
        </w:rPr>
      </w:pPr>
    </w:p>
    <w:p>
      <w:pPr>
        <w:ind w:left="940" w:hanging="284"/>
        <w:spacing w:after="0"/>
        <w:tabs>
          <w:tab w:leader="none" w:pos="9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compliance with foreign laws;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2"/>
        </w:numPr>
        <w:rPr>
          <w:rFonts w:ascii="Arial" w:cs="Arial" w:eastAsia="Arial" w:hAnsi="Arial"/>
          <w:sz w:val="17"/>
          <w:szCs w:val="17"/>
          <w:color w:val="auto"/>
        </w:rPr>
      </w:pPr>
      <w:r>
        <w:rPr>
          <w:rFonts w:ascii="Arial" w:cs="Arial" w:eastAsia="Arial" w:hAnsi="Arial"/>
          <w:sz w:val="17"/>
          <w:szCs w:val="17"/>
          <w:color w:val="auto"/>
        </w:rPr>
        <w:t>difficulties of managing distributors, especially because we expect to continue to increase our sales through international distributors;</w:t>
      </w:r>
    </w:p>
    <w:p>
      <w:pPr>
        <w:spacing w:after="0" w:line="200" w:lineRule="exact"/>
        <w:rPr>
          <w:sz w:val="20"/>
          <w:szCs w:val="20"/>
          <w:color w:val="auto"/>
        </w:rPr>
      </w:pPr>
    </w:p>
    <w:p>
      <w:pPr>
        <w:spacing w:after="0" w:line="25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8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980" w:right="600" w:hanging="324"/>
        <w:spacing w:after="0" w:line="277" w:lineRule="auto"/>
        <w:tabs>
          <w:tab w:leader="none" w:pos="944" w:val="left"/>
        </w:tabs>
        <w:numPr>
          <w:ilvl w:val="0"/>
          <w:numId w:val="13"/>
        </w:numPr>
        <w:rPr>
          <w:rFonts w:ascii="Arial" w:cs="Arial" w:eastAsia="Arial" w:hAnsi="Arial"/>
          <w:sz w:val="18"/>
          <w:szCs w:val="18"/>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225" w:lineRule="exact"/>
        <w:rPr>
          <w:sz w:val="20"/>
          <w:szCs w:val="20"/>
          <w:color w:val="auto"/>
        </w:rPr>
      </w:pPr>
    </w:p>
    <w:p>
      <w:pPr>
        <w:ind w:right="60" w:firstLine="259"/>
        <w:spacing w:after="0" w:line="279" w:lineRule="auto"/>
        <w:rPr>
          <w:sz w:val="20"/>
          <w:szCs w:val="20"/>
          <w:color w:val="auto"/>
        </w:rPr>
      </w:pPr>
      <w:r>
        <w:rPr>
          <w:rFonts w:ascii="Arial" w:cs="Arial" w:eastAsia="Arial" w:hAnsi="Arial"/>
          <w:sz w:val="17"/>
          <w:szCs w:val="17"/>
          <w:color w:val="auto"/>
        </w:rPr>
        <w:t>Because substantially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71" w:lineRule="exact"/>
        <w:rPr>
          <w:sz w:val="20"/>
          <w:szCs w:val="20"/>
          <w:color w:val="auto"/>
        </w:rPr>
      </w:pPr>
    </w:p>
    <w:p>
      <w:pPr>
        <w:ind w:right="380"/>
        <w:spacing w:after="0" w:line="264" w:lineRule="auto"/>
        <w:rPr>
          <w:sz w:val="20"/>
          <w:szCs w:val="20"/>
          <w:color w:val="auto"/>
        </w:rPr>
      </w:pPr>
      <w:r>
        <w:rPr>
          <w:rFonts w:ascii="Arial" w:cs="Arial" w:eastAsia="Arial" w:hAnsi="Arial"/>
          <w:sz w:val="18"/>
          <w:szCs w:val="18"/>
          <w:b w:val="1"/>
          <w:bCs w:val="1"/>
          <w:i w:val="1"/>
          <w:iCs w:val="1"/>
          <w:color w:val="auto"/>
        </w:rPr>
        <w:t>Our third-party foundries and subcontractors are concentrated in Taiwan and elsewhere in the Pan-Pacific region,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181" w:lineRule="exact"/>
        <w:rPr>
          <w:sz w:val="20"/>
          <w:szCs w:val="20"/>
          <w:color w:val="auto"/>
        </w:rPr>
      </w:pPr>
    </w:p>
    <w:p>
      <w:pPr>
        <w:ind w:firstLine="259"/>
        <w:spacing w:after="0" w:line="270" w:lineRule="auto"/>
        <w:rPr>
          <w:sz w:val="20"/>
          <w:szCs w:val="20"/>
          <w:color w:val="auto"/>
        </w:rPr>
      </w:pPr>
      <w:r>
        <w:rPr>
          <w:rFonts w:ascii="Arial" w:cs="Arial" w:eastAsia="Arial" w:hAnsi="Arial"/>
          <w:sz w:val="17"/>
          <w:szCs w:val="17"/>
          <w:color w:val="auto"/>
        </w:rPr>
        <w:t>Substantially all of our products are manufactured by third-party foundries located in Taiwan. Currently our only alternative manufacturing sources are located in Taiwan, China and Singapore. In addition, substantially all of our assembly and testing facilities are located in Singapore, Taiwan, Malaysia and the Philippines.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In March 2002 and June 2003, major earthquakes occurred in Taiwan. Although our foundries and subcontractors did not suffer any significant damage as a result of these most recent earthquakes, the occurrence of additional earthquakes or other natural disasters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third-party vendor. We may not be able to obtain alternate capacity on favorable terms, if at all.</w:t>
      </w:r>
    </w:p>
    <w:p>
      <w:pPr>
        <w:sectPr>
          <w:pgSz w:w="11900" w:h="16881" w:orient="portrait"/>
          <w:cols w:equalWidth="0" w:num="1">
            <w:col w:w="11400"/>
          </w:cols>
          <w:pgMar w:left="240" w:top="125" w:right="259" w:bottom="0" w:gutter="0" w:footer="0" w:header="0"/>
        </w:sectPr>
      </w:pPr>
    </w:p>
    <w:bookmarkStart w:id="31" w:name="page32"/>
    <w:bookmarkEnd w:id="31"/>
    <w:p>
      <w:pPr>
        <w:spacing w:after="0" w:line="54" w:lineRule="exact"/>
        <w:rPr>
          <w:sz w:val="20"/>
          <w:szCs w:val="20"/>
          <w:color w:val="auto"/>
        </w:rPr>
      </w:pPr>
    </w:p>
    <w:p>
      <w:pPr>
        <w:ind w:right="160" w:firstLine="259"/>
        <w:spacing w:after="0" w:line="293" w:lineRule="auto"/>
        <w:rPr>
          <w:sz w:val="20"/>
          <w:szCs w:val="20"/>
          <w:color w:val="auto"/>
        </w:rPr>
      </w:pPr>
      <w:r>
        <w:rPr>
          <w:rFonts w:ascii="Arial" w:cs="Arial" w:eastAsia="Arial" w:hAnsi="Arial"/>
          <w:sz w:val="16"/>
          <w:szCs w:val="16"/>
          <w:color w:val="auto"/>
        </w:rPr>
        <w:t>In May 2005, a fire occurred at one of our third-party subcontractor’s production facilities that produce packaging substrates that we use in our products. In the recent past others in our industry experienced a shortage in the supply of packaging substrates that we use for our products. We do not purchase substrates from the factory where the fire occurred, however, the fire affected the overall supply of substrates and has indirectly impacted us through increased lead times and less supply of substrates that we use in our products. If our third-party subcontractors are unable to obtain sufficient packaging materials for our products in a timely manner, we may experience a significant product shortage or delay in product shipments, which could seriously harm our customer relationships and materially and adversely affect our net revenue, business, results of operations, financial condition and cash flows.</w:t>
      </w:r>
    </w:p>
    <w:p>
      <w:pPr>
        <w:spacing w:after="0" w:line="165" w:lineRule="exact"/>
        <w:rPr>
          <w:sz w:val="20"/>
          <w:szCs w:val="20"/>
          <w:color w:val="auto"/>
        </w:rPr>
      </w:pPr>
    </w:p>
    <w:p>
      <w:pPr>
        <w:ind w:right="620"/>
        <w:spacing w:after="0" w:line="277"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profits.</w:t>
      </w:r>
    </w:p>
    <w:p>
      <w:pPr>
        <w:spacing w:after="0" w:line="170" w:lineRule="exact"/>
        <w:rPr>
          <w:sz w:val="20"/>
          <w:szCs w:val="20"/>
          <w:color w:val="auto"/>
        </w:rPr>
      </w:pPr>
    </w:p>
    <w:p>
      <w:pPr>
        <w:ind w:right="140" w:firstLine="259"/>
        <w:spacing w:after="0" w:line="273" w:lineRule="auto"/>
        <w:rPr>
          <w:sz w:val="20"/>
          <w:szCs w:val="20"/>
          <w:color w:val="auto"/>
        </w:rPr>
      </w:pPr>
      <w:r>
        <w:rPr>
          <w:rFonts w:ascii="Arial" w:cs="Arial" w:eastAsia="Arial" w:hAnsi="Arial"/>
          <w:sz w:val="17"/>
          <w:szCs w:val="17"/>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our gross profits on our products are likely to decrease over the next fiscal year below levels we have historically experienced due to pricing pressures from our customers, an increase in sales of storage SOCs, which typically have lower margins than standalone read channel devices, and an increase in sales of wireless and other products into consumer application markets, which are highly competitive and cost sensitive.</w:t>
      </w:r>
    </w:p>
    <w:p>
      <w:pPr>
        <w:spacing w:after="0" w:line="178" w:lineRule="exact"/>
        <w:rPr>
          <w:sz w:val="20"/>
          <w:szCs w:val="20"/>
          <w:color w:val="auto"/>
        </w:rPr>
      </w:pPr>
    </w:p>
    <w:p>
      <w:pPr>
        <w:ind w:right="40" w:firstLine="259"/>
        <w:spacing w:after="0" w:line="259"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200" w:lineRule="exact"/>
        <w:rPr>
          <w:sz w:val="20"/>
          <w:szCs w:val="20"/>
          <w:color w:val="auto"/>
        </w:rPr>
      </w:pPr>
    </w:p>
    <w:p>
      <w:pPr>
        <w:spacing w:after="0" w:line="2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8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have a lengthy and expensive product sales cycle that does not assure product sales, and that if unsuccessful, may harm our operating results.</w:t>
      </w:r>
    </w:p>
    <w:p>
      <w:pPr>
        <w:spacing w:after="0" w:line="248" w:lineRule="exact"/>
        <w:rPr>
          <w:sz w:val="20"/>
          <w:szCs w:val="20"/>
          <w:color w:val="auto"/>
        </w:rPr>
      </w:pPr>
    </w:p>
    <w:p>
      <w:pPr>
        <w:jc w:val="both"/>
        <w:ind w:firstLine="259"/>
        <w:spacing w:after="0" w:line="264" w:lineRule="auto"/>
        <w:rPr>
          <w:sz w:val="20"/>
          <w:szCs w:val="20"/>
          <w:color w:val="auto"/>
        </w:rPr>
      </w:pPr>
      <w:r>
        <w:rPr>
          <w:rFonts w:ascii="Arial" w:cs="Arial" w:eastAsia="Arial" w:hAnsi="Arial"/>
          <w:sz w:val="18"/>
          <w:szCs w:val="18"/>
          <w:color w:val="auto"/>
        </w:rPr>
        <w:t>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w:t>
      </w:r>
    </w:p>
    <w:p>
      <w:pPr>
        <w:spacing w:after="0" w:line="181" w:lineRule="exact"/>
        <w:rPr>
          <w:sz w:val="20"/>
          <w:szCs w:val="20"/>
          <w:color w:val="auto"/>
        </w:rPr>
      </w:pPr>
    </w:p>
    <w:p>
      <w:pPr>
        <w:ind w:right="20" w:firstLine="259"/>
        <w:spacing w:after="0" w:line="270" w:lineRule="auto"/>
        <w:rPr>
          <w:sz w:val="20"/>
          <w:szCs w:val="20"/>
          <w:color w:val="auto"/>
        </w:rPr>
      </w:pPr>
      <w:r>
        <w:rPr>
          <w:rFonts w:ascii="Arial" w:cs="Arial" w:eastAsia="Arial" w:hAnsi="Arial"/>
          <w:sz w:val="17"/>
          <w:szCs w:val="17"/>
          <w:color w:val="auto"/>
        </w:rPr>
        <w:t>Qualification is typically followed by an extended development period by our customers and an additional three to six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its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178" w:lineRule="exact"/>
        <w:rPr>
          <w:sz w:val="20"/>
          <w:szCs w:val="20"/>
          <w:color w:val="auto"/>
        </w:rPr>
      </w:pPr>
    </w:p>
    <w:p>
      <w:pPr>
        <w:ind w:right="40" w:firstLine="259"/>
        <w:spacing w:after="0" w:line="257" w:lineRule="auto"/>
        <w:rPr>
          <w:sz w:val="20"/>
          <w:szCs w:val="20"/>
          <w:color w:val="auto"/>
        </w:rPr>
      </w:pPr>
      <w:r>
        <w:rPr>
          <w:rFonts w:ascii="Arial" w:cs="Arial" w:eastAsia="Arial" w:hAnsi="Arial"/>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188"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We must keep pace with rapid technological change and evolving industry standards in the semiconductor industry to remain competitive.</w:t>
      </w:r>
    </w:p>
    <w:p>
      <w:pPr>
        <w:spacing w:after="0" w:line="237" w:lineRule="exact"/>
        <w:rPr>
          <w:sz w:val="20"/>
          <w:szCs w:val="20"/>
          <w:color w:val="auto"/>
        </w:rPr>
      </w:pPr>
    </w:p>
    <w:p>
      <w:pPr>
        <w:ind w:right="80" w:firstLine="259"/>
        <w:spacing w:after="0" w:line="269" w:lineRule="auto"/>
        <w:rPr>
          <w:sz w:val="20"/>
          <w:szCs w:val="20"/>
          <w:color w:val="auto"/>
        </w:rPr>
      </w:pPr>
      <w:r>
        <w:rPr>
          <w:rFonts w:ascii="Arial" w:cs="Arial" w:eastAsia="Arial" w:hAnsi="Arial"/>
          <w:sz w:val="17"/>
          <w:szCs w:val="17"/>
          <w:color w:val="auto"/>
        </w:rPr>
        <w:t>Our future success will depend on our ability to anticipate and adapt to changes in technology and industry standards and our customers’ changing demands. We sell products in markets that are characterized by rapid technological change, evolving industry standards, frequent new product introductions, short product life cycles and increasing demand for higher levels of integration and smaller process geometries.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we serve and to introduce and promote those products successfully.</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25" w:lineRule="exact"/>
        <w:rPr>
          <w:sz w:val="20"/>
          <w:szCs w:val="20"/>
          <w:color w:val="auto"/>
        </w:rPr>
      </w:pPr>
    </w:p>
    <w:p>
      <w:pPr>
        <w:ind w:right="220" w:firstLine="259"/>
        <w:spacing w:after="0" w:line="290"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w:t>
      </w:r>
    </w:p>
    <w:p>
      <w:pPr>
        <w:sectPr>
          <w:pgSz w:w="11900" w:h="16892" w:orient="portrait"/>
          <w:cols w:equalWidth="0" w:num="1">
            <w:col w:w="11420"/>
          </w:cols>
          <w:pgMar w:left="240" w:top="125" w:right="239" w:bottom="0" w:gutter="0" w:footer="0" w:header="0"/>
        </w:sectPr>
      </w:pPr>
    </w:p>
    <w:bookmarkStart w:id="32" w:name="page33"/>
    <w:bookmarkEnd w:id="32"/>
    <w:p>
      <w:pPr>
        <w:ind w:right="160"/>
        <w:spacing w:after="0" w:line="277" w:lineRule="auto"/>
        <w:rPr>
          <w:sz w:val="20"/>
          <w:szCs w:val="20"/>
          <w:color w:val="auto"/>
        </w:rPr>
      </w:pPr>
      <w:r>
        <w:rPr>
          <w:rFonts w:ascii="Arial" w:cs="Arial" w:eastAsia="Arial" w:hAnsi="Arial"/>
          <w:sz w:val="18"/>
          <w:szCs w:val="18"/>
          <w:color w:val="auto"/>
        </w:rPr>
        <w:t>circumvented. Despite our efforts, unauthorized parties may attempt to copy or otherwise obtain and use our products or proprietary technology. Monitoring unauthorized use of our technology is difficult,</w:t>
      </w:r>
    </w:p>
    <w:p>
      <w:pPr>
        <w:spacing w:after="0" w:line="3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8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340"/>
        <w:spacing w:after="0" w:line="277" w:lineRule="auto"/>
        <w:rPr>
          <w:sz w:val="20"/>
          <w:szCs w:val="20"/>
          <w:color w:val="auto"/>
        </w:rPr>
      </w:pPr>
      <w:r>
        <w:rPr>
          <w:rFonts w:ascii="Arial" w:cs="Arial" w:eastAsia="Arial" w:hAnsi="Arial"/>
          <w:sz w:val="18"/>
          <w:szCs w:val="18"/>
          <w:color w:val="auto"/>
        </w:rPr>
        <w:t>and the steps that we have taken may not prevent unauthorized use of our technology, particularly in foreign countries where the laws may not protect our proprietary rights as fully as in the United States.</w:t>
      </w:r>
    </w:p>
    <w:p>
      <w:pPr>
        <w:spacing w:after="0" w:line="170" w:lineRule="exact"/>
        <w:rPr>
          <w:sz w:val="20"/>
          <w:szCs w:val="20"/>
          <w:color w:val="auto"/>
        </w:rPr>
      </w:pPr>
    </w:p>
    <w:p>
      <w:pPr>
        <w:ind w:right="340" w:firstLine="259"/>
        <w:spacing w:after="0" w:line="277" w:lineRule="auto"/>
        <w:rPr>
          <w:sz w:val="20"/>
          <w:szCs w:val="20"/>
          <w:color w:val="auto"/>
        </w:rPr>
      </w:pPr>
      <w:r>
        <w:rPr>
          <w:rFonts w:ascii="Arial" w:cs="Arial" w:eastAsia="Arial" w:hAnsi="Arial"/>
          <w:sz w:val="18"/>
          <w:szCs w:val="18"/>
          <w:b w:val="1"/>
          <w:bCs w:val="1"/>
          <w:i w:val="1"/>
          <w:iCs w:val="1"/>
          <w:color w:val="auto"/>
        </w:rPr>
        <w:t>We may become involved with costly and lengthy litigation, which could subject us to liability, require us to stop selling our products or force us to redesign our products.</w:t>
      </w:r>
    </w:p>
    <w:p>
      <w:pPr>
        <w:spacing w:after="0" w:line="170" w:lineRule="exact"/>
        <w:rPr>
          <w:sz w:val="20"/>
          <w:szCs w:val="20"/>
          <w:color w:val="auto"/>
        </w:rPr>
      </w:pPr>
    </w:p>
    <w:p>
      <w:pPr>
        <w:ind w:right="320" w:firstLine="259"/>
        <w:spacing w:after="0" w:line="257" w:lineRule="auto"/>
        <w:rPr>
          <w:sz w:val="20"/>
          <w:szCs w:val="20"/>
          <w:color w:val="auto"/>
        </w:rPr>
      </w:pPr>
      <w:r>
        <w:rPr>
          <w:rFonts w:ascii="Arial" w:cs="Arial" w:eastAsia="Arial" w:hAnsi="Arial"/>
          <w:sz w:val="18"/>
          <w:szCs w:val="18"/>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 receive, and may continue to receive in the future, notices that claim we have infringed upon, misappropriated or misused the proprietary rights of other parties. These claims could result in litigation, which, in turn, could subject us to significant liability for damages. Any potential intellectual property litigation also could force us to do one or more of the following:</w:t>
      </w:r>
    </w:p>
    <w:p>
      <w:pPr>
        <w:spacing w:after="0" w:line="188" w:lineRule="exact"/>
        <w:rPr>
          <w:sz w:val="20"/>
          <w:szCs w:val="20"/>
          <w:color w:val="auto"/>
        </w:rPr>
      </w:pPr>
    </w:p>
    <w:p>
      <w:pPr>
        <w:ind w:left="940" w:hanging="284"/>
        <w:spacing w:after="0"/>
        <w:tabs>
          <w:tab w:leader="none" w:pos="9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stop selling products or using technology that contain the allegedly infringing intellectual property;</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pay substantial damages to the party claiming infringement that could adversely impact our liquidity or operating results;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4"/>
        </w:numPr>
        <w:rPr>
          <w:rFonts w:ascii="Arial" w:cs="Arial" w:eastAsia="Arial" w:hAnsi="Arial"/>
          <w:sz w:val="17"/>
          <w:szCs w:val="17"/>
          <w:color w:val="auto"/>
        </w:rPr>
      </w:pPr>
      <w:r>
        <w:rPr>
          <w:rFonts w:ascii="Arial" w:cs="Arial" w:eastAsia="Arial" w:hAnsi="Arial"/>
          <w:sz w:val="17"/>
          <w:szCs w:val="17"/>
          <w:color w:val="auto"/>
        </w:rPr>
        <w:t>attempt to obtain a license to the relevant intellectual property, which license may not be available on reasonable terms or at all; and</w:t>
      </w:r>
    </w:p>
    <w:p>
      <w:pPr>
        <w:spacing w:after="0" w:line="236" w:lineRule="exact"/>
        <w:rPr>
          <w:rFonts w:ascii="Arial" w:cs="Arial" w:eastAsia="Arial" w:hAnsi="Arial"/>
          <w:sz w:val="17"/>
          <w:szCs w:val="17"/>
          <w:color w:val="auto"/>
        </w:rPr>
      </w:pPr>
    </w:p>
    <w:p>
      <w:pPr>
        <w:ind w:left="940" w:hanging="284"/>
        <w:spacing w:after="0"/>
        <w:tabs>
          <w:tab w:leader="none" w:pos="9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225" w:lineRule="exact"/>
        <w:rPr>
          <w:sz w:val="20"/>
          <w:szCs w:val="20"/>
          <w:color w:val="auto"/>
        </w:rPr>
      </w:pPr>
    </w:p>
    <w:p>
      <w:pPr>
        <w:ind w:right="100" w:firstLine="259"/>
        <w:spacing w:after="0" w:line="257" w:lineRule="auto"/>
        <w:rPr>
          <w:sz w:val="20"/>
          <w:szCs w:val="20"/>
          <w:color w:val="auto"/>
        </w:rPr>
      </w:pPr>
      <w:r>
        <w:rPr>
          <w:rFonts w:ascii="Arial" w:cs="Arial" w:eastAsia="Arial" w:hAnsi="Arial"/>
          <w:sz w:val="18"/>
          <w:szCs w:val="18"/>
          <w:color w:val="auto"/>
        </w:rPr>
        <w:t>We are also party to other claims and litigation proceedings arising in the normal course of business. The impact on us as a result of such claims and litigation cannot currently be ascertained. There can be no assurance that these matters will be resolved without costly litigation, in a manner that is not adverse to our financial position, results of operations or cash flows or without requiring royalty payments in the future that may adversely impact gross margins. Any litigation, regardless of the outcome, is time-consuming and expensive to resolve, may require us to pay significant monetary damages and can divert management time and attention.</w:t>
      </w:r>
    </w:p>
    <w:p>
      <w:pPr>
        <w:spacing w:after="0" w:line="188"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170" w:lineRule="exact"/>
        <w:rPr>
          <w:sz w:val="20"/>
          <w:szCs w:val="20"/>
          <w:color w:val="auto"/>
        </w:rPr>
      </w:pPr>
    </w:p>
    <w:p>
      <w:pPr>
        <w:ind w:right="60" w:firstLine="259"/>
        <w:spacing w:after="0" w:line="271" w:lineRule="auto"/>
        <w:rPr>
          <w:sz w:val="20"/>
          <w:szCs w:val="20"/>
          <w:color w:val="auto"/>
        </w:rPr>
      </w:pPr>
      <w:r>
        <w:rPr>
          <w:rFonts w:ascii="Arial" w:cs="Arial" w:eastAsia="Arial" w:hAnsi="Arial"/>
          <w:sz w:val="17"/>
          <w:szCs w:val="17"/>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79" w:lineRule="exact"/>
        <w:rPr>
          <w:sz w:val="20"/>
          <w:szCs w:val="20"/>
          <w:color w:val="auto"/>
        </w:rPr>
      </w:pPr>
    </w:p>
    <w:p>
      <w:pPr>
        <w:ind w:right="800"/>
        <w:spacing w:after="0" w:line="277"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170" w:lineRule="exact"/>
        <w:rPr>
          <w:sz w:val="20"/>
          <w:szCs w:val="20"/>
          <w:color w:val="auto"/>
        </w:rPr>
      </w:pPr>
    </w:p>
    <w:p>
      <w:pPr>
        <w:ind w:firstLine="259"/>
        <w:spacing w:after="0" w:line="293"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3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225" w:lineRule="exact"/>
        <w:rPr>
          <w:sz w:val="20"/>
          <w:szCs w:val="20"/>
          <w:color w:val="auto"/>
        </w:rPr>
      </w:pPr>
    </w:p>
    <w:p>
      <w:pPr>
        <w:ind w:right="80" w:firstLine="259"/>
        <w:spacing w:after="0" w:line="259" w:lineRule="auto"/>
        <w:rPr>
          <w:sz w:val="20"/>
          <w:szCs w:val="20"/>
          <w:color w:val="auto"/>
        </w:rPr>
      </w:pPr>
      <w:r>
        <w:rPr>
          <w:rFonts w:ascii="Arial" w:cs="Arial" w:eastAsia="Arial" w:hAnsi="Arial"/>
          <w:sz w:val="18"/>
          <w:szCs w:val="18"/>
          <w:color w:val="auto"/>
        </w:rPr>
        <w:t>Under current Bermuda law, we are not subject to tax on our income and capital gains. We have obtained from the Minister of Finance of Bermuda under the Exempt Undertakings Tax Protection Act 1966, as amended, an undertaking that, in the event that Bermuda enacts any legislation imposing tax computed on income and capital gains, those taxes should not apply to us until March 28, 2016. However, it is possible that this exemption would not be extended beyond that date.</w:t>
      </w:r>
    </w:p>
    <w:p>
      <w:pPr>
        <w:spacing w:after="0" w:line="187" w:lineRule="exact"/>
        <w:rPr>
          <w:sz w:val="20"/>
          <w:szCs w:val="20"/>
          <w:color w:val="auto"/>
        </w:rPr>
      </w:pPr>
    </w:p>
    <w:p>
      <w:pPr>
        <w:ind w:firstLine="259"/>
        <w:spacing w:after="0" w:line="297" w:lineRule="auto"/>
        <w:rPr>
          <w:sz w:val="20"/>
          <w:szCs w:val="20"/>
          <w:color w:val="auto"/>
        </w:rPr>
      </w:pPr>
      <w:r>
        <w:rPr>
          <w:rFonts w:ascii="Arial" w:cs="Arial" w:eastAsia="Arial" w:hAnsi="Arial"/>
          <w:sz w:val="16"/>
          <w:szCs w:val="16"/>
          <w:color w:val="auto"/>
        </w:rPr>
        <w:t>The Economic Development Board of Singapore granted Pioneer Status to our wholly-owned subsidiary in Singapore in July 1999. Initially, this tax exemption was to expire after eight years, but the Economic Development Board on September 27, 2004 agreed to extend the term to 10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 If our Pioneer Status is terminated early, our financial results could be harmed. Until we receive written confirmation of the extended Pioneer Status, we will be operating in accordance with the current pioneer</w:t>
      </w:r>
    </w:p>
    <w:p>
      <w:pPr>
        <w:sectPr>
          <w:pgSz w:w="11900" w:h="16838" w:orient="portrait"/>
          <w:cols w:equalWidth="0" w:num="1">
            <w:col w:w="11420"/>
          </w:cols>
          <w:pgMar w:left="240" w:top="125" w:right="239" w:bottom="0" w:gutter="0" w:footer="0" w:header="0"/>
        </w:sectPr>
      </w:pPr>
    </w:p>
    <w:bookmarkStart w:id="33" w:name="page34"/>
    <w:bookmarkEnd w:id="33"/>
    <w:p>
      <w:pPr>
        <w:ind w:right="400"/>
        <w:spacing w:after="0" w:line="302" w:lineRule="auto"/>
        <w:rPr>
          <w:sz w:val="20"/>
          <w:szCs w:val="20"/>
          <w:color w:val="auto"/>
        </w:rPr>
      </w:pPr>
      <w:r>
        <w:rPr>
          <w:rFonts w:ascii="Arial" w:cs="Arial" w:eastAsia="Arial" w:hAnsi="Arial"/>
          <w:sz w:val="16"/>
          <w:szCs w:val="16"/>
          <w:color w:val="auto"/>
        </w:rPr>
        <w:t>status agreement as well as its October 1, 2004 agreement under which the Economic Development Board in Singapore agreed to grant our Singapore subsidiary a Development and Expansion incentive for a term of 5 years, commencing July 1, 2004. Under the Development and Expansion Incentive agreement, a portion of the income of the subsidiary which does not qualify for Pioneer Status will be taxed at a reduced rate of 10 percent. We agreed to maintain Singapore as our Asia Pacific headquarters and to meet several requirements relating to headcount, production activities and spending.</w:t>
      </w:r>
    </w:p>
    <w:p>
      <w:pPr>
        <w:spacing w:after="0" w:line="154" w:lineRule="exact"/>
        <w:rPr>
          <w:sz w:val="20"/>
          <w:szCs w:val="20"/>
          <w:color w:val="auto"/>
        </w:rPr>
      </w:pPr>
    </w:p>
    <w:p>
      <w:pPr>
        <w:ind w:right="40" w:firstLine="259"/>
        <w:spacing w:after="0" w:line="259" w:lineRule="auto"/>
        <w:rPr>
          <w:sz w:val="20"/>
          <w:szCs w:val="20"/>
          <w:color w:val="auto"/>
        </w:rPr>
      </w:pPr>
      <w:r>
        <w:rPr>
          <w:rFonts w:ascii="Arial" w:cs="Arial" w:eastAsia="Arial" w:hAnsi="Arial"/>
          <w:sz w:val="18"/>
          <w:szCs w:val="18"/>
          <w:color w:val="auto"/>
        </w:rPr>
        <w:t>The Israeli government has granted Approved Enterprise Status to two of our wholly-owned subsidiaries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w:t>
      </w:r>
    </w:p>
    <w:p>
      <w:pPr>
        <w:spacing w:after="0" w:line="187"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170" w:lineRule="exact"/>
        <w:rPr>
          <w:sz w:val="20"/>
          <w:szCs w:val="20"/>
          <w:color w:val="auto"/>
        </w:rPr>
      </w:pPr>
    </w:p>
    <w:p>
      <w:pPr>
        <w:ind w:right="60" w:firstLine="259"/>
        <w:spacing w:after="0" w:line="285" w:lineRule="auto"/>
        <w:rPr>
          <w:sz w:val="20"/>
          <w:szCs w:val="20"/>
          <w:color w:val="auto"/>
        </w:rPr>
      </w:pPr>
      <w:r>
        <w:rPr>
          <w:rFonts w:ascii="Arial" w:cs="Arial" w:eastAsia="Arial" w:hAnsi="Arial"/>
          <w:sz w:val="16"/>
          <w:szCs w:val="16"/>
          <w:color w:val="auto"/>
        </w:rPr>
        <w:t>On September 5, 2001, a putative class action was filed in the Southern District of New York relating to our initial public offering, or IPO. In this action, the plaintiffs named several defendants including Marvell and two of our officers, one of whom is also a director. This complaint relating to our IPO has been consolidated with hundreds of other lawsuits by plaintiffs against approximately 55 underwriters and approximately 300 issuers across the United States. Plaintiffs allege that defendants violated various provisions of the Securities Act of 1933 and the Securities Exchange Act of 1934. In these actions, plaintiffs seek, among other items, unspecified damages, pre-judgment interest and reimbursement of attorneys’ and experts’ fees. A Consolidated Amended</w:t>
      </w:r>
    </w:p>
    <w:p>
      <w:pPr>
        <w:spacing w:after="0" w:line="2"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Class Action Complaint against Marvell and two of our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w:t>
      </w:r>
    </w:p>
    <w:p>
      <w:pPr>
        <w:spacing w:after="0" w:line="177" w:lineRule="exact"/>
        <w:rPr>
          <w:sz w:val="20"/>
          <w:szCs w:val="20"/>
          <w:color w:val="auto"/>
        </w:rPr>
      </w:pPr>
    </w:p>
    <w:p>
      <w:pPr>
        <w:ind w:right="120" w:firstLine="259"/>
        <w:spacing w:after="0" w:line="293" w:lineRule="auto"/>
        <w:rPr>
          <w:sz w:val="20"/>
          <w:szCs w:val="20"/>
          <w:color w:val="auto"/>
        </w:rPr>
      </w:pPr>
      <w:r>
        <w:rPr>
          <w:rFonts w:ascii="Arial" w:cs="Arial" w:eastAsia="Arial" w:hAnsi="Arial"/>
          <w:sz w:val="16"/>
          <w:szCs w:val="16"/>
          <w:color w:val="auto"/>
        </w:rPr>
        <w:t>On June 26, 2003, the plaintiffs announced that a settlement among plaintiffs, the issuer defendants and their directors and officers, and their insurers had been structured, a part of which the insurers for all issuer defendants would guarantee up to $1 billion to investors who are class members, depending upon plaintiffs’ success against non-settling parties. Our board of directors has approved the proposed settlement, which will result in the plaintiffs’ dismissing the case against us and granting releases that extend to all of our officers and directors. The court issued an order preliminarily approving the settlement in August 2005 and held a public hearing on its fairness in April 2006. The court has not yet ruled following the public hearing. These claims and any resulting litigation could result in substantial costs and could divert the attention and resources of our management.</w:t>
      </w:r>
    </w:p>
    <w:p>
      <w:pPr>
        <w:spacing w:after="0" w:line="165" w:lineRule="exact"/>
        <w:rPr>
          <w:sz w:val="20"/>
          <w:szCs w:val="20"/>
          <w:color w:val="auto"/>
        </w:rPr>
      </w:pPr>
    </w:p>
    <w:p>
      <w:pPr>
        <w:jc w:val="both"/>
        <w:ind w:right="200" w:firstLine="259"/>
        <w:spacing w:after="0" w:line="259" w:lineRule="auto"/>
        <w:rPr>
          <w:sz w:val="20"/>
          <w:szCs w:val="20"/>
          <w:color w:val="auto"/>
        </w:rPr>
      </w:pPr>
      <w:r>
        <w:rPr>
          <w:rFonts w:ascii="Arial" w:cs="Arial" w:eastAsia="Arial" w:hAnsi="Arial"/>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Any securities litigation could result in substantial costs and could divert the attention and resources of our management.</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8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right="400"/>
        <w:spacing w:after="0" w:line="277"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70" w:lineRule="exact"/>
        <w:rPr>
          <w:sz w:val="20"/>
          <w:szCs w:val="20"/>
          <w:color w:val="auto"/>
        </w:rPr>
      </w:pPr>
    </w:p>
    <w:p>
      <w:pPr>
        <w:ind w:left="2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25" w:lineRule="exact"/>
        <w:rPr>
          <w:sz w:val="20"/>
          <w:szCs w:val="20"/>
          <w:color w:val="auto"/>
        </w:rPr>
      </w:pPr>
    </w:p>
    <w:p>
      <w:pPr>
        <w:ind w:left="940" w:hanging="284"/>
        <w:spacing w:after="0"/>
        <w:tabs>
          <w:tab w:leader="none" w:pos="94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5"/>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5"/>
        </w:numPr>
        <w:rPr>
          <w:rFonts w:ascii="Arial" w:cs="Arial" w:eastAsia="Arial" w:hAnsi="Arial"/>
          <w:sz w:val="18"/>
          <w:szCs w:val="18"/>
          <w:color w:val="auto"/>
        </w:rPr>
      </w:pPr>
      <w:r>
        <w:rPr>
          <w:rFonts w:ascii="Arial" w:cs="Arial" w:eastAsia="Arial" w:hAnsi="Arial"/>
          <w:sz w:val="18"/>
          <w:szCs w:val="18"/>
          <w:color w:val="auto"/>
        </w:rPr>
        <w:t>requiring a vote of two-thirds of the outstanding shares to approve any change of corporate control.</w:t>
      </w:r>
    </w:p>
    <w:p>
      <w:pPr>
        <w:spacing w:after="0" w:line="225" w:lineRule="exact"/>
        <w:rPr>
          <w:sz w:val="20"/>
          <w:szCs w:val="20"/>
          <w:color w:val="auto"/>
        </w:rPr>
      </w:pPr>
    </w:p>
    <w:p>
      <w:pPr>
        <w:ind w:right="520" w:firstLine="259"/>
        <w:spacing w:after="0" w:line="277" w:lineRule="auto"/>
        <w:rPr>
          <w:sz w:val="20"/>
          <w:szCs w:val="20"/>
          <w:color w:val="auto"/>
        </w:rPr>
      </w:pPr>
      <w:r>
        <w:rPr>
          <w:rFonts w:ascii="Arial" w:cs="Arial" w:eastAsia="Arial" w:hAnsi="Arial"/>
          <w:sz w:val="18"/>
          <w:szCs w:val="18"/>
          <w:color w:val="auto"/>
        </w:rPr>
        <w:t>These changes in corporate control provisions could make it more difficult for a third-party to acquire us, even if doing so would be a benefit to our shareholders.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Defaults Upon Senior Securities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Submission of Matters to a Vote of Security Holders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Other Information</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(a)The following exhibits are filed as part of this report:</w:t>
      </w:r>
    </w:p>
    <w:p>
      <w:pPr>
        <w:sectPr>
          <w:pgSz w:w="11900" w:h="16838" w:orient="portrait"/>
          <w:cols w:equalWidth="0" w:num="1">
            <w:col w:w="11420"/>
          </w:cols>
          <w:pgMar w:left="240" w:top="125" w:right="239" w:bottom="0" w:gutter="0" w:footer="0" w:header="0"/>
        </w:sectPr>
      </w:pPr>
    </w:p>
    <w:bookmarkStart w:id="34" w:name="page35"/>
    <w:bookmarkEnd w:id="34"/>
    <w:p>
      <w:pPr>
        <w:ind w:left="980" w:right="420" w:hanging="647"/>
        <w:spacing w:after="0" w:line="277" w:lineRule="auto"/>
        <w:tabs>
          <w:tab w:leader="none" w:pos="960" w:val="left"/>
        </w:tabs>
        <w:rPr>
          <w:sz w:val="20"/>
          <w:szCs w:val="20"/>
          <w:color w:val="auto"/>
        </w:rPr>
      </w:pPr>
      <w:r>
        <w:rPr>
          <w:rFonts w:ascii="Arial" w:cs="Arial" w:eastAsia="Arial" w:hAnsi="Arial"/>
          <w:sz w:val="18"/>
          <w:szCs w:val="18"/>
          <w:color w:val="auto"/>
        </w:rPr>
        <w:t>31.1</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Sehat Sutardja Ph.D., Chief Executive Officer</w:t>
      </w:r>
    </w:p>
    <w:p>
      <w:pPr>
        <w:spacing w:after="0" w:line="170" w:lineRule="exact"/>
        <w:rPr>
          <w:sz w:val="20"/>
          <w:szCs w:val="20"/>
          <w:color w:val="auto"/>
        </w:rPr>
      </w:pPr>
    </w:p>
    <w:p>
      <w:pPr>
        <w:ind w:left="980" w:right="120" w:hanging="647"/>
        <w:spacing w:after="0" w:line="277" w:lineRule="auto"/>
        <w:tabs>
          <w:tab w:leader="none" w:pos="960" w:val="left"/>
        </w:tabs>
        <w:rPr>
          <w:sz w:val="20"/>
          <w:szCs w:val="20"/>
          <w:color w:val="auto"/>
        </w:rPr>
      </w:pPr>
      <w:r>
        <w:rPr>
          <w:rFonts w:ascii="Arial" w:cs="Arial" w:eastAsia="Arial" w:hAnsi="Arial"/>
          <w:sz w:val="18"/>
          <w:szCs w:val="18"/>
          <w:color w:val="auto"/>
        </w:rPr>
        <w:t>31.2</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George A. Hervey, Chief Financial Officer</w:t>
      </w:r>
    </w:p>
    <w:p>
      <w:pPr>
        <w:spacing w:after="0" w:line="170" w:lineRule="exact"/>
        <w:rPr>
          <w:sz w:val="20"/>
          <w:szCs w:val="20"/>
          <w:color w:val="auto"/>
        </w:rPr>
      </w:pPr>
    </w:p>
    <w:p>
      <w:pPr>
        <w:ind w:left="980" w:right="380" w:hanging="647"/>
        <w:spacing w:after="0" w:line="277" w:lineRule="auto"/>
        <w:tabs>
          <w:tab w:leader="none" w:pos="960" w:val="left"/>
        </w:tabs>
        <w:rPr>
          <w:sz w:val="20"/>
          <w:szCs w:val="20"/>
          <w:color w:val="auto"/>
        </w:rPr>
      </w:pPr>
      <w:r>
        <w:rPr>
          <w:rFonts w:ascii="Arial" w:cs="Arial" w:eastAsia="Arial" w:hAnsi="Arial"/>
          <w:sz w:val="18"/>
          <w:szCs w:val="18"/>
          <w:color w:val="auto"/>
        </w:rPr>
        <w:t>32.1*</w:t>
        <w:tab/>
        <w:t>Certification Pursuant to 18 U.S.C. Section 1350, as Adopted Pursuant to Section 906 of the Sarbanes-Oxley Act of 2002 of Sehat Sutardja, Chief Executive Officer</w:t>
      </w:r>
    </w:p>
    <w:p>
      <w:pPr>
        <w:spacing w:after="0" w:line="170" w:lineRule="exact"/>
        <w:rPr>
          <w:sz w:val="20"/>
          <w:szCs w:val="20"/>
          <w:color w:val="auto"/>
        </w:rPr>
      </w:pPr>
    </w:p>
    <w:p>
      <w:pPr>
        <w:ind w:left="980" w:right="120" w:hanging="647"/>
        <w:spacing w:after="0" w:line="277" w:lineRule="auto"/>
        <w:tabs>
          <w:tab w:leader="none" w:pos="960" w:val="left"/>
        </w:tabs>
        <w:rPr>
          <w:sz w:val="20"/>
          <w:szCs w:val="20"/>
          <w:color w:val="auto"/>
        </w:rPr>
      </w:pPr>
      <w:r>
        <w:rPr>
          <w:rFonts w:ascii="Arial" w:cs="Arial" w:eastAsia="Arial" w:hAnsi="Arial"/>
          <w:sz w:val="18"/>
          <w:szCs w:val="18"/>
          <w:color w:val="auto"/>
        </w:rPr>
        <w:t>32.2*</w:t>
        <w:tab/>
        <w:t>Certification Pursuant to 18 U.S.C. Section 1350, as Adopted Pursuant to Section 906 of the Sarbanes-Oxley Act of 2002 of George A. Hervey,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117475</wp:posOffset>
            </wp:positionV>
            <wp:extent cx="138938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85">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272" w:lineRule="exact"/>
        <w:rPr>
          <w:sz w:val="20"/>
          <w:szCs w:val="20"/>
          <w:color w:val="auto"/>
        </w:rPr>
      </w:pPr>
    </w:p>
    <w:p>
      <w:pPr>
        <w:ind w:left="660" w:right="80" w:hanging="328"/>
        <w:spacing w:after="0" w:line="257" w:lineRule="auto"/>
        <w:tabs>
          <w:tab w:leader="none" w:pos="655" w:val="left"/>
        </w:tabs>
        <w:numPr>
          <w:ilvl w:val="0"/>
          <w:numId w:val="16"/>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8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SIGNATURES</w:t>
      </w:r>
    </w:p>
    <w:p>
      <w:pPr>
        <w:spacing w:after="0" w:line="229" w:lineRule="exact"/>
        <w:rPr>
          <w:sz w:val="20"/>
          <w:szCs w:val="20"/>
          <w:color w:val="auto"/>
        </w:rPr>
      </w:pPr>
    </w:p>
    <w:p>
      <w:pPr>
        <w:ind w:right="920" w:firstLine="259"/>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920" w:type="dxa"/>
            <w:vAlign w:val="bottom"/>
          </w:tcPr>
          <w:p>
            <w:pPr>
              <w:spacing w:after="0"/>
              <w:rPr>
                <w:sz w:val="20"/>
                <w:szCs w:val="20"/>
                <w:color w:val="auto"/>
              </w:rPr>
            </w:pPr>
          </w:p>
        </w:tc>
        <w:tc>
          <w:tcPr>
            <w:tcW w:w="2360" w:type="dxa"/>
            <w:vAlign w:val="bottom"/>
          </w:tcPr>
          <w:p>
            <w:pPr>
              <w:spacing w:after="0"/>
              <w:rPr>
                <w:sz w:val="20"/>
                <w:szCs w:val="20"/>
                <w:color w:val="auto"/>
              </w:rPr>
            </w:pPr>
          </w:p>
        </w:tc>
        <w:tc>
          <w:tcPr>
            <w:tcW w:w="8140" w:type="dxa"/>
            <w:vAlign w:val="bottom"/>
            <w:gridSpan w:val="2"/>
          </w:tcPr>
          <w:p>
            <w:pPr>
              <w:ind w:left="3080"/>
              <w:spacing w:after="0"/>
              <w:rPr>
                <w:sz w:val="20"/>
                <w:szCs w:val="20"/>
                <w:color w:val="auto"/>
              </w:rPr>
            </w:pPr>
            <w:r>
              <w:rPr>
                <w:rFonts w:ascii="Arial" w:cs="Arial" w:eastAsia="Arial" w:hAnsi="Arial"/>
                <w:sz w:val="18"/>
                <w:szCs w:val="18"/>
                <w:color w:val="auto"/>
              </w:rPr>
              <w:t>MARVELL TECHNOLOGY GROUP LTD.</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92"/>
        </w:trPr>
        <w:tc>
          <w:tcPr>
            <w:tcW w:w="3280" w:type="dxa"/>
            <w:vAlign w:val="bottom"/>
            <w:gridSpan w:val="2"/>
          </w:tcPr>
          <w:p>
            <w:pPr>
              <w:spacing w:after="0"/>
              <w:rPr>
                <w:sz w:val="20"/>
                <w:szCs w:val="20"/>
                <w:color w:val="auto"/>
              </w:rPr>
            </w:pPr>
            <w:r>
              <w:rPr>
                <w:rFonts w:ascii="Arial" w:cs="Arial" w:eastAsia="Arial" w:hAnsi="Arial"/>
                <w:sz w:val="18"/>
                <w:szCs w:val="18"/>
                <w:color w:val="auto"/>
              </w:rPr>
              <w:t>June 8, 2006</w:t>
            </w:r>
          </w:p>
        </w:tc>
        <w:tc>
          <w:tcPr>
            <w:tcW w:w="8140" w:type="dxa"/>
            <w:vAlign w:val="bottom"/>
            <w:gridSpan w:val="2"/>
          </w:tcPr>
          <w:p>
            <w:pPr>
              <w:ind w:left="3080"/>
              <w:spacing w:after="0"/>
              <w:rPr>
                <w:sz w:val="20"/>
                <w:szCs w:val="20"/>
                <w:color w:val="auto"/>
              </w:rPr>
            </w:pPr>
            <w:r>
              <w:rPr>
                <w:rFonts w:ascii="Arial" w:cs="Arial" w:eastAsia="Arial" w:hAnsi="Arial"/>
                <w:sz w:val="18"/>
                <w:szCs w:val="18"/>
                <w:color w:val="auto"/>
              </w:rPr>
              <w:t>By:   /s/ GEORGE A. HERVEY</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
        </w:trPr>
        <w:tc>
          <w:tcPr>
            <w:tcW w:w="920" w:type="dxa"/>
            <w:vAlign w:val="bottom"/>
            <w:tcBorders>
              <w:top w:val="single" w:sz="8" w:color="auto"/>
              <w:bottom w:val="single" w:sz="8" w:color="auto"/>
            </w:tcBorders>
            <w:vMerge w:val="restart"/>
          </w:tcPr>
          <w:p>
            <w:pPr>
              <w:spacing w:after="0"/>
              <w:rPr>
                <w:sz w:val="20"/>
                <w:szCs w:val="20"/>
                <w:color w:val="auto"/>
              </w:rPr>
            </w:pPr>
            <w:r>
              <w:rPr>
                <w:rFonts w:ascii="Arial" w:cs="Arial" w:eastAsia="Arial" w:hAnsi="Arial"/>
                <w:sz w:val="18"/>
                <w:szCs w:val="18"/>
                <w:color w:val="auto"/>
              </w:rPr>
              <w:t>Date</w:t>
            </w:r>
          </w:p>
        </w:tc>
        <w:tc>
          <w:tcPr>
            <w:tcW w:w="2360" w:type="dxa"/>
            <w:vAlign w:val="bottom"/>
            <w:vMerge w:val="restart"/>
          </w:tcPr>
          <w:p>
            <w:pPr>
              <w:spacing w:after="0" w:line="20" w:lineRule="exact"/>
              <w:rPr>
                <w:sz w:val="1"/>
                <w:szCs w:val="1"/>
                <w:color w:val="auto"/>
              </w:rPr>
            </w:pPr>
          </w:p>
        </w:tc>
        <w:tc>
          <w:tcPr>
            <w:tcW w:w="3620" w:type="dxa"/>
            <w:vAlign w:val="bottom"/>
          </w:tcPr>
          <w:p>
            <w:pPr>
              <w:spacing w:after="0" w:line="20" w:lineRule="exact"/>
              <w:rPr>
                <w:sz w:val="1"/>
                <w:szCs w:val="1"/>
                <w:color w:val="auto"/>
              </w:rPr>
            </w:pPr>
          </w:p>
        </w:tc>
        <w:tc>
          <w:tcPr>
            <w:tcW w:w="452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5"/>
        </w:trPr>
        <w:tc>
          <w:tcPr>
            <w:tcW w:w="920" w:type="dxa"/>
            <w:vAlign w:val="bottom"/>
            <w:vMerge w:val="continue"/>
          </w:tcPr>
          <w:p>
            <w:pPr>
              <w:spacing w:after="0"/>
              <w:rPr>
                <w:sz w:val="16"/>
                <w:szCs w:val="16"/>
                <w:color w:val="auto"/>
              </w:rPr>
            </w:pPr>
          </w:p>
        </w:tc>
        <w:tc>
          <w:tcPr>
            <w:tcW w:w="2360" w:type="dxa"/>
            <w:vAlign w:val="bottom"/>
            <w:vMerge w:val="continue"/>
          </w:tcPr>
          <w:p>
            <w:pPr>
              <w:spacing w:after="0"/>
              <w:rPr>
                <w:sz w:val="16"/>
                <w:szCs w:val="16"/>
                <w:color w:val="auto"/>
              </w:rPr>
            </w:pPr>
          </w:p>
        </w:tc>
        <w:tc>
          <w:tcPr>
            <w:tcW w:w="3620" w:type="dxa"/>
            <w:vAlign w:val="bottom"/>
          </w:tcPr>
          <w:p>
            <w:pPr>
              <w:spacing w:after="0"/>
              <w:rPr>
                <w:sz w:val="16"/>
                <w:szCs w:val="16"/>
                <w:color w:val="auto"/>
              </w:rPr>
            </w:pPr>
          </w:p>
        </w:tc>
        <w:tc>
          <w:tcPr>
            <w:tcW w:w="4520" w:type="dxa"/>
            <w:vAlign w:val="bottom"/>
          </w:tcPr>
          <w:p>
            <w:pPr>
              <w:spacing w:after="0" w:line="195" w:lineRule="exact"/>
              <w:rPr>
                <w:sz w:val="20"/>
                <w:szCs w:val="20"/>
                <w:color w:val="auto"/>
              </w:rPr>
            </w:pPr>
            <w:r>
              <w:rPr>
                <w:rFonts w:ascii="Arial" w:cs="Arial" w:eastAsia="Arial" w:hAnsi="Arial"/>
                <w:sz w:val="18"/>
                <w:szCs w:val="18"/>
                <w:color w:val="auto"/>
              </w:rPr>
              <w:t>George A. Hervey</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30"/>
        </w:trPr>
        <w:tc>
          <w:tcPr>
            <w:tcW w:w="920" w:type="dxa"/>
            <w:vAlign w:val="bottom"/>
          </w:tcPr>
          <w:p>
            <w:pPr>
              <w:spacing w:after="0"/>
              <w:rPr>
                <w:sz w:val="20"/>
                <w:szCs w:val="20"/>
                <w:color w:val="auto"/>
              </w:rPr>
            </w:pPr>
          </w:p>
        </w:tc>
        <w:tc>
          <w:tcPr>
            <w:tcW w:w="2360" w:type="dxa"/>
            <w:vAlign w:val="bottom"/>
          </w:tcPr>
          <w:p>
            <w:pPr>
              <w:spacing w:after="0"/>
              <w:rPr>
                <w:sz w:val="20"/>
                <w:szCs w:val="20"/>
                <w:color w:val="auto"/>
              </w:rPr>
            </w:pPr>
          </w:p>
        </w:tc>
        <w:tc>
          <w:tcPr>
            <w:tcW w:w="3620" w:type="dxa"/>
            <w:vAlign w:val="bottom"/>
          </w:tcPr>
          <w:p>
            <w:pPr>
              <w:spacing w:after="0"/>
              <w:rPr>
                <w:sz w:val="20"/>
                <w:szCs w:val="20"/>
                <w:color w:val="auto"/>
              </w:rPr>
            </w:pPr>
          </w:p>
        </w:tc>
        <w:tc>
          <w:tcPr>
            <w:tcW w:w="4520" w:type="dxa"/>
            <w:vAlign w:val="bottom"/>
          </w:tcPr>
          <w:p>
            <w:pPr>
              <w:spacing w:after="0"/>
              <w:rPr>
                <w:sz w:val="20"/>
                <w:szCs w:val="20"/>
                <w:color w:val="auto"/>
              </w:rPr>
            </w:pPr>
            <w:r>
              <w:rPr>
                <w:rFonts w:ascii="Arial" w:cs="Arial" w:eastAsia="Arial" w:hAnsi="Arial"/>
                <w:sz w:val="18"/>
                <w:szCs w:val="18"/>
                <w:color w:val="auto"/>
              </w:rPr>
              <w:t>Vice President and Chief Financial Officer</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864"/>
        </w:trPr>
        <w:tc>
          <w:tcPr>
            <w:tcW w:w="920" w:type="dxa"/>
            <w:vAlign w:val="bottom"/>
          </w:tcPr>
          <w:p>
            <w:pPr>
              <w:spacing w:after="0"/>
              <w:rPr>
                <w:sz w:val="24"/>
                <w:szCs w:val="24"/>
                <w:color w:val="auto"/>
              </w:rPr>
            </w:pPr>
          </w:p>
        </w:tc>
        <w:tc>
          <w:tcPr>
            <w:tcW w:w="2360" w:type="dxa"/>
            <w:vAlign w:val="bottom"/>
          </w:tcPr>
          <w:p>
            <w:pPr>
              <w:spacing w:after="0"/>
              <w:rPr>
                <w:sz w:val="24"/>
                <w:szCs w:val="24"/>
                <w:color w:val="auto"/>
              </w:rPr>
            </w:pPr>
          </w:p>
        </w:tc>
        <w:tc>
          <w:tcPr>
            <w:tcW w:w="3620" w:type="dxa"/>
            <w:vAlign w:val="bottom"/>
          </w:tcPr>
          <w:p>
            <w:pPr>
              <w:jc w:val="right"/>
              <w:ind w:right="1010"/>
              <w:spacing w:after="0"/>
              <w:rPr>
                <w:sz w:val="20"/>
                <w:szCs w:val="20"/>
                <w:color w:val="auto"/>
              </w:rPr>
            </w:pPr>
            <w:r>
              <w:rPr>
                <w:rFonts w:ascii="Arial" w:cs="Arial" w:eastAsia="Arial" w:hAnsi="Arial"/>
                <w:sz w:val="18"/>
                <w:szCs w:val="18"/>
                <w:color w:val="auto"/>
              </w:rPr>
              <w:t>49</w:t>
            </w:r>
          </w:p>
        </w:tc>
        <w:tc>
          <w:tcPr>
            <w:tcW w:w="45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920" w:type="dxa"/>
            <w:vAlign w:val="bottom"/>
            <w:tcBorders>
              <w:bottom w:val="single" w:sz="8" w:color="010101"/>
            </w:tcBorders>
          </w:tcPr>
          <w:p>
            <w:pPr>
              <w:spacing w:after="0"/>
              <w:rPr>
                <w:sz w:val="24"/>
                <w:szCs w:val="24"/>
                <w:color w:val="auto"/>
              </w:rPr>
            </w:pPr>
          </w:p>
        </w:tc>
        <w:tc>
          <w:tcPr>
            <w:tcW w:w="2360" w:type="dxa"/>
            <w:vAlign w:val="bottom"/>
            <w:tcBorders>
              <w:bottom w:val="single" w:sz="8" w:color="010101"/>
            </w:tcBorders>
          </w:tcPr>
          <w:p>
            <w:pPr>
              <w:spacing w:after="0"/>
              <w:rPr>
                <w:sz w:val="24"/>
                <w:szCs w:val="24"/>
                <w:color w:val="auto"/>
              </w:rPr>
            </w:pPr>
          </w:p>
        </w:tc>
        <w:tc>
          <w:tcPr>
            <w:tcW w:w="3620" w:type="dxa"/>
            <w:vAlign w:val="bottom"/>
            <w:tcBorders>
              <w:bottom w:val="single" w:sz="8" w:color="010101"/>
            </w:tcBorders>
          </w:tcPr>
          <w:p>
            <w:pPr>
              <w:spacing w:after="0"/>
              <w:rPr>
                <w:sz w:val="24"/>
                <w:szCs w:val="24"/>
                <w:color w:val="auto"/>
              </w:rPr>
            </w:pPr>
          </w:p>
        </w:tc>
        <w:tc>
          <w:tcPr>
            <w:tcW w:w="452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87">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88">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42"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88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2020" w:type="dxa"/>
            <w:vAlign w:val="bottom"/>
          </w:tcPr>
          <w:p>
            <w:pPr>
              <w:spacing w:after="0"/>
              <w:rPr>
                <w:sz w:val="20"/>
                <w:szCs w:val="20"/>
                <w:color w:val="auto"/>
              </w:rPr>
            </w:pPr>
          </w:p>
        </w:tc>
        <w:tc>
          <w:tcPr>
            <w:tcW w:w="8260" w:type="dxa"/>
            <w:vAlign w:val="bottom"/>
          </w:tcPr>
          <w:p>
            <w:pPr>
              <w:ind w:left="1860"/>
              <w:spacing w:after="0"/>
              <w:rPr>
                <w:sz w:val="20"/>
                <w:szCs w:val="20"/>
                <w:color w:val="auto"/>
              </w:rPr>
            </w:pPr>
            <w:r>
              <w:rPr>
                <w:rFonts w:ascii="Arial" w:cs="Arial" w:eastAsia="Arial" w:hAnsi="Arial"/>
                <w:sz w:val="18"/>
                <w:szCs w:val="18"/>
                <w:b w:val="1"/>
                <w:bCs w:val="1"/>
                <w:color w:val="auto"/>
              </w:rPr>
              <w:t>EXHIBIT INDEX</w:t>
            </w:r>
          </w:p>
        </w:tc>
        <w:tc>
          <w:tcPr>
            <w:tcW w:w="0" w:type="dxa"/>
            <w:vAlign w:val="bottom"/>
          </w:tcPr>
          <w:p>
            <w:pPr>
              <w:spacing w:after="0"/>
              <w:rPr>
                <w:sz w:val="1"/>
                <w:szCs w:val="1"/>
                <w:color w:val="auto"/>
              </w:rPr>
            </w:pPr>
          </w:p>
        </w:tc>
      </w:tr>
      <w:tr>
        <w:trPr>
          <w:trHeight w:val="756"/>
        </w:trPr>
        <w:tc>
          <w:tcPr>
            <w:tcW w:w="880" w:type="dxa"/>
            <w:vAlign w:val="bottom"/>
          </w:tcPr>
          <w:p>
            <w:pPr>
              <w:ind w:left="200"/>
              <w:spacing w:after="0"/>
              <w:rPr>
                <w:sz w:val="20"/>
                <w:szCs w:val="20"/>
                <w:color w:val="auto"/>
              </w:rPr>
            </w:pPr>
            <w:r>
              <w:rPr>
                <w:rFonts w:ascii="Arial" w:cs="Arial" w:eastAsia="Arial" w:hAnsi="Arial"/>
                <w:sz w:val="14"/>
                <w:szCs w:val="14"/>
                <w:b w:val="1"/>
                <w:bCs w:val="1"/>
                <w:color w:val="auto"/>
              </w:rPr>
              <w:t>Exhibit</w:t>
            </w:r>
          </w:p>
        </w:tc>
        <w:tc>
          <w:tcPr>
            <w:tcW w:w="26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8260" w:type="dxa"/>
            <w:vAlign w:val="bottom"/>
            <w:vMerge w:val="restart"/>
          </w:tcPr>
          <w:p>
            <w:pPr>
              <w:ind w:left="2760"/>
              <w:spacing w:after="0"/>
              <w:rPr>
                <w:sz w:val="20"/>
                <w:szCs w:val="20"/>
                <w:color w:val="auto"/>
              </w:rPr>
            </w:pPr>
            <w:r>
              <w:rPr>
                <w:rFonts w:ascii="Arial" w:cs="Arial" w:eastAsia="Arial" w:hAnsi="Arial"/>
                <w:sz w:val="14"/>
                <w:szCs w:val="14"/>
                <w:b w:val="1"/>
                <w:bCs w:val="1"/>
                <w:color w:val="auto"/>
              </w:rPr>
              <w:t>Description</w:t>
            </w:r>
          </w:p>
        </w:tc>
        <w:tc>
          <w:tcPr>
            <w:tcW w:w="0" w:type="dxa"/>
            <w:vAlign w:val="bottom"/>
          </w:tcPr>
          <w:p>
            <w:pPr>
              <w:spacing w:after="0"/>
              <w:rPr>
                <w:sz w:val="1"/>
                <w:szCs w:val="1"/>
                <w:color w:val="auto"/>
              </w:rPr>
            </w:pPr>
          </w:p>
        </w:tc>
      </w:tr>
      <w:tr>
        <w:trPr>
          <w:trHeight w:val="162"/>
        </w:trPr>
        <w:tc>
          <w:tcPr>
            <w:tcW w:w="880" w:type="dxa"/>
            <w:vAlign w:val="bottom"/>
            <w:tcBorders>
              <w:bottom w:val="single" w:sz="8" w:color="auto"/>
            </w:tcBorders>
          </w:tcPr>
          <w:p>
            <w:pPr>
              <w:ind w:left="180"/>
              <w:spacing w:after="0"/>
              <w:rPr>
                <w:sz w:val="20"/>
                <w:szCs w:val="20"/>
                <w:color w:val="auto"/>
              </w:rPr>
            </w:pPr>
            <w:r>
              <w:rPr>
                <w:rFonts w:ascii="Arial" w:cs="Arial" w:eastAsia="Arial" w:hAnsi="Arial"/>
                <w:sz w:val="14"/>
                <w:szCs w:val="14"/>
                <w:b w:val="1"/>
                <w:bCs w:val="1"/>
                <w:color w:val="auto"/>
              </w:rPr>
              <w:t>Number</w:t>
            </w:r>
          </w:p>
        </w:tc>
        <w:tc>
          <w:tcPr>
            <w:tcW w:w="260" w:type="dxa"/>
            <w:vAlign w:val="bottom"/>
          </w:tcPr>
          <w:p>
            <w:pPr>
              <w:spacing w:after="0"/>
              <w:rPr>
                <w:sz w:val="14"/>
                <w:szCs w:val="14"/>
                <w:color w:val="auto"/>
              </w:rPr>
            </w:pPr>
          </w:p>
        </w:tc>
        <w:tc>
          <w:tcPr>
            <w:tcW w:w="2020" w:type="dxa"/>
            <w:vAlign w:val="bottom"/>
            <w:tcBorders>
              <w:bottom w:val="single" w:sz="8" w:color="auto"/>
            </w:tcBorders>
          </w:tcPr>
          <w:p>
            <w:pPr>
              <w:spacing w:after="0"/>
              <w:rPr>
                <w:sz w:val="14"/>
                <w:szCs w:val="14"/>
                <w:color w:val="auto"/>
              </w:rPr>
            </w:pPr>
          </w:p>
        </w:tc>
        <w:tc>
          <w:tcPr>
            <w:tcW w:w="8260" w:type="dxa"/>
            <w:vAlign w:val="bottom"/>
            <w:tcBorders>
              <w:bottom w:val="single" w:sz="8" w:color="auto"/>
            </w:tcBorders>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411"/>
        </w:trPr>
        <w:tc>
          <w:tcPr>
            <w:tcW w:w="880" w:type="dxa"/>
            <w:vAlign w:val="bottom"/>
          </w:tcPr>
          <w:p>
            <w:pPr>
              <w:spacing w:after="0"/>
              <w:rPr>
                <w:sz w:val="20"/>
                <w:szCs w:val="20"/>
                <w:color w:val="auto"/>
              </w:rPr>
            </w:pPr>
            <w:r>
              <w:rPr>
                <w:rFonts w:ascii="Arial" w:cs="Arial" w:eastAsia="Arial" w:hAnsi="Arial"/>
                <w:sz w:val="18"/>
                <w:szCs w:val="18"/>
                <w:color w:val="auto"/>
              </w:rPr>
              <w:t>31.1</w:t>
            </w:r>
          </w:p>
        </w:tc>
        <w:tc>
          <w:tcPr>
            <w:tcW w:w="10540" w:type="dxa"/>
            <w:vAlign w:val="bottom"/>
            <w:gridSpan w:val="3"/>
          </w:tcPr>
          <w:p>
            <w:pPr>
              <w:ind w:left="260"/>
              <w:spacing w:after="0"/>
              <w:rPr>
                <w:sz w:val="20"/>
                <w:szCs w:val="20"/>
                <w:color w:val="auto"/>
              </w:rPr>
            </w:pPr>
            <w:r>
              <w:rPr>
                <w:rFonts w:ascii="Arial" w:cs="Arial" w:eastAsia="Arial" w:hAnsi="Arial"/>
                <w:sz w:val="18"/>
                <w:szCs w:val="18"/>
                <w:color w:val="auto"/>
                <w:w w:val="92"/>
              </w:rPr>
              <w:t>Certification Pursuant to 18 U.S.C. Section 1350, as Adopted Pursuant to Section 302 of the Sarbanes-Oxley Act of 2002 of Sehat Sutardja</w:t>
            </w: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10540" w:type="dxa"/>
            <w:vAlign w:val="bottom"/>
            <w:gridSpan w:val="3"/>
          </w:tcPr>
          <w:p>
            <w:pPr>
              <w:ind w:left="260"/>
              <w:spacing w:after="0"/>
              <w:rPr>
                <w:sz w:val="20"/>
                <w:szCs w:val="20"/>
                <w:color w:val="auto"/>
              </w:rPr>
            </w:pPr>
            <w:r>
              <w:rPr>
                <w:rFonts w:ascii="Arial" w:cs="Arial" w:eastAsia="Arial" w:hAnsi="Arial"/>
                <w:sz w:val="18"/>
                <w:szCs w:val="18"/>
                <w:color w:val="auto"/>
              </w:rPr>
              <w:t>Ph.D., Chief Executive Officer</w:t>
            </w:r>
          </w:p>
        </w:tc>
        <w:tc>
          <w:tcPr>
            <w:tcW w:w="0" w:type="dxa"/>
            <w:vAlign w:val="bottom"/>
          </w:tcPr>
          <w:p>
            <w:pPr>
              <w:spacing w:after="0"/>
              <w:rPr>
                <w:sz w:val="1"/>
                <w:szCs w:val="1"/>
                <w:color w:val="auto"/>
              </w:rPr>
            </w:pPr>
          </w:p>
        </w:tc>
      </w:tr>
      <w:tr>
        <w:trPr>
          <w:trHeight w:val="216"/>
        </w:trPr>
        <w:tc>
          <w:tcPr>
            <w:tcW w:w="880" w:type="dxa"/>
            <w:vAlign w:val="bottom"/>
          </w:tcPr>
          <w:p>
            <w:pPr>
              <w:spacing w:after="0"/>
              <w:rPr>
                <w:sz w:val="20"/>
                <w:szCs w:val="20"/>
                <w:color w:val="auto"/>
              </w:rPr>
            </w:pPr>
            <w:r>
              <w:rPr>
                <w:rFonts w:ascii="Arial" w:cs="Arial" w:eastAsia="Arial" w:hAnsi="Arial"/>
                <w:sz w:val="18"/>
                <w:szCs w:val="18"/>
                <w:color w:val="auto"/>
              </w:rPr>
              <w:t>31.2</w:t>
            </w:r>
          </w:p>
        </w:tc>
        <w:tc>
          <w:tcPr>
            <w:tcW w:w="2280" w:type="dxa"/>
            <w:vAlign w:val="bottom"/>
            <w:gridSpan w:val="2"/>
          </w:tcPr>
          <w:p>
            <w:pPr>
              <w:ind w:left="260"/>
              <w:spacing w:after="0"/>
              <w:rPr>
                <w:sz w:val="20"/>
                <w:szCs w:val="20"/>
                <w:color w:val="auto"/>
              </w:rPr>
            </w:pPr>
            <w:r>
              <w:rPr>
                <w:rFonts w:ascii="Arial" w:cs="Arial" w:eastAsia="Arial" w:hAnsi="Arial"/>
                <w:sz w:val="18"/>
                <w:szCs w:val="18"/>
                <w:color w:val="auto"/>
                <w:w w:val="92"/>
              </w:rPr>
              <w:t>Certification Pursuant to 18</w:t>
            </w:r>
          </w:p>
        </w:tc>
        <w:tc>
          <w:tcPr>
            <w:tcW w:w="8260" w:type="dxa"/>
            <w:vAlign w:val="bottom"/>
          </w:tcPr>
          <w:p>
            <w:pPr>
              <w:ind w:left="20"/>
              <w:spacing w:after="0"/>
              <w:rPr>
                <w:sz w:val="20"/>
                <w:szCs w:val="20"/>
                <w:color w:val="auto"/>
              </w:rPr>
            </w:pPr>
            <w:r>
              <w:rPr>
                <w:rFonts w:ascii="Arial" w:cs="Arial" w:eastAsia="Arial" w:hAnsi="Arial"/>
                <w:sz w:val="18"/>
                <w:szCs w:val="18"/>
                <w:color w:val="auto"/>
                <w:w w:val="96"/>
              </w:rPr>
              <w:t>U.S.C. Section 1350, as Adopted Pursuant to Section 302 of the Sarbanes-Oxley Act of 2002 of George A.</w:t>
            </w: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10540" w:type="dxa"/>
            <w:vAlign w:val="bottom"/>
            <w:gridSpan w:val="3"/>
          </w:tcPr>
          <w:p>
            <w:pPr>
              <w:ind w:left="260"/>
              <w:spacing w:after="0"/>
              <w:rPr>
                <w:sz w:val="20"/>
                <w:szCs w:val="20"/>
                <w:color w:val="auto"/>
              </w:rPr>
            </w:pPr>
            <w:r>
              <w:rPr>
                <w:rFonts w:ascii="Arial" w:cs="Arial" w:eastAsia="Arial" w:hAnsi="Arial"/>
                <w:sz w:val="18"/>
                <w:szCs w:val="18"/>
                <w:color w:val="auto"/>
              </w:rPr>
              <w:t>Hervey, Chief Financial Officer</w:t>
            </w:r>
          </w:p>
        </w:tc>
        <w:tc>
          <w:tcPr>
            <w:tcW w:w="0" w:type="dxa"/>
            <w:vAlign w:val="bottom"/>
          </w:tcPr>
          <w:p>
            <w:pPr>
              <w:spacing w:after="0"/>
              <w:rPr>
                <w:sz w:val="1"/>
                <w:szCs w:val="1"/>
                <w:color w:val="auto"/>
              </w:rPr>
            </w:pPr>
          </w:p>
        </w:tc>
      </w:tr>
      <w:tr>
        <w:trPr>
          <w:trHeight w:val="216"/>
        </w:trPr>
        <w:tc>
          <w:tcPr>
            <w:tcW w:w="880" w:type="dxa"/>
            <w:vAlign w:val="bottom"/>
          </w:tcPr>
          <w:p>
            <w:pPr>
              <w:spacing w:after="0"/>
              <w:rPr>
                <w:sz w:val="20"/>
                <w:szCs w:val="20"/>
                <w:color w:val="auto"/>
              </w:rPr>
            </w:pPr>
            <w:r>
              <w:rPr>
                <w:rFonts w:ascii="Arial" w:cs="Arial" w:eastAsia="Arial" w:hAnsi="Arial"/>
                <w:sz w:val="18"/>
                <w:szCs w:val="18"/>
                <w:color w:val="auto"/>
              </w:rPr>
              <w:t>32.1*</w:t>
            </w:r>
          </w:p>
        </w:tc>
        <w:tc>
          <w:tcPr>
            <w:tcW w:w="2280" w:type="dxa"/>
            <w:vAlign w:val="bottom"/>
            <w:gridSpan w:val="2"/>
          </w:tcPr>
          <w:p>
            <w:pPr>
              <w:ind w:left="260"/>
              <w:spacing w:after="0"/>
              <w:rPr>
                <w:sz w:val="20"/>
                <w:szCs w:val="20"/>
                <w:color w:val="auto"/>
              </w:rPr>
            </w:pPr>
            <w:r>
              <w:rPr>
                <w:rFonts w:ascii="Arial" w:cs="Arial" w:eastAsia="Arial" w:hAnsi="Arial"/>
                <w:sz w:val="18"/>
                <w:szCs w:val="18"/>
                <w:color w:val="auto"/>
                <w:w w:val="92"/>
              </w:rPr>
              <w:t>Certification Pursuant to 18</w:t>
            </w:r>
          </w:p>
        </w:tc>
        <w:tc>
          <w:tcPr>
            <w:tcW w:w="8260" w:type="dxa"/>
            <w:vAlign w:val="bottom"/>
          </w:tcPr>
          <w:p>
            <w:pPr>
              <w:ind w:left="20"/>
              <w:spacing w:after="0"/>
              <w:rPr>
                <w:sz w:val="20"/>
                <w:szCs w:val="20"/>
                <w:color w:val="auto"/>
              </w:rPr>
            </w:pPr>
            <w:r>
              <w:rPr>
                <w:rFonts w:ascii="Arial" w:cs="Arial" w:eastAsia="Arial" w:hAnsi="Arial"/>
                <w:sz w:val="18"/>
                <w:szCs w:val="18"/>
                <w:color w:val="auto"/>
                <w:w w:val="92"/>
              </w:rPr>
              <w:t>U.S.C. Section 1350, as Adopted Pursuant to Section 906 of the Sarbanes-Oxley Act of 2002 of Sehat Sutardja,</w:t>
            </w: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2280" w:type="dxa"/>
            <w:vAlign w:val="bottom"/>
            <w:gridSpan w:val="2"/>
          </w:tcPr>
          <w:p>
            <w:pPr>
              <w:ind w:left="260"/>
              <w:spacing w:after="0"/>
              <w:rPr>
                <w:sz w:val="20"/>
                <w:szCs w:val="20"/>
                <w:color w:val="auto"/>
              </w:rPr>
            </w:pPr>
            <w:r>
              <w:rPr>
                <w:rFonts w:ascii="Arial" w:cs="Arial" w:eastAsia="Arial" w:hAnsi="Arial"/>
                <w:sz w:val="18"/>
                <w:szCs w:val="18"/>
                <w:color w:val="auto"/>
              </w:rPr>
              <w:t>Chief Executive Officer</w:t>
            </w:r>
          </w:p>
        </w:tc>
        <w:tc>
          <w:tcPr>
            <w:tcW w:w="8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880" w:type="dxa"/>
            <w:vAlign w:val="bottom"/>
          </w:tcPr>
          <w:p>
            <w:pPr>
              <w:spacing w:after="0"/>
              <w:rPr>
                <w:sz w:val="20"/>
                <w:szCs w:val="20"/>
                <w:color w:val="auto"/>
              </w:rPr>
            </w:pPr>
            <w:r>
              <w:rPr>
                <w:rFonts w:ascii="Arial" w:cs="Arial" w:eastAsia="Arial" w:hAnsi="Arial"/>
                <w:sz w:val="18"/>
                <w:szCs w:val="18"/>
                <w:color w:val="auto"/>
              </w:rPr>
              <w:t>32.2*</w:t>
            </w:r>
          </w:p>
        </w:tc>
        <w:tc>
          <w:tcPr>
            <w:tcW w:w="2280" w:type="dxa"/>
            <w:vAlign w:val="bottom"/>
            <w:gridSpan w:val="2"/>
          </w:tcPr>
          <w:p>
            <w:pPr>
              <w:ind w:left="260"/>
              <w:spacing w:after="0"/>
              <w:rPr>
                <w:sz w:val="20"/>
                <w:szCs w:val="20"/>
                <w:color w:val="auto"/>
              </w:rPr>
            </w:pPr>
            <w:r>
              <w:rPr>
                <w:rFonts w:ascii="Arial" w:cs="Arial" w:eastAsia="Arial" w:hAnsi="Arial"/>
                <w:sz w:val="18"/>
                <w:szCs w:val="18"/>
                <w:color w:val="auto"/>
                <w:w w:val="92"/>
              </w:rPr>
              <w:t>Certification Pursuant to 18</w:t>
            </w:r>
          </w:p>
        </w:tc>
        <w:tc>
          <w:tcPr>
            <w:tcW w:w="8260" w:type="dxa"/>
            <w:vAlign w:val="bottom"/>
          </w:tcPr>
          <w:p>
            <w:pPr>
              <w:ind w:left="20"/>
              <w:spacing w:after="0"/>
              <w:rPr>
                <w:sz w:val="20"/>
                <w:szCs w:val="20"/>
                <w:color w:val="auto"/>
              </w:rPr>
            </w:pPr>
            <w:r>
              <w:rPr>
                <w:rFonts w:ascii="Arial" w:cs="Arial" w:eastAsia="Arial" w:hAnsi="Arial"/>
                <w:sz w:val="18"/>
                <w:szCs w:val="18"/>
                <w:color w:val="auto"/>
                <w:w w:val="96"/>
              </w:rPr>
              <w:t>U.S.C. Section 1350, as Adopted Pursuant to Section 906 of the Sarbanes-Oxley Act of 2002 of George A.</w:t>
            </w:r>
          </w:p>
        </w:tc>
        <w:tc>
          <w:tcPr>
            <w:tcW w:w="0" w:type="dxa"/>
            <w:vAlign w:val="bottom"/>
          </w:tcPr>
          <w:p>
            <w:pPr>
              <w:spacing w:after="0"/>
              <w:rPr>
                <w:sz w:val="1"/>
                <w:szCs w:val="1"/>
                <w:color w:val="auto"/>
              </w:rPr>
            </w:pPr>
          </w:p>
        </w:tc>
      </w:tr>
    </w:tbl>
    <w:p>
      <w:pPr>
        <w:ind w:left="1140"/>
        <w:spacing w:after="0"/>
        <w:rPr>
          <w:sz w:val="20"/>
          <w:szCs w:val="20"/>
          <w:color w:val="auto"/>
        </w:rPr>
      </w:pPr>
      <w:r>
        <w:rPr>
          <w:rFonts w:ascii="Arial" w:cs="Arial" w:eastAsia="Arial" w:hAnsi="Arial"/>
          <w:sz w:val="18"/>
          <w:szCs w:val="18"/>
          <w:color w:val="auto"/>
        </w:rPr>
        <w:t>Hervey,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211455</wp:posOffset>
            </wp:positionV>
            <wp:extent cx="1389380"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9">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200" w:lineRule="exact"/>
        <w:rPr>
          <w:sz w:val="20"/>
          <w:szCs w:val="20"/>
          <w:color w:val="auto"/>
        </w:rPr>
      </w:pPr>
    </w:p>
    <w:p>
      <w:pPr>
        <w:spacing w:after="0" w:line="220" w:lineRule="exact"/>
        <w:rPr>
          <w:sz w:val="20"/>
          <w:szCs w:val="20"/>
          <w:color w:val="auto"/>
        </w:rPr>
      </w:pPr>
    </w:p>
    <w:p>
      <w:pPr>
        <w:ind w:left="320" w:hanging="312"/>
        <w:spacing w:after="0"/>
        <w:tabs>
          <w:tab w:leader="none" w:pos="320" w:val="left"/>
        </w:tabs>
        <w:numPr>
          <w:ilvl w:val="0"/>
          <w:numId w:val="17"/>
        </w:numPr>
        <w:rPr>
          <w:rFonts w:ascii="Arial" w:cs="Arial" w:eastAsia="Arial" w:hAnsi="Arial"/>
          <w:sz w:val="16"/>
          <w:szCs w:val="16"/>
          <w:color w:val="auto"/>
        </w:rPr>
      </w:pPr>
      <w:r>
        <w:rPr>
          <w:rFonts w:ascii="Arial" w:cs="Arial" w:eastAsia="Arial" w:hAnsi="Arial"/>
          <w:sz w:val="16"/>
          <w:szCs w:val="16"/>
          <w:color w:val="auto"/>
        </w:rPr>
        <w:t>In accordance with Item 601(b)(32)(ii) of Regulation S-K and SEC Release No. 33-8238 and 34-47986, Final Rule: Management’s Reports on Internal</w:t>
      </w:r>
    </w:p>
    <w:p>
      <w:pPr>
        <w:spacing w:after="0" w:line="72" w:lineRule="exact"/>
        <w:rPr>
          <w:rFonts w:ascii="Arial" w:cs="Arial" w:eastAsia="Arial" w:hAnsi="Arial"/>
          <w:sz w:val="16"/>
          <w:szCs w:val="16"/>
          <w:color w:val="auto"/>
        </w:rPr>
      </w:pPr>
    </w:p>
    <w:p>
      <w:pPr>
        <w:ind w:left="340" w:right="60"/>
        <w:spacing w:after="0" w:line="259" w:lineRule="auto"/>
        <w:rPr>
          <w:rFonts w:ascii="Arial" w:cs="Arial" w:eastAsia="Arial" w:hAnsi="Arial"/>
          <w:sz w:val="16"/>
          <w:szCs w:val="16"/>
          <w:color w:val="auto"/>
        </w:rPr>
      </w:pPr>
      <w:r>
        <w:rPr>
          <w:rFonts w:ascii="Arial" w:cs="Arial" w:eastAsia="Arial" w:hAnsi="Arial"/>
          <w:sz w:val="18"/>
          <w:szCs w:val="18"/>
          <w:color w:val="auto"/>
        </w:rPr>
        <w:t>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ectPr>
          <w:pgSz w:w="11900" w:h="16838" w:orient="portrait"/>
          <w:cols w:equalWidth="0" w:num="1">
            <w:col w:w="11460"/>
          </w:cols>
          <w:pgMar w:left="240" w:top="125" w:right="199" w:bottom="177"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p>
      <w:pPr>
        <w:jc w:val="center"/>
        <w:ind w:right="40"/>
        <w:spacing w:after="0"/>
        <w:rPr>
          <w:sz w:val="20"/>
          <w:szCs w:val="20"/>
          <w:color w:val="auto"/>
        </w:rPr>
      </w:pPr>
      <w:r>
        <w:rPr>
          <w:rFonts w:ascii="Arial" w:cs="Arial" w:eastAsia="Arial" w:hAnsi="Arial"/>
          <w:sz w:val="16"/>
          <w:szCs w:val="16"/>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60"/>
          </w:cols>
          <w:pgMar w:left="240" w:top="125" w:right="199" w:bottom="177" w:gutter="0" w:footer="0" w:header="0"/>
          <w:type w:val="continuous"/>
        </w:sectPr>
      </w:pPr>
    </w:p>
    <w:bookmarkStart w:id="35" w:name="page36"/>
    <w:bookmarkEnd w:id="35"/>
    <w:p>
      <w:pPr>
        <w:jc w:val="right"/>
        <w:ind w:right="40"/>
        <w:spacing w:after="0"/>
        <w:rPr>
          <w:sz w:val="20"/>
          <w:szCs w:val="20"/>
          <w:color w:val="auto"/>
        </w:rPr>
      </w:pPr>
      <w:r>
        <w:rPr>
          <w:rFonts w:ascii="Arial" w:cs="Arial" w:eastAsia="Arial" w:hAnsi="Arial"/>
          <w:sz w:val="18"/>
          <w:szCs w:val="18"/>
          <w:b w:val="1"/>
          <w:bCs w:val="1"/>
          <w:color w:val="auto"/>
        </w:rPr>
        <w:t>Exhibit 31.1</w:t>
      </w:r>
    </w:p>
    <w:p>
      <w:pPr>
        <w:spacing w:after="0" w:line="225" w:lineRule="exact"/>
        <w:rPr>
          <w:sz w:val="20"/>
          <w:szCs w:val="20"/>
          <w:color w:val="auto"/>
        </w:rPr>
      </w:pPr>
    </w:p>
    <w:p>
      <w:pPr>
        <w:ind w:left="1960"/>
        <w:spacing w:after="0"/>
        <w:rPr>
          <w:sz w:val="20"/>
          <w:szCs w:val="20"/>
          <w:color w:val="auto"/>
        </w:rPr>
      </w:pPr>
      <w:r>
        <w:rPr>
          <w:rFonts w:ascii="Arial" w:cs="Arial" w:eastAsia="Arial" w:hAnsi="Arial"/>
          <w:sz w:val="18"/>
          <w:szCs w:val="18"/>
          <w:b w:val="1"/>
          <w:bCs w:val="1"/>
          <w:color w:val="auto"/>
        </w:rPr>
        <w:t>CERTIFICATION PURSUANT TO SECTION 302 OF THE SARBANES-OXLEY ACT OF 2002</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Dr. Sehat Sutardja, certify that:</w:t>
      </w:r>
    </w:p>
    <w:p>
      <w:pPr>
        <w:spacing w:after="0" w:line="225" w:lineRule="exact"/>
        <w:rPr>
          <w:sz w:val="20"/>
          <w:szCs w:val="20"/>
          <w:color w:val="auto"/>
        </w:rPr>
      </w:pPr>
    </w:p>
    <w:p>
      <w:pPr>
        <w:ind w:left="660" w:hanging="652"/>
        <w:spacing w:after="0"/>
        <w:tabs>
          <w:tab w:leader="none" w:pos="6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jc w:val="both"/>
        <w:ind w:left="660" w:right="320" w:hanging="652"/>
        <w:spacing w:after="0" w:line="264" w:lineRule="auto"/>
        <w:tabs>
          <w:tab w:leader="none" w:pos="673" w:val="left"/>
        </w:tabs>
        <w:numPr>
          <w:ilvl w:val="0"/>
          <w:numId w:val="18"/>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left="660" w:right="280" w:hanging="652"/>
        <w:spacing w:after="0" w:line="308" w:lineRule="auto"/>
        <w:tabs>
          <w:tab w:leader="none" w:pos="673" w:val="left"/>
        </w:tabs>
        <w:numPr>
          <w:ilvl w:val="0"/>
          <w:numId w:val="18"/>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660" w:right="320" w:hanging="652"/>
        <w:spacing w:after="0" w:line="264" w:lineRule="auto"/>
        <w:tabs>
          <w:tab w:leader="none" w:pos="673"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1300" w:right="120" w:hanging="644"/>
        <w:spacing w:after="0" w:line="264" w:lineRule="auto"/>
        <w:tabs>
          <w:tab w:leader="none" w:pos="1305" w:val="left"/>
        </w:tabs>
        <w:numPr>
          <w:ilvl w:val="1"/>
          <w:numId w:val="18"/>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1300" w:right="260" w:hanging="644"/>
        <w:spacing w:after="0" w:line="264" w:lineRule="auto"/>
        <w:tabs>
          <w:tab w:leader="none" w:pos="1301" w:val="left"/>
        </w:tabs>
        <w:numPr>
          <w:ilvl w:val="1"/>
          <w:numId w:val="18"/>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1300" w:right="420" w:hanging="644"/>
        <w:spacing w:after="0" w:line="342" w:lineRule="auto"/>
        <w:tabs>
          <w:tab w:leader="none" w:pos="1305" w:val="left"/>
        </w:tabs>
        <w:numPr>
          <w:ilvl w:val="1"/>
          <w:numId w:val="18"/>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1300" w:right="120" w:hanging="644"/>
        <w:spacing w:after="0" w:line="264" w:lineRule="auto"/>
        <w:tabs>
          <w:tab w:leader="none" w:pos="1301" w:val="left"/>
        </w:tabs>
        <w:numPr>
          <w:ilvl w:val="1"/>
          <w:numId w:val="18"/>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660" w:right="200" w:hanging="652"/>
        <w:spacing w:after="0" w:line="308" w:lineRule="auto"/>
        <w:tabs>
          <w:tab w:leader="none" w:pos="673" w:val="left"/>
        </w:tabs>
        <w:numPr>
          <w:ilvl w:val="0"/>
          <w:numId w:val="18"/>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146" w:lineRule="exact"/>
        <w:rPr>
          <w:rFonts w:ascii="Arial" w:cs="Arial" w:eastAsia="Arial" w:hAnsi="Arial"/>
          <w:sz w:val="17"/>
          <w:szCs w:val="17"/>
          <w:color w:val="auto"/>
        </w:rPr>
      </w:pPr>
    </w:p>
    <w:p>
      <w:pPr>
        <w:ind w:left="1300" w:right="600" w:hanging="644"/>
        <w:spacing w:after="0" w:line="342" w:lineRule="auto"/>
        <w:tabs>
          <w:tab w:leader="none" w:pos="1305" w:val="left"/>
        </w:tabs>
        <w:numPr>
          <w:ilvl w:val="1"/>
          <w:numId w:val="18"/>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123" w:lineRule="exact"/>
        <w:rPr>
          <w:rFonts w:ascii="Arial" w:cs="Arial" w:eastAsia="Arial" w:hAnsi="Arial"/>
          <w:sz w:val="16"/>
          <w:szCs w:val="16"/>
          <w:color w:val="auto"/>
        </w:rPr>
      </w:pPr>
    </w:p>
    <w:p>
      <w:pPr>
        <w:ind w:left="1300" w:right="360" w:hanging="644"/>
        <w:spacing w:after="0" w:line="277" w:lineRule="auto"/>
        <w:tabs>
          <w:tab w:leader="none" w:pos="1301" w:val="left"/>
        </w:tabs>
        <w:numPr>
          <w:ilvl w:val="1"/>
          <w:numId w:val="18"/>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200" w:lineRule="exact"/>
        <w:rPr>
          <w:sz w:val="20"/>
          <w:szCs w:val="20"/>
          <w:color w:val="auto"/>
        </w:rPr>
      </w:pPr>
    </w:p>
    <w:p>
      <w:pPr>
        <w:spacing w:after="0" w:line="386"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3020" w:type="dxa"/>
            <w:vAlign w:val="bottom"/>
            <w:gridSpan w:val="3"/>
          </w:tcPr>
          <w:p>
            <w:pPr>
              <w:spacing w:after="0"/>
              <w:rPr>
                <w:sz w:val="20"/>
                <w:szCs w:val="20"/>
                <w:color w:val="auto"/>
              </w:rPr>
            </w:pPr>
            <w:r>
              <w:rPr>
                <w:rFonts w:ascii="Arial" w:cs="Arial" w:eastAsia="Arial" w:hAnsi="Arial"/>
                <w:sz w:val="18"/>
                <w:szCs w:val="18"/>
                <w:color w:val="auto"/>
              </w:rPr>
              <w:t>Date: June 8, 2006</w:t>
            </w:r>
          </w:p>
        </w:tc>
        <w:tc>
          <w:tcPr>
            <w:tcW w:w="8400" w:type="dxa"/>
            <w:vAlign w:val="bottom"/>
            <w:gridSpan w:val="2"/>
          </w:tcPr>
          <w:p>
            <w:pPr>
              <w:ind w:left="1640"/>
              <w:spacing w:after="0"/>
              <w:rPr>
                <w:sz w:val="20"/>
                <w:szCs w:val="20"/>
                <w:color w:val="auto"/>
              </w:rPr>
            </w:pPr>
            <w:r>
              <w:rPr>
                <w:rFonts w:ascii="Arial" w:cs="Arial" w:eastAsia="Arial" w:hAnsi="Arial"/>
                <w:sz w:val="18"/>
                <w:szCs w:val="18"/>
                <w:color w:val="auto"/>
              </w:rPr>
              <w:t>By:   /s/ DR. SEHAT SUTARDJA</w:t>
            </w:r>
          </w:p>
        </w:tc>
        <w:tc>
          <w:tcPr>
            <w:tcW w:w="40" w:type="dxa"/>
            <w:vAlign w:val="bottom"/>
          </w:tcPr>
          <w:p>
            <w:pPr>
              <w:spacing w:after="0"/>
              <w:rPr>
                <w:sz w:val="18"/>
                <w:szCs w:val="18"/>
                <w:color w:val="auto"/>
              </w:rPr>
            </w:pPr>
          </w:p>
        </w:tc>
      </w:tr>
      <w:tr>
        <w:trPr>
          <w:trHeight w:val="21"/>
        </w:trPr>
        <w:tc>
          <w:tcPr>
            <w:tcW w:w="440" w:type="dxa"/>
            <w:vAlign w:val="bottom"/>
          </w:tcPr>
          <w:p>
            <w:pPr>
              <w:spacing w:after="0" w:line="20" w:lineRule="exact"/>
              <w:rPr>
                <w:sz w:val="1"/>
                <w:szCs w:val="1"/>
                <w:color w:val="auto"/>
              </w:rPr>
            </w:pPr>
          </w:p>
        </w:tc>
        <w:tc>
          <w:tcPr>
            <w:tcW w:w="920" w:type="dxa"/>
            <w:vAlign w:val="bottom"/>
            <w:tcBorders>
              <w:top w:val="single" w:sz="8" w:color="auto"/>
            </w:tcBorders>
          </w:tcPr>
          <w:p>
            <w:pPr>
              <w:spacing w:after="0" w:line="20" w:lineRule="exact"/>
              <w:rPr>
                <w:sz w:val="1"/>
                <w:szCs w:val="1"/>
                <w:color w:val="auto"/>
              </w:rPr>
            </w:pPr>
          </w:p>
        </w:tc>
        <w:tc>
          <w:tcPr>
            <w:tcW w:w="1660" w:type="dxa"/>
            <w:vAlign w:val="bottom"/>
          </w:tcPr>
          <w:p>
            <w:pPr>
              <w:spacing w:after="0" w:line="20" w:lineRule="exact"/>
              <w:rPr>
                <w:sz w:val="1"/>
                <w:szCs w:val="1"/>
                <w:color w:val="auto"/>
              </w:rPr>
            </w:pPr>
          </w:p>
        </w:tc>
        <w:tc>
          <w:tcPr>
            <w:tcW w:w="2200" w:type="dxa"/>
            <w:vAlign w:val="bottom"/>
          </w:tcPr>
          <w:p>
            <w:pPr>
              <w:spacing w:after="0" w:line="20" w:lineRule="exact"/>
              <w:rPr>
                <w:sz w:val="1"/>
                <w:szCs w:val="1"/>
                <w:color w:val="auto"/>
              </w:rPr>
            </w:pPr>
          </w:p>
        </w:tc>
        <w:tc>
          <w:tcPr>
            <w:tcW w:w="620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r>
        <w:trPr>
          <w:trHeight w:val="195"/>
        </w:trPr>
        <w:tc>
          <w:tcPr>
            <w:tcW w:w="4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2200" w:type="dxa"/>
            <w:vAlign w:val="bottom"/>
          </w:tcPr>
          <w:p>
            <w:pPr>
              <w:spacing w:after="0"/>
              <w:rPr>
                <w:sz w:val="16"/>
                <w:szCs w:val="16"/>
                <w:color w:val="auto"/>
              </w:rPr>
            </w:pPr>
          </w:p>
        </w:tc>
        <w:tc>
          <w:tcPr>
            <w:tcW w:w="6200" w:type="dxa"/>
            <w:vAlign w:val="bottom"/>
          </w:tcPr>
          <w:p>
            <w:pPr>
              <w:spacing w:after="0" w:line="195" w:lineRule="exact"/>
              <w:rPr>
                <w:sz w:val="20"/>
                <w:szCs w:val="20"/>
                <w:color w:val="auto"/>
              </w:rPr>
            </w:pPr>
            <w:r>
              <w:rPr>
                <w:rFonts w:ascii="Arial" w:cs="Arial" w:eastAsia="Arial" w:hAnsi="Arial"/>
                <w:sz w:val="18"/>
                <w:szCs w:val="18"/>
                <w:color w:val="auto"/>
              </w:rPr>
              <w:t>Dr. Sehat Sutardja</w:t>
            </w:r>
          </w:p>
        </w:tc>
        <w:tc>
          <w:tcPr>
            <w:tcW w:w="40" w:type="dxa"/>
            <w:vAlign w:val="bottom"/>
          </w:tcPr>
          <w:p>
            <w:pPr>
              <w:spacing w:after="0"/>
              <w:rPr>
                <w:sz w:val="16"/>
                <w:szCs w:val="16"/>
                <w:color w:val="auto"/>
              </w:rPr>
            </w:pPr>
          </w:p>
        </w:tc>
      </w:tr>
      <w:tr>
        <w:trPr>
          <w:trHeight w:val="216"/>
        </w:trPr>
        <w:tc>
          <w:tcPr>
            <w:tcW w:w="4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660" w:type="dxa"/>
            <w:vAlign w:val="bottom"/>
          </w:tcPr>
          <w:p>
            <w:pPr>
              <w:spacing w:after="0"/>
              <w:rPr>
                <w:sz w:val="18"/>
                <w:szCs w:val="18"/>
                <w:color w:val="auto"/>
              </w:rPr>
            </w:pPr>
          </w:p>
        </w:tc>
        <w:tc>
          <w:tcPr>
            <w:tcW w:w="2200" w:type="dxa"/>
            <w:vAlign w:val="bottom"/>
          </w:tcPr>
          <w:p>
            <w:pPr>
              <w:spacing w:after="0"/>
              <w:rPr>
                <w:sz w:val="18"/>
                <w:szCs w:val="18"/>
                <w:color w:val="auto"/>
              </w:rPr>
            </w:pPr>
          </w:p>
        </w:tc>
        <w:tc>
          <w:tcPr>
            <w:tcW w:w="6200" w:type="dxa"/>
            <w:vAlign w:val="bottom"/>
          </w:tcPr>
          <w:p>
            <w:pPr>
              <w:spacing w:after="0"/>
              <w:rPr>
                <w:sz w:val="20"/>
                <w:szCs w:val="20"/>
                <w:color w:val="auto"/>
              </w:rPr>
            </w:pPr>
            <w:r>
              <w:rPr>
                <w:rFonts w:ascii="Arial" w:cs="Arial" w:eastAsia="Arial" w:hAnsi="Arial"/>
                <w:sz w:val="18"/>
                <w:szCs w:val="18"/>
                <w:color w:val="auto"/>
              </w:rPr>
              <w:t>Chairman of the Board,</w:t>
            </w:r>
          </w:p>
        </w:tc>
        <w:tc>
          <w:tcPr>
            <w:tcW w:w="40" w:type="dxa"/>
            <w:vAlign w:val="bottom"/>
          </w:tcPr>
          <w:p>
            <w:pPr>
              <w:spacing w:after="0"/>
              <w:rPr>
                <w:sz w:val="18"/>
                <w:szCs w:val="18"/>
                <w:color w:val="auto"/>
              </w:rPr>
            </w:pPr>
          </w:p>
        </w:tc>
      </w:tr>
      <w:tr>
        <w:trPr>
          <w:trHeight w:val="230"/>
        </w:trPr>
        <w:tc>
          <w:tcPr>
            <w:tcW w:w="44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1660" w:type="dxa"/>
            <w:vAlign w:val="bottom"/>
          </w:tcPr>
          <w:p>
            <w:pPr>
              <w:spacing w:after="0"/>
              <w:rPr>
                <w:sz w:val="20"/>
                <w:szCs w:val="20"/>
                <w:color w:val="auto"/>
              </w:rPr>
            </w:pPr>
          </w:p>
        </w:tc>
        <w:tc>
          <w:tcPr>
            <w:tcW w:w="2200" w:type="dxa"/>
            <w:vAlign w:val="bottom"/>
          </w:tcPr>
          <w:p>
            <w:pPr>
              <w:spacing w:after="0"/>
              <w:rPr>
                <w:sz w:val="20"/>
                <w:szCs w:val="20"/>
                <w:color w:val="auto"/>
              </w:rPr>
            </w:pPr>
          </w:p>
        </w:tc>
        <w:tc>
          <w:tcPr>
            <w:tcW w:w="6200" w:type="dxa"/>
            <w:vAlign w:val="bottom"/>
          </w:tcPr>
          <w:p>
            <w:pPr>
              <w:spacing w:after="0"/>
              <w:rPr>
                <w:sz w:val="20"/>
                <w:szCs w:val="20"/>
                <w:color w:val="auto"/>
              </w:rPr>
            </w:pPr>
            <w:r>
              <w:rPr>
                <w:rFonts w:ascii="Arial" w:cs="Arial" w:eastAsia="Arial" w:hAnsi="Arial"/>
                <w:sz w:val="18"/>
                <w:szCs w:val="18"/>
                <w:color w:val="auto"/>
              </w:rPr>
              <w:t>President and Chief Executive Officer</w:t>
            </w:r>
          </w:p>
        </w:tc>
        <w:tc>
          <w:tcPr>
            <w:tcW w:w="40" w:type="dxa"/>
            <w:vAlign w:val="bottom"/>
          </w:tcPr>
          <w:p>
            <w:pPr>
              <w:spacing w:after="0"/>
              <w:rPr>
                <w:sz w:val="20"/>
                <w:szCs w:val="20"/>
                <w:color w:val="auto"/>
              </w:rPr>
            </w:pPr>
          </w:p>
        </w:tc>
      </w:tr>
      <w:tr>
        <w:trPr>
          <w:trHeight w:val="1239"/>
        </w:trPr>
        <w:tc>
          <w:tcPr>
            <w:tcW w:w="440" w:type="dxa"/>
            <w:vAlign w:val="bottom"/>
            <w:tcBorders>
              <w:bottom w:val="single" w:sz="8" w:color="010101"/>
            </w:tcBorders>
          </w:tcPr>
          <w:p>
            <w:pPr>
              <w:spacing w:after="0"/>
              <w:rPr>
                <w:sz w:val="24"/>
                <w:szCs w:val="24"/>
                <w:color w:val="auto"/>
              </w:rPr>
            </w:pPr>
          </w:p>
        </w:tc>
        <w:tc>
          <w:tcPr>
            <w:tcW w:w="920" w:type="dxa"/>
            <w:vAlign w:val="bottom"/>
            <w:tcBorders>
              <w:bottom w:val="single" w:sz="8" w:color="010101"/>
            </w:tcBorders>
          </w:tcPr>
          <w:p>
            <w:pPr>
              <w:spacing w:after="0"/>
              <w:rPr>
                <w:sz w:val="24"/>
                <w:szCs w:val="24"/>
                <w:color w:val="auto"/>
              </w:rPr>
            </w:pPr>
          </w:p>
        </w:tc>
        <w:tc>
          <w:tcPr>
            <w:tcW w:w="1660" w:type="dxa"/>
            <w:vAlign w:val="bottom"/>
            <w:tcBorders>
              <w:bottom w:val="single" w:sz="8" w:color="010101"/>
            </w:tcBorders>
          </w:tcPr>
          <w:p>
            <w:pPr>
              <w:spacing w:after="0"/>
              <w:rPr>
                <w:sz w:val="24"/>
                <w:szCs w:val="24"/>
                <w:color w:val="auto"/>
              </w:rPr>
            </w:pPr>
          </w:p>
        </w:tc>
        <w:tc>
          <w:tcPr>
            <w:tcW w:w="2200" w:type="dxa"/>
            <w:vAlign w:val="bottom"/>
            <w:tcBorders>
              <w:bottom w:val="single" w:sz="8" w:color="010101"/>
            </w:tcBorders>
          </w:tcPr>
          <w:p>
            <w:pPr>
              <w:spacing w:after="0"/>
              <w:rPr>
                <w:sz w:val="24"/>
                <w:szCs w:val="24"/>
                <w:color w:val="auto"/>
              </w:rPr>
            </w:pPr>
          </w:p>
        </w:tc>
        <w:tc>
          <w:tcPr>
            <w:tcW w:w="620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91">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2">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553" w:right="199" w:bottom="1440" w:gutter="0" w:footer="0" w:header="0"/>
        </w:sectPr>
      </w:pPr>
    </w:p>
    <w:bookmarkStart w:id="36" w:name="page37"/>
    <w:bookmarkEnd w:id="36"/>
    <w:p>
      <w:pPr>
        <w:jc w:val="right"/>
        <w:ind w:right="40"/>
        <w:spacing w:after="0"/>
        <w:rPr>
          <w:sz w:val="20"/>
          <w:szCs w:val="20"/>
          <w:color w:val="auto"/>
        </w:rPr>
      </w:pPr>
      <w:r>
        <w:rPr>
          <w:rFonts w:ascii="Arial" w:cs="Arial" w:eastAsia="Arial" w:hAnsi="Arial"/>
          <w:sz w:val="18"/>
          <w:szCs w:val="18"/>
          <w:b w:val="1"/>
          <w:bCs w:val="1"/>
          <w:color w:val="auto"/>
        </w:rPr>
        <w:t>Exhibit 31.2</w:t>
      </w:r>
    </w:p>
    <w:p>
      <w:pPr>
        <w:spacing w:after="0" w:line="225" w:lineRule="exact"/>
        <w:rPr>
          <w:sz w:val="20"/>
          <w:szCs w:val="20"/>
          <w:color w:val="auto"/>
        </w:rPr>
      </w:pPr>
    </w:p>
    <w:p>
      <w:pPr>
        <w:ind w:left="1960"/>
        <w:spacing w:after="0"/>
        <w:rPr>
          <w:sz w:val="20"/>
          <w:szCs w:val="20"/>
          <w:color w:val="auto"/>
        </w:rPr>
      </w:pPr>
      <w:r>
        <w:rPr>
          <w:rFonts w:ascii="Arial" w:cs="Arial" w:eastAsia="Arial" w:hAnsi="Arial"/>
          <w:sz w:val="18"/>
          <w:szCs w:val="18"/>
          <w:b w:val="1"/>
          <w:bCs w:val="1"/>
          <w:color w:val="auto"/>
        </w:rPr>
        <w:t>CERTIFICATION PURSUANT TO SECTION 302 OF THE SARBANES-OXLEY ACT OF 2002</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George A. Hervey, certify that:</w:t>
      </w:r>
    </w:p>
    <w:p>
      <w:pPr>
        <w:spacing w:after="0" w:line="225" w:lineRule="exact"/>
        <w:rPr>
          <w:sz w:val="20"/>
          <w:szCs w:val="20"/>
          <w:color w:val="auto"/>
        </w:rPr>
      </w:pPr>
    </w:p>
    <w:p>
      <w:pPr>
        <w:ind w:left="660" w:hanging="652"/>
        <w:spacing w:after="0"/>
        <w:tabs>
          <w:tab w:leader="none" w:pos="6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jc w:val="both"/>
        <w:ind w:left="660" w:right="320" w:hanging="652"/>
        <w:spacing w:after="0" w:line="264" w:lineRule="auto"/>
        <w:tabs>
          <w:tab w:leader="none" w:pos="673" w:val="left"/>
        </w:tabs>
        <w:numPr>
          <w:ilvl w:val="0"/>
          <w:numId w:val="19"/>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left="660" w:right="280" w:hanging="652"/>
        <w:spacing w:after="0" w:line="308" w:lineRule="auto"/>
        <w:tabs>
          <w:tab w:leader="none" w:pos="673" w:val="left"/>
        </w:tabs>
        <w:numPr>
          <w:ilvl w:val="0"/>
          <w:numId w:val="19"/>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660" w:right="320" w:hanging="652"/>
        <w:spacing w:after="0" w:line="264" w:lineRule="auto"/>
        <w:tabs>
          <w:tab w:leader="none" w:pos="673"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1300" w:right="120" w:hanging="644"/>
        <w:spacing w:after="0" w:line="264" w:lineRule="auto"/>
        <w:tabs>
          <w:tab w:leader="none" w:pos="1305" w:val="left"/>
        </w:tabs>
        <w:numPr>
          <w:ilvl w:val="1"/>
          <w:numId w:val="19"/>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1300" w:right="260" w:hanging="644"/>
        <w:spacing w:after="0" w:line="264" w:lineRule="auto"/>
        <w:tabs>
          <w:tab w:leader="none" w:pos="1301" w:val="left"/>
        </w:tabs>
        <w:numPr>
          <w:ilvl w:val="1"/>
          <w:numId w:val="19"/>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1300" w:right="420" w:hanging="644"/>
        <w:spacing w:after="0" w:line="342" w:lineRule="auto"/>
        <w:tabs>
          <w:tab w:leader="none" w:pos="1305" w:val="left"/>
        </w:tabs>
        <w:numPr>
          <w:ilvl w:val="1"/>
          <w:numId w:val="19"/>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1300" w:right="120" w:hanging="644"/>
        <w:spacing w:after="0" w:line="264" w:lineRule="auto"/>
        <w:tabs>
          <w:tab w:leader="none" w:pos="1301" w:val="left"/>
        </w:tabs>
        <w:numPr>
          <w:ilvl w:val="1"/>
          <w:numId w:val="19"/>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660" w:right="200" w:hanging="652"/>
        <w:spacing w:after="0" w:line="308" w:lineRule="auto"/>
        <w:tabs>
          <w:tab w:leader="none" w:pos="673" w:val="left"/>
        </w:tabs>
        <w:numPr>
          <w:ilvl w:val="0"/>
          <w:numId w:val="19"/>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146" w:lineRule="exact"/>
        <w:rPr>
          <w:rFonts w:ascii="Arial" w:cs="Arial" w:eastAsia="Arial" w:hAnsi="Arial"/>
          <w:sz w:val="17"/>
          <w:szCs w:val="17"/>
          <w:color w:val="auto"/>
        </w:rPr>
      </w:pPr>
    </w:p>
    <w:p>
      <w:pPr>
        <w:ind w:left="1300" w:right="600" w:hanging="644"/>
        <w:spacing w:after="0" w:line="342" w:lineRule="auto"/>
        <w:tabs>
          <w:tab w:leader="none" w:pos="1305" w:val="left"/>
        </w:tabs>
        <w:numPr>
          <w:ilvl w:val="1"/>
          <w:numId w:val="19"/>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123" w:lineRule="exact"/>
        <w:rPr>
          <w:rFonts w:ascii="Arial" w:cs="Arial" w:eastAsia="Arial" w:hAnsi="Arial"/>
          <w:sz w:val="16"/>
          <w:szCs w:val="16"/>
          <w:color w:val="auto"/>
        </w:rPr>
      </w:pPr>
    </w:p>
    <w:p>
      <w:pPr>
        <w:ind w:left="1300" w:right="360" w:hanging="644"/>
        <w:spacing w:after="0" w:line="277" w:lineRule="auto"/>
        <w:tabs>
          <w:tab w:leader="none" w:pos="1301" w:val="left"/>
        </w:tabs>
        <w:numPr>
          <w:ilvl w:val="1"/>
          <w:numId w:val="19"/>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200" w:lineRule="exact"/>
        <w:rPr>
          <w:sz w:val="20"/>
          <w:szCs w:val="20"/>
          <w:color w:val="auto"/>
        </w:rPr>
      </w:pPr>
    </w:p>
    <w:p>
      <w:pPr>
        <w:spacing w:after="0" w:line="386"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3580" w:type="dxa"/>
            <w:vAlign w:val="bottom"/>
            <w:gridSpan w:val="3"/>
          </w:tcPr>
          <w:p>
            <w:pPr>
              <w:spacing w:after="0"/>
              <w:rPr>
                <w:sz w:val="20"/>
                <w:szCs w:val="20"/>
                <w:color w:val="auto"/>
              </w:rPr>
            </w:pPr>
            <w:r>
              <w:rPr>
                <w:rFonts w:ascii="Arial" w:cs="Arial" w:eastAsia="Arial" w:hAnsi="Arial"/>
                <w:sz w:val="18"/>
                <w:szCs w:val="18"/>
                <w:color w:val="auto"/>
              </w:rPr>
              <w:t>Date: June 8, 2006</w:t>
            </w:r>
          </w:p>
        </w:tc>
        <w:tc>
          <w:tcPr>
            <w:tcW w:w="7840" w:type="dxa"/>
            <w:vAlign w:val="bottom"/>
            <w:gridSpan w:val="2"/>
          </w:tcPr>
          <w:p>
            <w:pPr>
              <w:ind w:left="2200"/>
              <w:spacing w:after="0"/>
              <w:rPr>
                <w:sz w:val="20"/>
                <w:szCs w:val="20"/>
                <w:color w:val="auto"/>
              </w:rPr>
            </w:pPr>
            <w:r>
              <w:rPr>
                <w:rFonts w:ascii="Arial" w:cs="Arial" w:eastAsia="Arial" w:hAnsi="Arial"/>
                <w:sz w:val="18"/>
                <w:szCs w:val="18"/>
                <w:color w:val="auto"/>
              </w:rPr>
              <w:t>By:    /s/ GEORGE A. HERVEY</w:t>
            </w:r>
          </w:p>
        </w:tc>
        <w:tc>
          <w:tcPr>
            <w:tcW w:w="40" w:type="dxa"/>
            <w:vAlign w:val="bottom"/>
          </w:tcPr>
          <w:p>
            <w:pPr>
              <w:spacing w:after="0"/>
              <w:rPr>
                <w:sz w:val="18"/>
                <w:szCs w:val="18"/>
                <w:color w:val="auto"/>
              </w:rPr>
            </w:pPr>
          </w:p>
        </w:tc>
      </w:tr>
      <w:tr>
        <w:trPr>
          <w:trHeight w:val="21"/>
        </w:trPr>
        <w:tc>
          <w:tcPr>
            <w:tcW w:w="440" w:type="dxa"/>
            <w:vAlign w:val="bottom"/>
          </w:tcPr>
          <w:p>
            <w:pPr>
              <w:spacing w:after="0" w:line="20" w:lineRule="exact"/>
              <w:rPr>
                <w:sz w:val="1"/>
                <w:szCs w:val="1"/>
                <w:color w:val="auto"/>
              </w:rPr>
            </w:pPr>
          </w:p>
        </w:tc>
        <w:tc>
          <w:tcPr>
            <w:tcW w:w="920" w:type="dxa"/>
            <w:vAlign w:val="bottom"/>
            <w:tcBorders>
              <w:top w:val="single" w:sz="8" w:color="auto"/>
            </w:tcBorders>
          </w:tcPr>
          <w:p>
            <w:pPr>
              <w:spacing w:after="0" w:line="20" w:lineRule="exact"/>
              <w:rPr>
                <w:sz w:val="1"/>
                <w:szCs w:val="1"/>
                <w:color w:val="auto"/>
              </w:rPr>
            </w:pPr>
          </w:p>
        </w:tc>
        <w:tc>
          <w:tcPr>
            <w:tcW w:w="2220" w:type="dxa"/>
            <w:vAlign w:val="bottom"/>
          </w:tcPr>
          <w:p>
            <w:pPr>
              <w:spacing w:after="0" w:line="20" w:lineRule="exact"/>
              <w:rPr>
                <w:sz w:val="1"/>
                <w:szCs w:val="1"/>
                <w:color w:val="auto"/>
              </w:rPr>
            </w:pPr>
          </w:p>
        </w:tc>
        <w:tc>
          <w:tcPr>
            <w:tcW w:w="2780" w:type="dxa"/>
            <w:vAlign w:val="bottom"/>
          </w:tcPr>
          <w:p>
            <w:pPr>
              <w:spacing w:after="0" w:line="20" w:lineRule="exact"/>
              <w:rPr>
                <w:sz w:val="1"/>
                <w:szCs w:val="1"/>
                <w:color w:val="auto"/>
              </w:rPr>
            </w:pPr>
          </w:p>
        </w:tc>
        <w:tc>
          <w:tcPr>
            <w:tcW w:w="506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r>
        <w:trPr>
          <w:trHeight w:val="195"/>
        </w:trPr>
        <w:tc>
          <w:tcPr>
            <w:tcW w:w="4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2220" w:type="dxa"/>
            <w:vAlign w:val="bottom"/>
          </w:tcPr>
          <w:p>
            <w:pPr>
              <w:spacing w:after="0"/>
              <w:rPr>
                <w:sz w:val="16"/>
                <w:szCs w:val="16"/>
                <w:color w:val="auto"/>
              </w:rPr>
            </w:pPr>
          </w:p>
        </w:tc>
        <w:tc>
          <w:tcPr>
            <w:tcW w:w="2780" w:type="dxa"/>
            <w:vAlign w:val="bottom"/>
          </w:tcPr>
          <w:p>
            <w:pPr>
              <w:spacing w:after="0"/>
              <w:rPr>
                <w:sz w:val="16"/>
                <w:szCs w:val="16"/>
                <w:color w:val="auto"/>
              </w:rPr>
            </w:pPr>
          </w:p>
        </w:tc>
        <w:tc>
          <w:tcPr>
            <w:tcW w:w="5060" w:type="dxa"/>
            <w:vAlign w:val="bottom"/>
          </w:tcPr>
          <w:p>
            <w:pPr>
              <w:spacing w:after="0" w:line="195" w:lineRule="exact"/>
              <w:rPr>
                <w:sz w:val="20"/>
                <w:szCs w:val="20"/>
                <w:color w:val="auto"/>
              </w:rPr>
            </w:pPr>
            <w:r>
              <w:rPr>
                <w:rFonts w:ascii="Arial" w:cs="Arial" w:eastAsia="Arial" w:hAnsi="Arial"/>
                <w:sz w:val="18"/>
                <w:szCs w:val="18"/>
                <w:color w:val="auto"/>
              </w:rPr>
              <w:t>George A. Hervey</w:t>
            </w:r>
          </w:p>
        </w:tc>
        <w:tc>
          <w:tcPr>
            <w:tcW w:w="40" w:type="dxa"/>
            <w:vAlign w:val="bottom"/>
          </w:tcPr>
          <w:p>
            <w:pPr>
              <w:spacing w:after="0"/>
              <w:rPr>
                <w:sz w:val="16"/>
                <w:szCs w:val="16"/>
                <w:color w:val="auto"/>
              </w:rPr>
            </w:pPr>
          </w:p>
        </w:tc>
      </w:tr>
      <w:tr>
        <w:trPr>
          <w:trHeight w:val="230"/>
        </w:trPr>
        <w:tc>
          <w:tcPr>
            <w:tcW w:w="44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2220" w:type="dxa"/>
            <w:vAlign w:val="bottom"/>
          </w:tcPr>
          <w:p>
            <w:pPr>
              <w:spacing w:after="0"/>
              <w:rPr>
                <w:sz w:val="20"/>
                <w:szCs w:val="20"/>
                <w:color w:val="auto"/>
              </w:rPr>
            </w:pPr>
          </w:p>
        </w:tc>
        <w:tc>
          <w:tcPr>
            <w:tcW w:w="2780" w:type="dxa"/>
            <w:vAlign w:val="bottom"/>
          </w:tcPr>
          <w:p>
            <w:pPr>
              <w:spacing w:after="0"/>
              <w:rPr>
                <w:sz w:val="20"/>
                <w:szCs w:val="20"/>
                <w:color w:val="auto"/>
              </w:rPr>
            </w:pPr>
          </w:p>
        </w:tc>
        <w:tc>
          <w:tcPr>
            <w:tcW w:w="5060" w:type="dxa"/>
            <w:vAlign w:val="bottom"/>
          </w:tcPr>
          <w:p>
            <w:pPr>
              <w:spacing w:after="0"/>
              <w:rPr>
                <w:sz w:val="20"/>
                <w:szCs w:val="20"/>
                <w:color w:val="auto"/>
              </w:rPr>
            </w:pPr>
            <w:r>
              <w:rPr>
                <w:rFonts w:ascii="Arial" w:cs="Arial" w:eastAsia="Arial" w:hAnsi="Arial"/>
                <w:sz w:val="18"/>
                <w:szCs w:val="18"/>
                <w:color w:val="auto"/>
              </w:rPr>
              <w:t>Vice President and Chief Financial Officer</w:t>
            </w:r>
          </w:p>
        </w:tc>
        <w:tc>
          <w:tcPr>
            <w:tcW w:w="40" w:type="dxa"/>
            <w:vAlign w:val="bottom"/>
          </w:tcPr>
          <w:p>
            <w:pPr>
              <w:spacing w:after="0"/>
              <w:rPr>
                <w:sz w:val="20"/>
                <w:szCs w:val="20"/>
                <w:color w:val="auto"/>
              </w:rPr>
            </w:pPr>
          </w:p>
        </w:tc>
      </w:tr>
      <w:tr>
        <w:trPr>
          <w:trHeight w:val="1239"/>
        </w:trPr>
        <w:tc>
          <w:tcPr>
            <w:tcW w:w="440" w:type="dxa"/>
            <w:vAlign w:val="bottom"/>
            <w:tcBorders>
              <w:bottom w:val="single" w:sz="8" w:color="010101"/>
            </w:tcBorders>
          </w:tcPr>
          <w:p>
            <w:pPr>
              <w:spacing w:after="0"/>
              <w:rPr>
                <w:sz w:val="24"/>
                <w:szCs w:val="24"/>
                <w:color w:val="auto"/>
              </w:rPr>
            </w:pPr>
          </w:p>
        </w:tc>
        <w:tc>
          <w:tcPr>
            <w:tcW w:w="920" w:type="dxa"/>
            <w:vAlign w:val="bottom"/>
            <w:tcBorders>
              <w:bottom w:val="single" w:sz="8" w:color="010101"/>
            </w:tcBorders>
          </w:tcPr>
          <w:p>
            <w:pPr>
              <w:spacing w:after="0"/>
              <w:rPr>
                <w:sz w:val="24"/>
                <w:szCs w:val="24"/>
                <w:color w:val="auto"/>
              </w:rPr>
            </w:pPr>
          </w:p>
        </w:tc>
        <w:tc>
          <w:tcPr>
            <w:tcW w:w="2220" w:type="dxa"/>
            <w:vAlign w:val="bottom"/>
            <w:tcBorders>
              <w:bottom w:val="single" w:sz="8" w:color="010101"/>
            </w:tcBorders>
          </w:tcPr>
          <w:p>
            <w:pPr>
              <w:spacing w:after="0"/>
              <w:rPr>
                <w:sz w:val="24"/>
                <w:szCs w:val="24"/>
                <w:color w:val="auto"/>
              </w:rPr>
            </w:pPr>
          </w:p>
        </w:tc>
        <w:tc>
          <w:tcPr>
            <w:tcW w:w="2780" w:type="dxa"/>
            <w:vAlign w:val="bottom"/>
            <w:tcBorders>
              <w:bottom w:val="single" w:sz="8" w:color="010101"/>
            </w:tcBorders>
          </w:tcPr>
          <w:p>
            <w:pPr>
              <w:spacing w:after="0"/>
              <w:rPr>
                <w:sz w:val="24"/>
                <w:szCs w:val="24"/>
                <w:color w:val="auto"/>
              </w:rPr>
            </w:pPr>
          </w:p>
        </w:tc>
        <w:tc>
          <w:tcPr>
            <w:tcW w:w="506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93">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94">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553" w:right="199" w:bottom="1440" w:gutter="0" w:footer="0" w:header="0"/>
        </w:sectPr>
      </w:pPr>
    </w:p>
    <w:bookmarkStart w:id="37" w:name="page38"/>
    <w:bookmarkEnd w:id="37"/>
    <w:p>
      <w:pPr>
        <w:jc w:val="right"/>
        <w:spacing w:after="0"/>
        <w:rPr>
          <w:sz w:val="20"/>
          <w:szCs w:val="20"/>
          <w:color w:val="auto"/>
        </w:rPr>
      </w:pPr>
      <w:r>
        <w:rPr>
          <w:rFonts w:ascii="Arial" w:cs="Arial" w:eastAsia="Arial" w:hAnsi="Arial"/>
          <w:sz w:val="18"/>
          <w:szCs w:val="18"/>
          <w:b w:val="1"/>
          <w:bCs w:val="1"/>
          <w:color w:val="auto"/>
        </w:rPr>
        <w:t>Exhibit 32.1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STATEMENT OF CHIEF EXECUTIVE OFFICER UNDER 18 U.S.C. § 1350</w:t>
      </w:r>
    </w:p>
    <w:p>
      <w:pPr>
        <w:spacing w:after="0" w:line="229"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I, Dr. Sehat Sutardja, the Chief Executive Officer of Marvell Technology Group Ltd. (the “Company”), certify for the purposes of section 1350 of chapter 63 of title 18 of the United States Code that, to the best of my knowledge,</w:t>
      </w:r>
    </w:p>
    <w:p>
      <w:pPr>
        <w:spacing w:after="0" w:line="170" w:lineRule="exact"/>
        <w:rPr>
          <w:sz w:val="20"/>
          <w:szCs w:val="20"/>
          <w:color w:val="auto"/>
        </w:rPr>
      </w:pPr>
    </w:p>
    <w:p>
      <w:pPr>
        <w:ind w:left="980" w:right="740" w:hanging="324"/>
        <w:spacing w:after="0" w:line="277" w:lineRule="auto"/>
        <w:tabs>
          <w:tab w:leader="none" w:pos="1001"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April 30, 2006 (the “Report”), fully complies with the requirements of section 13(a) of the Securities Exchange Act of 1934, and</w:t>
      </w:r>
    </w:p>
    <w:p>
      <w:pPr>
        <w:spacing w:after="0" w:line="170" w:lineRule="exact"/>
        <w:rPr>
          <w:rFonts w:ascii="Arial" w:cs="Arial" w:eastAsia="Arial" w:hAnsi="Arial"/>
          <w:sz w:val="18"/>
          <w:szCs w:val="18"/>
          <w:color w:val="auto"/>
        </w:rPr>
      </w:pPr>
    </w:p>
    <w:p>
      <w:pPr>
        <w:ind w:left="1020" w:hanging="364"/>
        <w:spacing w:after="0"/>
        <w:tabs>
          <w:tab w:leader="none" w:pos="1020" w:val="left"/>
        </w:tabs>
        <w:numPr>
          <w:ilvl w:val="0"/>
          <w:numId w:val="20"/>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00" w:lineRule="exact"/>
        <w:rPr>
          <w:sz w:val="20"/>
          <w:szCs w:val="20"/>
          <w:color w:val="auto"/>
        </w:rPr>
      </w:pPr>
    </w:p>
    <w:p>
      <w:pPr>
        <w:spacing w:after="0" w:line="200" w:lineRule="exact"/>
        <w:rPr>
          <w:sz w:val="20"/>
          <w:szCs w:val="20"/>
          <w:color w:val="auto"/>
        </w:rPr>
      </w:pPr>
    </w:p>
    <w:p>
      <w:pPr>
        <w:spacing w:after="0" w:line="280" w:lineRule="exact"/>
        <w:rPr>
          <w:sz w:val="20"/>
          <w:szCs w:val="20"/>
          <w:color w:val="auto"/>
        </w:rPr>
      </w:pPr>
    </w:p>
    <w:p>
      <w:pPr>
        <w:ind w:left="6360"/>
        <w:spacing w:after="0"/>
        <w:rPr>
          <w:sz w:val="20"/>
          <w:szCs w:val="20"/>
          <w:color w:val="auto"/>
        </w:rPr>
      </w:pPr>
      <w:r>
        <w:rPr>
          <w:rFonts w:ascii="Arial" w:cs="Arial" w:eastAsia="Arial" w:hAnsi="Arial"/>
          <w:sz w:val="18"/>
          <w:szCs w:val="18"/>
          <w:color w:val="auto"/>
        </w:rPr>
        <w:t>/s/ DR. SEHAT SUTARDJA</w:t>
      </w:r>
    </w:p>
    <w:p>
      <w:pPr>
        <w:spacing w:after="0" w:line="23" w:lineRule="exact"/>
        <w:rPr>
          <w:sz w:val="20"/>
          <w:szCs w:val="20"/>
          <w:color w:val="auto"/>
        </w:rPr>
      </w:pPr>
    </w:p>
    <w:p>
      <w:pPr>
        <w:ind w:left="6360"/>
        <w:spacing w:after="0"/>
        <w:rPr>
          <w:sz w:val="20"/>
          <w:szCs w:val="20"/>
          <w:color w:val="auto"/>
        </w:rPr>
      </w:pPr>
      <w:r>
        <w:rPr>
          <w:rFonts w:ascii="Arial" w:cs="Arial" w:eastAsia="Arial" w:hAnsi="Arial"/>
          <w:sz w:val="18"/>
          <w:szCs w:val="18"/>
          <w:color w:val="auto"/>
        </w:rPr>
        <w:t>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4035425</wp:posOffset>
            </wp:positionH>
            <wp:positionV relativeFrom="paragraph">
              <wp:posOffset>-130810</wp:posOffset>
            </wp:positionV>
            <wp:extent cx="3215640" cy="88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95">
                      <a:extLst>
                        <a:ext uri="{28A0092B-C50C-407E-A947-70E740481C1C}"/>
                      </a:extLst>
                    </a:blip>
                    <a:srcRect/>
                    <a:stretch>
                      <a:fillRect/>
                    </a:stretch>
                  </pic:blipFill>
                  <pic:spPr bwMode="auto">
                    <a:xfrm>
                      <a:off x="0" y="0"/>
                      <a:ext cx="3215640" cy="8890"/>
                    </a:xfrm>
                    <a:prstGeom prst="rect">
                      <a:avLst/>
                    </a:prstGeom>
                    <a:noFill/>
                  </pic:spPr>
                </pic:pic>
              </a:graphicData>
            </a:graphic>
          </wp:anchor>
        </w:drawing>
      </w:r>
    </w:p>
    <w:p>
      <w:pPr>
        <w:spacing w:after="0" w:line="3" w:lineRule="exact"/>
        <w:rPr>
          <w:sz w:val="20"/>
          <w:szCs w:val="20"/>
          <w:color w:val="auto"/>
        </w:rPr>
      </w:pPr>
    </w:p>
    <w:p>
      <w:pPr>
        <w:ind w:left="6360"/>
        <w:spacing w:after="0"/>
        <w:rPr>
          <w:sz w:val="20"/>
          <w:szCs w:val="20"/>
          <w:color w:val="auto"/>
        </w:rPr>
      </w:pPr>
      <w:r>
        <w:rPr>
          <w:rFonts w:ascii="Arial" w:cs="Arial" w:eastAsia="Arial" w:hAnsi="Arial"/>
          <w:sz w:val="18"/>
          <w:szCs w:val="18"/>
          <w:color w:val="auto"/>
        </w:rPr>
        <w:t>Chairman of the Board,</w:t>
      </w:r>
    </w:p>
    <w:p>
      <w:pPr>
        <w:spacing w:after="0" w:line="9" w:lineRule="exact"/>
        <w:rPr>
          <w:sz w:val="20"/>
          <w:szCs w:val="20"/>
          <w:color w:val="auto"/>
        </w:rPr>
      </w:pPr>
    </w:p>
    <w:p>
      <w:pPr>
        <w:ind w:left="6360"/>
        <w:spacing w:after="0"/>
        <w:rPr>
          <w:sz w:val="20"/>
          <w:szCs w:val="20"/>
          <w:color w:val="auto"/>
        </w:rPr>
      </w:pPr>
      <w:r>
        <w:rPr>
          <w:rFonts w:ascii="Arial" w:cs="Arial" w:eastAsia="Arial" w:hAnsi="Arial"/>
          <w:sz w:val="18"/>
          <w:szCs w:val="18"/>
          <w:color w:val="auto"/>
        </w:rPr>
        <w:t>President and Chief Executive Officer</w:t>
      </w:r>
    </w:p>
    <w:p>
      <w:pPr>
        <w:spacing w:after="0" w:line="211" w:lineRule="exact"/>
        <w:rPr>
          <w:sz w:val="20"/>
          <w:szCs w:val="20"/>
          <w:color w:val="auto"/>
        </w:rPr>
      </w:pPr>
    </w:p>
    <w:p>
      <w:pPr>
        <w:ind w:left="6360"/>
        <w:spacing w:after="0"/>
        <w:rPr>
          <w:sz w:val="20"/>
          <w:szCs w:val="20"/>
          <w:color w:val="auto"/>
        </w:rPr>
      </w:pPr>
      <w:r>
        <w:rPr>
          <w:rFonts w:ascii="Arial" w:cs="Arial" w:eastAsia="Arial" w:hAnsi="Arial"/>
          <w:sz w:val="18"/>
          <w:szCs w:val="18"/>
          <w:color w:val="auto"/>
        </w:rPr>
        <w:t>Date: June 8, 2006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784860</wp:posOffset>
            </wp:positionV>
            <wp:extent cx="7267575" cy="2984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9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553" w:right="239" w:bottom="1440" w:gutter="0" w:footer="0" w:header="0"/>
        </w:sectPr>
      </w:pPr>
    </w:p>
    <w:bookmarkStart w:id="38" w:name="page39"/>
    <w:bookmarkEnd w:id="38"/>
    <w:p>
      <w:pPr>
        <w:jc w:val="right"/>
        <w:spacing w:after="0"/>
        <w:rPr>
          <w:sz w:val="20"/>
          <w:szCs w:val="20"/>
          <w:color w:val="auto"/>
        </w:rPr>
      </w:pPr>
      <w:r>
        <w:rPr>
          <w:rFonts w:ascii="Arial" w:cs="Arial" w:eastAsia="Arial" w:hAnsi="Arial"/>
          <w:sz w:val="18"/>
          <w:szCs w:val="18"/>
          <w:b w:val="1"/>
          <w:bCs w:val="1"/>
          <w:color w:val="auto"/>
        </w:rPr>
        <w:t>Exhibit 32.2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STATEMENT OF CHIEF FINANCIAL OFFICER UNDER 18 U.S.C. § 1350</w:t>
      </w:r>
    </w:p>
    <w:p>
      <w:pPr>
        <w:spacing w:after="0" w:line="229"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color w:val="auto"/>
        </w:rPr>
        <w:t>I, George A. Hervey, the Chief Financial Officer of Marvell Technology Group Ltd. (the “Company”), certify for the purposes of section 1350 of chapter 63 of title 18 of the United States Code that, to the best of my knowledge,</w:t>
      </w:r>
    </w:p>
    <w:p>
      <w:pPr>
        <w:spacing w:after="0" w:line="170" w:lineRule="exact"/>
        <w:rPr>
          <w:sz w:val="20"/>
          <w:szCs w:val="20"/>
          <w:color w:val="auto"/>
        </w:rPr>
      </w:pPr>
    </w:p>
    <w:p>
      <w:pPr>
        <w:ind w:left="980" w:right="740" w:hanging="324"/>
        <w:spacing w:after="0" w:line="277" w:lineRule="auto"/>
        <w:tabs>
          <w:tab w:leader="none" w:pos="1001"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April 30, 2006 (the “Report”), fully complies with the requirements of section 13(a) of the Securities Exchange Act of 1934, and</w:t>
      </w:r>
    </w:p>
    <w:p>
      <w:pPr>
        <w:spacing w:after="0" w:line="170" w:lineRule="exact"/>
        <w:rPr>
          <w:rFonts w:ascii="Arial" w:cs="Arial" w:eastAsia="Arial" w:hAnsi="Arial"/>
          <w:sz w:val="18"/>
          <w:szCs w:val="18"/>
          <w:color w:val="auto"/>
        </w:rPr>
      </w:pPr>
    </w:p>
    <w:p>
      <w:pPr>
        <w:ind w:left="1020" w:hanging="364"/>
        <w:spacing w:after="0"/>
        <w:tabs>
          <w:tab w:leader="none" w:pos="1020" w:val="left"/>
        </w:tabs>
        <w:numPr>
          <w:ilvl w:val="0"/>
          <w:numId w:val="21"/>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00" w:lineRule="exact"/>
        <w:rPr>
          <w:sz w:val="20"/>
          <w:szCs w:val="20"/>
          <w:color w:val="auto"/>
        </w:rPr>
      </w:pPr>
    </w:p>
    <w:p>
      <w:pPr>
        <w:spacing w:after="0" w:line="200" w:lineRule="exact"/>
        <w:rPr>
          <w:sz w:val="20"/>
          <w:szCs w:val="20"/>
          <w:color w:val="auto"/>
        </w:rPr>
      </w:pPr>
    </w:p>
    <w:p>
      <w:pPr>
        <w:spacing w:after="0" w:line="280" w:lineRule="exact"/>
        <w:rPr>
          <w:sz w:val="20"/>
          <w:szCs w:val="20"/>
          <w:color w:val="auto"/>
        </w:rPr>
      </w:pPr>
    </w:p>
    <w:p>
      <w:pPr>
        <w:ind w:left="5800"/>
        <w:spacing w:after="0"/>
        <w:rPr>
          <w:sz w:val="20"/>
          <w:szCs w:val="20"/>
          <w:color w:val="auto"/>
        </w:rPr>
      </w:pPr>
      <w:r>
        <w:rPr>
          <w:rFonts w:ascii="Arial" w:cs="Arial" w:eastAsia="Arial" w:hAnsi="Arial"/>
          <w:sz w:val="18"/>
          <w:szCs w:val="18"/>
          <w:color w:val="auto"/>
        </w:rPr>
        <w:t>/s/ GEORGE A. HERVEY</w:t>
      </w:r>
    </w:p>
    <w:p>
      <w:pPr>
        <w:spacing w:after="0" w:line="23" w:lineRule="exact"/>
        <w:rPr>
          <w:sz w:val="20"/>
          <w:szCs w:val="20"/>
          <w:color w:val="auto"/>
        </w:rPr>
      </w:pPr>
    </w:p>
    <w:p>
      <w:pPr>
        <w:ind w:left="5800"/>
        <w:spacing w:after="0"/>
        <w:rPr>
          <w:sz w:val="20"/>
          <w:szCs w:val="20"/>
          <w:color w:val="auto"/>
        </w:rPr>
      </w:pPr>
      <w:r>
        <w:rPr>
          <w:rFonts w:ascii="Arial" w:cs="Arial" w:eastAsia="Arial" w:hAnsi="Arial"/>
          <w:sz w:val="18"/>
          <w:szCs w:val="18"/>
          <w:color w:val="auto"/>
        </w:rPr>
        <w:t>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3684270</wp:posOffset>
            </wp:positionH>
            <wp:positionV relativeFrom="paragraph">
              <wp:posOffset>-130810</wp:posOffset>
            </wp:positionV>
            <wp:extent cx="3567430"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97">
                      <a:extLst>
                        <a:ext uri="{28A0092B-C50C-407E-A947-70E740481C1C}"/>
                      </a:extLst>
                    </a:blip>
                    <a:srcRect/>
                    <a:stretch>
                      <a:fillRect/>
                    </a:stretch>
                  </pic:blipFill>
                  <pic:spPr bwMode="auto">
                    <a:xfrm>
                      <a:off x="0" y="0"/>
                      <a:ext cx="3567430" cy="8890"/>
                    </a:xfrm>
                    <a:prstGeom prst="rect">
                      <a:avLst/>
                    </a:prstGeom>
                    <a:noFill/>
                  </pic:spPr>
                </pic:pic>
              </a:graphicData>
            </a:graphic>
          </wp:anchor>
        </w:drawing>
      </w:r>
    </w:p>
    <w:p>
      <w:pPr>
        <w:spacing w:after="0" w:line="3" w:lineRule="exact"/>
        <w:rPr>
          <w:sz w:val="20"/>
          <w:szCs w:val="20"/>
          <w:color w:val="auto"/>
        </w:rPr>
      </w:pPr>
    </w:p>
    <w:p>
      <w:pPr>
        <w:ind w:left="5800"/>
        <w:spacing w:after="0"/>
        <w:rPr>
          <w:sz w:val="20"/>
          <w:szCs w:val="20"/>
          <w:color w:val="auto"/>
        </w:rPr>
      </w:pPr>
      <w:r>
        <w:rPr>
          <w:rFonts w:ascii="Arial" w:cs="Arial" w:eastAsia="Arial" w:hAnsi="Arial"/>
          <w:sz w:val="18"/>
          <w:szCs w:val="18"/>
          <w:color w:val="auto"/>
        </w:rPr>
        <w:t>Vice President and Chief Financial Officer</w:t>
      </w:r>
    </w:p>
    <w:p>
      <w:pPr>
        <w:spacing w:after="0" w:line="211" w:lineRule="exact"/>
        <w:rPr>
          <w:sz w:val="20"/>
          <w:szCs w:val="20"/>
          <w:color w:val="auto"/>
        </w:rPr>
      </w:pPr>
    </w:p>
    <w:p>
      <w:pPr>
        <w:ind w:left="5800"/>
        <w:spacing w:after="0"/>
        <w:rPr>
          <w:sz w:val="20"/>
          <w:szCs w:val="20"/>
          <w:color w:val="auto"/>
        </w:rPr>
      </w:pPr>
      <w:r>
        <w:rPr>
          <w:rFonts w:ascii="Arial" w:cs="Arial" w:eastAsia="Arial" w:hAnsi="Arial"/>
          <w:sz w:val="18"/>
          <w:szCs w:val="18"/>
          <w:color w:val="auto"/>
        </w:rPr>
        <w:t>Date: June 8, 2006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784860</wp:posOffset>
            </wp:positionV>
            <wp:extent cx="7267575" cy="2984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9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553"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F16E9E8"/>
    <w:multiLevelType w:val="hybridMultilevel"/>
    <w:lvl w:ilvl="0">
      <w:lvlJc w:val="left"/>
      <w:lvlText w:val="x"/>
      <w:numFmt w:val="bullet"/>
      <w:start w:val="1"/>
    </w:lvl>
  </w:abstractNum>
  <w:abstractNum w:abstractNumId="1">
    <w:nsid w:val="1190CDE7"/>
    <w:multiLevelType w:val="hybridMultilevel"/>
    <w:lvl w:ilvl="0">
      <w:lvlJc w:val="left"/>
      <w:lvlText w:val="o"/>
      <w:numFmt w:val="bullet"/>
      <w:start w:val="1"/>
    </w:lvl>
  </w:abstractNum>
  <w:abstractNum w:abstractNumId="2">
    <w:nsid w:val="66EF438D"/>
    <w:multiLevelType w:val="hybridMultilevel"/>
    <w:lvl w:ilvl="0">
      <w:lvlJc w:val="left"/>
      <w:lvlText w:val="%1."/>
      <w:numFmt w:val="decimal"/>
      <w:start w:val="1"/>
    </w:lvl>
  </w:abstractNum>
  <w:abstractNum w:abstractNumId="3">
    <w:nsid w:val="140E0F76"/>
    <w:multiLevelType w:val="hybridMultilevel"/>
    <w:lvl w:ilvl="0">
      <w:lvlJc w:val="left"/>
      <w:lvlText w:val="%1."/>
      <w:numFmt w:val="decimal"/>
      <w:start w:val="2"/>
    </w:lvl>
  </w:abstractNum>
  <w:abstractNum w:abstractNumId="4">
    <w:nsid w:val="3352255A"/>
    <w:multiLevelType w:val="hybridMultilevel"/>
    <w:lvl w:ilvl="0">
      <w:lvlJc w:val="left"/>
      <w:lvlText w:val="%1"/>
      <w:numFmt w:val="decimal"/>
      <w:start w:val="406"/>
    </w:lvl>
  </w:abstractNum>
  <w:abstractNum w:abstractNumId="5">
    <w:nsid w:val="109CF92E"/>
    <w:multiLevelType w:val="hybridMultilevel"/>
    <w:lvl w:ilvl="0">
      <w:lvlJc w:val="left"/>
      <w:lvlText w:val="%1."/>
      <w:numFmt w:val="decimal"/>
      <w:start w:val="6"/>
    </w:lvl>
  </w:abstractNum>
  <w:abstractNum w:abstractNumId="6">
    <w:nsid w:val="DED7263"/>
    <w:multiLevelType w:val="hybridMultilevel"/>
    <w:lvl w:ilvl="0">
      <w:lvlJc w:val="left"/>
      <w:lvlText w:val="%1."/>
      <w:numFmt w:val="decimal"/>
      <w:start w:val="7"/>
    </w:lvl>
  </w:abstractNum>
  <w:abstractNum w:abstractNumId="7">
    <w:nsid w:val="7FDCC233"/>
    <w:multiLevelType w:val="hybridMultilevel"/>
    <w:lvl w:ilvl="0">
      <w:lvlJc w:val="left"/>
      <w:lvlText w:val="·"/>
      <w:numFmt w:val="bullet"/>
      <w:start w:val="1"/>
    </w:lvl>
  </w:abstractNum>
  <w:abstractNum w:abstractNumId="8">
    <w:nsid w:val="1BEFD79F"/>
    <w:multiLevelType w:val="hybridMultilevel"/>
    <w:lvl w:ilvl="0">
      <w:lvlJc w:val="left"/>
      <w:lvlText w:val="·"/>
      <w:numFmt w:val="bullet"/>
      <w:start w:val="1"/>
    </w:lvl>
  </w:abstractNum>
  <w:abstractNum w:abstractNumId="9">
    <w:nsid w:val="41A7C4C9"/>
    <w:multiLevelType w:val="hybridMultilevel"/>
    <w:lvl w:ilvl="0">
      <w:lvlJc w:val="left"/>
      <w:lvlText w:val="·"/>
      <w:numFmt w:val="bullet"/>
      <w:start w:val="1"/>
    </w:lvl>
  </w:abstractNum>
  <w:abstractNum w:abstractNumId="10">
    <w:nsid w:val="6B68079A"/>
    <w:multiLevelType w:val="hybridMultilevel"/>
    <w:lvl w:ilvl="0">
      <w:lvlJc w:val="left"/>
      <w:lvlText w:val="·"/>
      <w:numFmt w:val="bullet"/>
      <w:start w:val="1"/>
    </w:lvl>
  </w:abstractNum>
  <w:abstractNum w:abstractNumId="11">
    <w:nsid w:val="4E6AFB66"/>
    <w:multiLevelType w:val="hybridMultilevel"/>
    <w:lvl w:ilvl="0">
      <w:lvlJc w:val="left"/>
      <w:lvlText w:val="·"/>
      <w:numFmt w:val="bullet"/>
      <w:start w:val="1"/>
    </w:lvl>
  </w:abstractNum>
  <w:abstractNum w:abstractNumId="12">
    <w:nsid w:val="25E45D32"/>
    <w:multiLevelType w:val="hybridMultilevel"/>
    <w:lvl w:ilvl="0">
      <w:lvlJc w:val="left"/>
      <w:lvlText w:val="·"/>
      <w:numFmt w:val="bullet"/>
      <w:start w:val="1"/>
    </w:lvl>
  </w:abstractNum>
  <w:abstractNum w:abstractNumId="13">
    <w:nsid w:val="519B500D"/>
    <w:multiLevelType w:val="hybridMultilevel"/>
    <w:lvl w:ilvl="0">
      <w:lvlJc w:val="left"/>
      <w:lvlText w:val="·"/>
      <w:numFmt w:val="bullet"/>
      <w:start w:val="1"/>
    </w:lvl>
  </w:abstractNum>
  <w:abstractNum w:abstractNumId="14">
    <w:nsid w:val="431BD7B7"/>
    <w:multiLevelType w:val="hybridMultilevel"/>
    <w:lvl w:ilvl="0">
      <w:lvlJc w:val="left"/>
      <w:lvlText w:val="·"/>
      <w:numFmt w:val="bullet"/>
      <w:start w:val="1"/>
    </w:lvl>
  </w:abstractNum>
  <w:abstractNum w:abstractNumId="15">
    <w:nsid w:val="3F2DBA31"/>
    <w:multiLevelType w:val="hybridMultilevel"/>
    <w:lvl w:ilvl="0">
      <w:lvlJc w:val="left"/>
      <w:lvlText w:val="*"/>
      <w:numFmt w:val="bullet"/>
      <w:start w:val="1"/>
    </w:lvl>
  </w:abstractNum>
  <w:abstractNum w:abstractNumId="16">
    <w:nsid w:val="7C83E458"/>
    <w:multiLevelType w:val="hybridMultilevel"/>
    <w:lvl w:ilvl="0">
      <w:lvlJc w:val="left"/>
      <w:lvlText w:val="*"/>
      <w:numFmt w:val="bullet"/>
      <w:start w:val="1"/>
    </w:lvl>
  </w:abstractNum>
  <w:abstractNum w:abstractNumId="17">
    <w:nsid w:val="257130A3"/>
    <w:multiLevelType w:val="hybridMultilevel"/>
    <w:lvl w:ilvl="0">
      <w:lvlJc w:val="left"/>
      <w:lvlText w:val="%1."/>
      <w:numFmt w:val="decimal"/>
      <w:start w:val="1"/>
    </w:lvl>
    <w:lvl w:ilvl="1">
      <w:lvlJc w:val="left"/>
      <w:lvlText w:val="%2)"/>
      <w:numFmt w:val="lowerLetter"/>
      <w:start w:val="1"/>
    </w:lvl>
  </w:abstractNum>
  <w:abstractNum w:abstractNumId="18">
    <w:nsid w:val="62BBD95A"/>
    <w:multiLevelType w:val="hybridMultilevel"/>
    <w:lvl w:ilvl="0">
      <w:lvlJc w:val="left"/>
      <w:lvlText w:val="%1."/>
      <w:numFmt w:val="decimal"/>
      <w:start w:val="1"/>
    </w:lvl>
    <w:lvl w:ilvl="1">
      <w:lvlJc w:val="left"/>
      <w:lvlText w:val="%2)"/>
      <w:numFmt w:val="lowerLetter"/>
      <w:start w:val="1"/>
    </w:lvl>
  </w:abstractNum>
  <w:abstractNum w:abstractNumId="19">
    <w:nsid w:val="436C6125"/>
    <w:multiLevelType w:val="hybridMultilevel"/>
    <w:lvl w:ilvl="0">
      <w:lvlJc w:val="left"/>
      <w:lvlText w:val="(%1)"/>
      <w:numFmt w:val="lowerRoman"/>
      <w:start w:val="1"/>
    </w:lvl>
  </w:abstractNum>
  <w:abstractNum w:abstractNumId="20">
    <w:nsid w:val="628C895D"/>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32" Type="http://schemas.openxmlformats.org/officeDocument/2006/relationships/image" Target="media/image6.png"/><Relationship Id="rId33" Type="http://schemas.openxmlformats.org/officeDocument/2006/relationships/image" Target="media/image7.png"/><Relationship Id="rId34" Type="http://schemas.openxmlformats.org/officeDocument/2006/relationships/image" Target="media/image8.png"/><Relationship Id="rId35" Type="http://schemas.openxmlformats.org/officeDocument/2006/relationships/image" Target="media/image9.png"/><Relationship Id="rId36" Type="http://schemas.openxmlformats.org/officeDocument/2006/relationships/image" Target="media/image10.png"/><Relationship Id="rId37" Type="http://schemas.openxmlformats.org/officeDocument/2006/relationships/image" Target="media/image11.png"/><Relationship Id="rId38" Type="http://schemas.openxmlformats.org/officeDocument/2006/relationships/image" Target="media/image12.png"/><Relationship Id="rId39" Type="http://schemas.openxmlformats.org/officeDocument/2006/relationships/image" Target="media/image13.png"/><Relationship Id="rId40" Type="http://schemas.openxmlformats.org/officeDocument/2006/relationships/image" Target="media/image14.png"/><Relationship Id="rId41" Type="http://schemas.openxmlformats.org/officeDocument/2006/relationships/image" Target="media/image15.png"/><Relationship Id="rId42" Type="http://schemas.openxmlformats.org/officeDocument/2006/relationships/image" Target="media/image16.png"/><Relationship Id="rId43" Type="http://schemas.openxmlformats.org/officeDocument/2006/relationships/image" Target="media/image17.png"/><Relationship Id="rId44" Type="http://schemas.openxmlformats.org/officeDocument/2006/relationships/image" Target="media/image18.png"/><Relationship Id="rId45" Type="http://schemas.openxmlformats.org/officeDocument/2006/relationships/image" Target="media/image19.png"/><Relationship Id="rId46" Type="http://schemas.openxmlformats.org/officeDocument/2006/relationships/image" Target="media/image20.png"/><Relationship Id="rId47" Type="http://schemas.openxmlformats.org/officeDocument/2006/relationships/image" Target="media/image21.png"/><Relationship Id="rId48" Type="http://schemas.openxmlformats.org/officeDocument/2006/relationships/image" Target="media/image22.png"/><Relationship Id="rId49" Type="http://schemas.openxmlformats.org/officeDocument/2006/relationships/image" Target="media/image23.png"/><Relationship Id="rId50" Type="http://schemas.openxmlformats.org/officeDocument/2006/relationships/image" Target="media/image24.png"/><Relationship Id="rId51" Type="http://schemas.openxmlformats.org/officeDocument/2006/relationships/image" Target="media/image25.png"/><Relationship Id="rId52" Type="http://schemas.openxmlformats.org/officeDocument/2006/relationships/image" Target="media/image26.png"/><Relationship Id="rId53" Type="http://schemas.openxmlformats.org/officeDocument/2006/relationships/image" Target="media/image27.png"/><Relationship Id="rId54" Type="http://schemas.openxmlformats.org/officeDocument/2006/relationships/image" Target="media/image28.png"/><Relationship Id="rId55" Type="http://schemas.openxmlformats.org/officeDocument/2006/relationships/image" Target="media/image29.png"/><Relationship Id="rId56" Type="http://schemas.openxmlformats.org/officeDocument/2006/relationships/image" Target="media/image30.png"/><Relationship Id="rId57" Type="http://schemas.openxmlformats.org/officeDocument/2006/relationships/image" Target="media/image31.png"/><Relationship Id="rId58" Type="http://schemas.openxmlformats.org/officeDocument/2006/relationships/image" Target="media/image32.png"/><Relationship Id="rId59" Type="http://schemas.openxmlformats.org/officeDocument/2006/relationships/image" Target="media/image33.png"/><Relationship Id="rId60" Type="http://schemas.openxmlformats.org/officeDocument/2006/relationships/image" Target="media/image34.png"/><Relationship Id="rId61" Type="http://schemas.openxmlformats.org/officeDocument/2006/relationships/image" Target="media/image35.png"/><Relationship Id="rId62" Type="http://schemas.openxmlformats.org/officeDocument/2006/relationships/image" Target="media/image36.png"/><Relationship Id="rId63" Type="http://schemas.openxmlformats.org/officeDocument/2006/relationships/image" Target="media/image37.png"/><Relationship Id="rId64" Type="http://schemas.openxmlformats.org/officeDocument/2006/relationships/image" Target="media/image38.png"/><Relationship Id="rId65" Type="http://schemas.openxmlformats.org/officeDocument/2006/relationships/image" Target="media/image39.png"/><Relationship Id="rId66" Type="http://schemas.openxmlformats.org/officeDocument/2006/relationships/image" Target="media/image40.png"/><Relationship Id="rId67" Type="http://schemas.openxmlformats.org/officeDocument/2006/relationships/image" Target="media/image41.png"/><Relationship Id="rId68" Type="http://schemas.openxmlformats.org/officeDocument/2006/relationships/image" Target="media/image42.png"/><Relationship Id="rId69" Type="http://schemas.openxmlformats.org/officeDocument/2006/relationships/image" Target="media/image43.png"/><Relationship Id="rId70" Type="http://schemas.openxmlformats.org/officeDocument/2006/relationships/image" Target="media/image44.png"/><Relationship Id="rId71" Type="http://schemas.openxmlformats.org/officeDocument/2006/relationships/image" Target="media/image45.png"/><Relationship Id="rId72" Type="http://schemas.openxmlformats.org/officeDocument/2006/relationships/image" Target="media/image46.png"/><Relationship Id="rId73" Type="http://schemas.openxmlformats.org/officeDocument/2006/relationships/image" Target="media/image47.png"/><Relationship Id="rId74" Type="http://schemas.openxmlformats.org/officeDocument/2006/relationships/image" Target="media/image48.png"/><Relationship Id="rId75" Type="http://schemas.openxmlformats.org/officeDocument/2006/relationships/image" Target="media/image49.png"/><Relationship Id="rId76" Type="http://schemas.openxmlformats.org/officeDocument/2006/relationships/image" Target="media/image50.png"/><Relationship Id="rId77" Type="http://schemas.openxmlformats.org/officeDocument/2006/relationships/image" Target="media/image51.png"/><Relationship Id="rId78" Type="http://schemas.openxmlformats.org/officeDocument/2006/relationships/image" Target="media/image52.png"/><Relationship Id="rId79" Type="http://schemas.openxmlformats.org/officeDocument/2006/relationships/image" Target="media/image53.png"/><Relationship Id="rId80" Type="http://schemas.openxmlformats.org/officeDocument/2006/relationships/image" Target="media/image54.png"/><Relationship Id="rId81" Type="http://schemas.openxmlformats.org/officeDocument/2006/relationships/image" Target="media/image55.png"/><Relationship Id="rId82" Type="http://schemas.openxmlformats.org/officeDocument/2006/relationships/image" Target="media/image56.png"/><Relationship Id="rId83" Type="http://schemas.openxmlformats.org/officeDocument/2006/relationships/image" Target="media/image57.png"/><Relationship Id="rId84" Type="http://schemas.openxmlformats.org/officeDocument/2006/relationships/image" Target="media/image58.png"/><Relationship Id="rId85" Type="http://schemas.openxmlformats.org/officeDocument/2006/relationships/image" Target="media/image59.png"/><Relationship Id="rId86" Type="http://schemas.openxmlformats.org/officeDocument/2006/relationships/image" Target="media/image60.png"/><Relationship Id="rId87" Type="http://schemas.openxmlformats.org/officeDocument/2006/relationships/image" Target="media/image61.png"/><Relationship Id="rId88" Type="http://schemas.openxmlformats.org/officeDocument/2006/relationships/image" Target="media/image62.png"/><Relationship Id="rId89" Type="http://schemas.openxmlformats.org/officeDocument/2006/relationships/image" Target="media/image63.png"/><Relationship Id="rId90" Type="http://schemas.openxmlformats.org/officeDocument/2006/relationships/image" Target="media/image64.png"/><Relationship Id="rId91" Type="http://schemas.openxmlformats.org/officeDocument/2006/relationships/image" Target="media/image65.png"/><Relationship Id="rId92" Type="http://schemas.openxmlformats.org/officeDocument/2006/relationships/image" Target="media/image66.png"/><Relationship Id="rId93" Type="http://schemas.openxmlformats.org/officeDocument/2006/relationships/image" Target="media/image67.png"/><Relationship Id="rId94" Type="http://schemas.openxmlformats.org/officeDocument/2006/relationships/image" Target="media/image68.png"/><Relationship Id="rId95" Type="http://schemas.openxmlformats.org/officeDocument/2006/relationships/image" Target="media/image69.png"/><Relationship Id="rId96" Type="http://schemas.openxmlformats.org/officeDocument/2006/relationships/image" Target="media/image70.png"/><Relationship Id="rId97" Type="http://schemas.openxmlformats.org/officeDocument/2006/relationships/image" Target="media/image71.png"/><Relationship Id="rId98" Type="http://schemas.openxmlformats.org/officeDocument/2006/relationships/image" Target="media/image72.png"/><Relationship Id="rId13" Type="http://schemas.openxmlformats.org/officeDocument/2006/relationships/hyperlink" Target="file:///data/convert/a06-13461_110q.htm#PartiFinancialInformation_092837" TargetMode="External"/><Relationship Id="rId14" Type="http://schemas.openxmlformats.org/officeDocument/2006/relationships/hyperlink" Target="file:///data/convert/a06-13461_110q.htm#Item1_FinancialStatements_092846" TargetMode="External"/><Relationship Id="rId15" Type="http://schemas.openxmlformats.org/officeDocument/2006/relationships/hyperlink" Target="file:///data/convert/a06-13461_110q.htm#UnauditedCondensedConsolidatedBal_092901" TargetMode="External"/><Relationship Id="rId16" Type="http://schemas.openxmlformats.org/officeDocument/2006/relationships/hyperlink" Target="file:///data/convert/a06-13461_110q.htm#UnauditedCondensedConsolidatedSta_123842" TargetMode="External"/><Relationship Id="rId17" Type="http://schemas.openxmlformats.org/officeDocument/2006/relationships/hyperlink" Target="file:///data/convert/a06-13461_110q.htm#UnauditedCondensedConsolidatedSta_093026" TargetMode="External"/><Relationship Id="rId18" Type="http://schemas.openxmlformats.org/officeDocument/2006/relationships/hyperlink" Target="file:///data/convert/a06-13461_110q.htm#NotesToUnauditedCondensedConsolid_093102" TargetMode="External"/><Relationship Id="rId19" Type="http://schemas.openxmlformats.org/officeDocument/2006/relationships/hyperlink" Target="file:///data/convert/a06-13461_110q.htm#Item2_ManagementsDiscussionAndAna_084946" TargetMode="External"/><Relationship Id="rId20" Type="http://schemas.openxmlformats.org/officeDocument/2006/relationships/hyperlink" Target="file:///data/convert/a06-13461_110q.htm#Item3_QuantitativeAndQualitativeD_093306" TargetMode="External"/><Relationship Id="rId21" Type="http://schemas.openxmlformats.org/officeDocument/2006/relationships/hyperlink" Target="file:///data/convert/a06-13461_110q.htm#Item4_ControlsAndProcedures_093627" TargetMode="External"/><Relationship Id="rId22" Type="http://schemas.openxmlformats.org/officeDocument/2006/relationships/hyperlink" Target="file:///data/convert/a06-13461_110q.htm#Partii_OtherInformation_093632" TargetMode="External"/><Relationship Id="rId23" Type="http://schemas.openxmlformats.org/officeDocument/2006/relationships/hyperlink" Target="file:///data/convert/a06-13461_110q.htm#Item1_LegalProceedings_093639" TargetMode="External"/><Relationship Id="rId24" Type="http://schemas.openxmlformats.org/officeDocument/2006/relationships/hyperlink" Target="file:///data/convert/a06-13461_110q.htm#Item1a_RiskFactors_093647" TargetMode="External"/><Relationship Id="rId25" Type="http://schemas.openxmlformats.org/officeDocument/2006/relationships/hyperlink" Target="file:///data/convert/a06-13461_110q.htm#Item2_UnregisteredSalesOfEquitySe_093813" TargetMode="External"/><Relationship Id="rId26" Type="http://schemas.openxmlformats.org/officeDocument/2006/relationships/hyperlink" Target="file:///data/convert/a06-13461_110q.htm#Item3_DefaultsUponSeniorSecuritie_093819" TargetMode="External"/><Relationship Id="rId27" Type="http://schemas.openxmlformats.org/officeDocument/2006/relationships/hyperlink" Target="file:///data/convert/a06-13461_110q.htm#Item4_SubmissionOfMattersToAVoteO_093824" TargetMode="External"/><Relationship Id="rId28" Type="http://schemas.openxmlformats.org/officeDocument/2006/relationships/hyperlink" Target="file:///data/convert/a06-13461_110q.htm#Item5_OtherInformation_093829" TargetMode="External"/><Relationship Id="rId29" Type="http://schemas.openxmlformats.org/officeDocument/2006/relationships/hyperlink" Target="file:///data/convert/a06-13461_110q.htm#Item6_Exhibits_093833" TargetMode="External"/><Relationship Id="rId30" Type="http://schemas.openxmlformats.org/officeDocument/2006/relationships/hyperlink" Target="file:///data/convert/a06-13461_110q.htm#Signatures_094043" TargetMode="External"/><Relationship Id="rId31" Type="http://schemas.openxmlformats.org/officeDocument/2006/relationships/hyperlink" Target="file:///data/convert/a06-13461_110q.htm#ExhibitIndex_094104"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2019-12-12T02:08:17Z</dcterms:created>
  <dcterms:modified xsi:type="dcterms:W3CDTF">2019-12-12T02:08:17Z</dcterms:modified>
</cp:coreProperties>
</file>