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16"/>
        </w:trPr>
        <w:tc>
          <w:tcPr>
            <w:tcW w:w="2980" w:type="dxa"/>
            <w:vAlign w:val="bottom"/>
          </w:tcPr>
          <w:p>
            <w:pPr>
              <w:spacing w:after="0"/>
              <w:rPr>
                <w:sz w:val="18"/>
                <w:szCs w:val="18"/>
                <w:color w:val="auto"/>
              </w:rPr>
            </w:pPr>
          </w:p>
        </w:tc>
        <w:tc>
          <w:tcPr>
            <w:tcW w:w="1620" w:type="dxa"/>
            <w:vAlign w:val="bottom"/>
          </w:tcPr>
          <w:p>
            <w:pPr>
              <w:spacing w:after="0"/>
              <w:rPr>
                <w:sz w:val="18"/>
                <w:szCs w:val="18"/>
                <w:color w:val="auto"/>
              </w:rPr>
            </w:pPr>
          </w:p>
        </w:tc>
        <w:tc>
          <w:tcPr>
            <w:tcW w:w="3040" w:type="dxa"/>
            <w:vAlign w:val="bottom"/>
          </w:tcPr>
          <w:p>
            <w:pPr>
              <w:jc w:val="center"/>
              <w:ind w:right="748"/>
              <w:spacing w:after="0"/>
              <w:rPr>
                <w:sz w:val="20"/>
                <w:szCs w:val="20"/>
                <w:color w:val="auto"/>
              </w:rPr>
            </w:pPr>
            <w:r>
              <w:rPr>
                <w:rFonts w:ascii="Arial" w:cs="Arial" w:eastAsia="Arial" w:hAnsi="Arial"/>
                <w:sz w:val="18"/>
                <w:szCs w:val="18"/>
                <w:b w:val="1"/>
                <w:bCs w:val="1"/>
                <w:color w:val="auto"/>
                <w:w w:val="97"/>
              </w:rPr>
              <w:t>UNITED STATES</w:t>
            </w:r>
          </w:p>
        </w:tc>
        <w:tc>
          <w:tcPr>
            <w:tcW w:w="940" w:type="dxa"/>
            <w:vAlign w:val="bottom"/>
            <w:tcBorders>
              <w:right w:val="single" w:sz="8" w:color="auto"/>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2460" w:type="dxa"/>
            <w:vAlign w:val="bottom"/>
            <w:tcBorders>
              <w:top w:val="single" w:sz="8" w:color="auto"/>
              <w:bottom w:val="single" w:sz="8" w:color="auto"/>
              <w:right w:val="single" w:sz="8" w:color="auto"/>
            </w:tcBorders>
          </w:tcPr>
          <w:p>
            <w:pPr>
              <w:jc w:val="center"/>
              <w:ind w:right="353"/>
              <w:spacing w:after="0"/>
              <w:rPr>
                <w:sz w:val="20"/>
                <w:szCs w:val="20"/>
                <w:color w:val="auto"/>
              </w:rPr>
            </w:pPr>
            <w:r>
              <w:rPr>
                <w:rFonts w:ascii="Arial" w:cs="Arial" w:eastAsia="Arial" w:hAnsi="Arial"/>
                <w:sz w:val="14"/>
                <w:szCs w:val="14"/>
                <w:color w:val="auto"/>
              </w:rPr>
              <w:t>OMB APPROVAL</w:t>
            </w:r>
          </w:p>
        </w:tc>
        <w:tc>
          <w:tcPr>
            <w:tcW w:w="0" w:type="dxa"/>
            <w:vAlign w:val="bottom"/>
          </w:tcPr>
          <w:p>
            <w:pPr>
              <w:spacing w:after="0"/>
              <w:rPr>
                <w:sz w:val="1"/>
                <w:szCs w:val="1"/>
                <w:color w:val="auto"/>
              </w:rPr>
            </w:pPr>
          </w:p>
        </w:tc>
      </w:tr>
      <w:tr>
        <w:trPr>
          <w:trHeight w:val="177"/>
        </w:trPr>
        <w:tc>
          <w:tcPr>
            <w:tcW w:w="2980" w:type="dxa"/>
            <w:vAlign w:val="bottom"/>
          </w:tcPr>
          <w:p>
            <w:pPr>
              <w:spacing w:after="0"/>
              <w:rPr>
                <w:sz w:val="15"/>
                <w:szCs w:val="15"/>
                <w:color w:val="auto"/>
              </w:rPr>
            </w:pPr>
          </w:p>
        </w:tc>
        <w:tc>
          <w:tcPr>
            <w:tcW w:w="4660" w:type="dxa"/>
            <w:vAlign w:val="bottom"/>
            <w:gridSpan w:val="2"/>
          </w:tcPr>
          <w:p>
            <w:pPr>
              <w:jc w:val="center"/>
              <w:ind w:left="690"/>
              <w:spacing w:after="0" w:line="177" w:lineRule="exact"/>
              <w:rPr>
                <w:sz w:val="20"/>
                <w:szCs w:val="20"/>
                <w:color w:val="auto"/>
              </w:rPr>
            </w:pPr>
            <w:r>
              <w:rPr>
                <w:rFonts w:ascii="Arial" w:cs="Arial" w:eastAsia="Arial" w:hAnsi="Arial"/>
                <w:sz w:val="18"/>
                <w:szCs w:val="18"/>
                <w:b w:val="1"/>
                <w:bCs w:val="1"/>
                <w:color w:val="auto"/>
              </w:rPr>
              <w:t>SECURITIES AND EXCHANGE COMMISSION</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OMB Number: 3235-0058</w:t>
            </w:r>
          </w:p>
        </w:tc>
        <w:tc>
          <w:tcPr>
            <w:tcW w:w="0" w:type="dxa"/>
            <w:vAlign w:val="bottom"/>
          </w:tcPr>
          <w:p>
            <w:pPr>
              <w:spacing w:after="0"/>
              <w:rPr>
                <w:sz w:val="1"/>
                <w:szCs w:val="1"/>
                <w:color w:val="auto"/>
              </w:rPr>
            </w:pPr>
          </w:p>
        </w:tc>
      </w:tr>
      <w:tr>
        <w:trPr>
          <w:trHeight w:val="182"/>
        </w:trPr>
        <w:tc>
          <w:tcPr>
            <w:tcW w:w="29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3040" w:type="dxa"/>
            <w:vAlign w:val="bottom"/>
            <w:vMerge w:val="restart"/>
          </w:tcPr>
          <w:p>
            <w:pPr>
              <w:jc w:val="center"/>
              <w:ind w:right="748"/>
              <w:spacing w:after="0"/>
              <w:rPr>
                <w:sz w:val="20"/>
                <w:szCs w:val="20"/>
                <w:color w:val="auto"/>
              </w:rPr>
            </w:pPr>
            <w:r>
              <w:rPr>
                <w:rFonts w:ascii="Arial" w:cs="Arial" w:eastAsia="Arial" w:hAnsi="Arial"/>
                <w:sz w:val="18"/>
                <w:szCs w:val="18"/>
                <w:b w:val="1"/>
                <w:bCs w:val="1"/>
                <w:color w:val="auto"/>
                <w:w w:val="90"/>
              </w:rPr>
              <w:t>Washington, D.C. 20549</w:t>
            </w: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Expires: April 30, 2009</w:t>
            </w:r>
          </w:p>
        </w:tc>
        <w:tc>
          <w:tcPr>
            <w:tcW w:w="0" w:type="dxa"/>
            <w:vAlign w:val="bottom"/>
          </w:tcPr>
          <w:p>
            <w:pPr>
              <w:spacing w:after="0"/>
              <w:rPr>
                <w:sz w:val="1"/>
                <w:szCs w:val="1"/>
                <w:color w:val="auto"/>
              </w:rPr>
            </w:pPr>
          </w:p>
        </w:tc>
      </w:tr>
      <w:tr>
        <w:trPr>
          <w:trHeight w:val="182"/>
        </w:trPr>
        <w:tc>
          <w:tcPr>
            <w:tcW w:w="29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3040" w:type="dxa"/>
            <w:vAlign w:val="bottom"/>
            <w:vMerge w:val="continue"/>
          </w:tcPr>
          <w:p>
            <w:pPr>
              <w:spacing w:after="0"/>
              <w:rPr>
                <w:sz w:val="15"/>
                <w:szCs w:val="15"/>
                <w:color w:val="auto"/>
              </w:rPr>
            </w:pPr>
          </w:p>
        </w:tc>
        <w:tc>
          <w:tcPr>
            <w:tcW w:w="940" w:type="dxa"/>
            <w:vAlign w:val="bottom"/>
            <w:tcBorders>
              <w:right w:val="single" w:sz="8" w:color="auto"/>
            </w:tcBorders>
          </w:tcPr>
          <w:p>
            <w:pPr>
              <w:spacing w:after="0"/>
              <w:rPr>
                <w:sz w:val="15"/>
                <w:szCs w:val="15"/>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167"/>
        </w:trPr>
        <w:tc>
          <w:tcPr>
            <w:tcW w:w="29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3040" w:type="dxa"/>
            <w:vAlign w:val="bottom"/>
            <w:vMerge w:val="restart"/>
          </w:tcPr>
          <w:p>
            <w:pPr>
              <w:jc w:val="center"/>
              <w:ind w:right="748"/>
              <w:spacing w:after="0" w:line="181" w:lineRule="exact"/>
              <w:rPr>
                <w:sz w:val="20"/>
                <w:szCs w:val="20"/>
                <w:color w:val="auto"/>
              </w:rPr>
            </w:pPr>
            <w:r>
              <w:rPr>
                <w:rFonts w:ascii="Arial" w:cs="Arial" w:eastAsia="Arial" w:hAnsi="Arial"/>
                <w:sz w:val="20"/>
                <w:szCs w:val="20"/>
                <w:b w:val="1"/>
                <w:bCs w:val="1"/>
                <w:color w:val="auto"/>
              </w:rPr>
              <w:t>FORM 12b-25</w:t>
            </w:r>
          </w:p>
        </w:tc>
        <w:tc>
          <w:tcPr>
            <w:tcW w:w="940" w:type="dxa"/>
            <w:vAlign w:val="bottom"/>
            <w:tcBorders>
              <w:right w:val="single" w:sz="8" w:color="auto"/>
            </w:tcBorders>
          </w:tcPr>
          <w:p>
            <w:pPr>
              <w:spacing w:after="0"/>
              <w:rPr>
                <w:sz w:val="14"/>
                <w:szCs w:val="14"/>
                <w:color w:val="auto"/>
              </w:rPr>
            </w:pPr>
          </w:p>
        </w:tc>
        <w:tc>
          <w:tcPr>
            <w:tcW w:w="2840" w:type="dxa"/>
            <w:vAlign w:val="bottom"/>
            <w:tcBorders>
              <w:right w:val="single" w:sz="8" w:color="auto"/>
            </w:tcBorders>
            <w:gridSpan w:val="2"/>
          </w:tcPr>
          <w:p>
            <w:pPr>
              <w:spacing w:after="0"/>
              <w:rPr>
                <w:sz w:val="20"/>
                <w:szCs w:val="20"/>
                <w:color w:val="auto"/>
              </w:rPr>
            </w:pPr>
            <w:r>
              <w:rPr>
                <w:rFonts w:ascii="Arial" w:cs="Arial" w:eastAsia="Arial" w:hAnsi="Arial"/>
                <w:sz w:val="14"/>
                <w:szCs w:val="14"/>
                <w:color w:val="auto"/>
              </w:rPr>
              <w:t>hours per response . . . 2.50</w:t>
            </w:r>
          </w:p>
        </w:tc>
        <w:tc>
          <w:tcPr>
            <w:tcW w:w="0" w:type="dxa"/>
            <w:vAlign w:val="bottom"/>
          </w:tcPr>
          <w:p>
            <w:pPr>
              <w:spacing w:after="0"/>
              <w:rPr>
                <w:sz w:val="1"/>
                <w:szCs w:val="1"/>
                <w:color w:val="auto"/>
              </w:rPr>
            </w:pPr>
          </w:p>
        </w:tc>
      </w:tr>
      <w:tr>
        <w:trPr>
          <w:trHeight w:val="14"/>
        </w:trPr>
        <w:tc>
          <w:tcPr>
            <w:tcW w:w="298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3040" w:type="dxa"/>
            <w:vAlign w:val="bottom"/>
            <w:vMerge w:val="continue"/>
          </w:tcPr>
          <w:p>
            <w:pPr>
              <w:spacing w:after="0" w:line="20" w:lineRule="exact"/>
              <w:rPr>
                <w:sz w:val="1"/>
                <w:szCs w:val="1"/>
                <w:color w:val="auto"/>
              </w:rPr>
            </w:pPr>
          </w:p>
        </w:tc>
        <w:tc>
          <w:tcPr>
            <w:tcW w:w="940" w:type="dxa"/>
            <w:vAlign w:val="bottom"/>
            <w:tcBorders>
              <w:right w:val="single" w:sz="8" w:color="auto"/>
            </w:tcBorders>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460" w:type="dxa"/>
            <w:vAlign w:val="bottom"/>
            <w:tcBorders>
              <w:right w:val="single" w:sz="8" w:color="auto"/>
            </w:tcBorders>
            <w:shd w:val="clear" w:color="auto" w:fill="000000"/>
          </w:tcPr>
          <w:p>
            <w:pPr>
              <w:jc w:val="right"/>
              <w:ind w:right="1053"/>
              <w:spacing w:after="0"/>
              <w:rPr>
                <w:sz w:val="20"/>
                <w:szCs w:val="20"/>
                <w:color w:val="auto"/>
              </w:rPr>
            </w:pPr>
            <w:r>
              <w:rPr>
                <w:rFonts w:ascii="Arial" w:cs="Arial" w:eastAsia="Arial" w:hAnsi="Arial"/>
                <w:sz w:val="1"/>
                <w:szCs w:val="1"/>
                <w:color w:val="auto"/>
              </w:rPr>
              <w:t>000-30877</w:t>
            </w:r>
          </w:p>
        </w:tc>
        <w:tc>
          <w:tcPr>
            <w:tcW w:w="0" w:type="dxa"/>
            <w:vAlign w:val="bottom"/>
          </w:tcPr>
          <w:p>
            <w:pPr>
              <w:spacing w:after="0" w:line="20" w:lineRule="exact"/>
              <w:rPr>
                <w:sz w:val="1"/>
                <w:szCs w:val="1"/>
                <w:color w:val="auto"/>
              </w:rPr>
            </w:pPr>
          </w:p>
        </w:tc>
      </w:tr>
      <w:tr>
        <w:trPr>
          <w:trHeight w:val="182"/>
        </w:trPr>
        <w:tc>
          <w:tcPr>
            <w:tcW w:w="29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3040" w:type="dxa"/>
            <w:vAlign w:val="bottom"/>
          </w:tcPr>
          <w:p>
            <w:pPr>
              <w:spacing w:after="0"/>
              <w:rPr>
                <w:sz w:val="15"/>
                <w:szCs w:val="15"/>
                <w:color w:val="auto"/>
              </w:rPr>
            </w:pPr>
          </w:p>
        </w:tc>
        <w:tc>
          <w:tcPr>
            <w:tcW w:w="940" w:type="dxa"/>
            <w:vAlign w:val="bottom"/>
            <w:tcBorders>
              <w:right w:val="single" w:sz="8" w:color="auto"/>
            </w:tcBorders>
          </w:tcPr>
          <w:p>
            <w:pPr>
              <w:spacing w:after="0"/>
              <w:rPr>
                <w:sz w:val="15"/>
                <w:szCs w:val="15"/>
                <w:color w:val="auto"/>
              </w:rPr>
            </w:pPr>
          </w:p>
        </w:tc>
        <w:tc>
          <w:tcPr>
            <w:tcW w:w="380" w:type="dxa"/>
            <w:vAlign w:val="bottom"/>
          </w:tcPr>
          <w:p>
            <w:pPr>
              <w:spacing w:after="0"/>
              <w:rPr>
                <w:sz w:val="15"/>
                <w:szCs w:val="15"/>
                <w:color w:val="auto"/>
              </w:rPr>
            </w:pPr>
          </w:p>
        </w:tc>
        <w:tc>
          <w:tcPr>
            <w:tcW w:w="2460" w:type="dxa"/>
            <w:vAlign w:val="bottom"/>
            <w:tcBorders>
              <w:right w:val="single" w:sz="8" w:color="auto"/>
            </w:tcBorders>
          </w:tcPr>
          <w:p>
            <w:pPr>
              <w:jc w:val="center"/>
              <w:ind w:right="333"/>
              <w:spacing w:after="0"/>
              <w:rPr>
                <w:sz w:val="20"/>
                <w:szCs w:val="20"/>
                <w:color w:val="auto"/>
              </w:rPr>
            </w:pPr>
            <w:r>
              <w:rPr>
                <w:rFonts w:ascii="Arial" w:cs="Arial" w:eastAsia="Arial" w:hAnsi="Arial"/>
                <w:sz w:val="14"/>
                <w:szCs w:val="14"/>
                <w:color w:val="auto"/>
                <w:w w:val="99"/>
              </w:rPr>
              <w:t>SEC FILE NUMBER</w:t>
            </w:r>
          </w:p>
        </w:tc>
        <w:tc>
          <w:tcPr>
            <w:tcW w:w="0" w:type="dxa"/>
            <w:vAlign w:val="bottom"/>
          </w:tcPr>
          <w:p>
            <w:pPr>
              <w:spacing w:after="0"/>
              <w:rPr>
                <w:sz w:val="1"/>
                <w:szCs w:val="1"/>
                <w:color w:val="auto"/>
              </w:rPr>
            </w:pPr>
          </w:p>
        </w:tc>
      </w:tr>
      <w:tr>
        <w:trPr>
          <w:trHeight w:val="142"/>
        </w:trPr>
        <w:tc>
          <w:tcPr>
            <w:tcW w:w="29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3040" w:type="dxa"/>
            <w:vAlign w:val="bottom"/>
          </w:tcPr>
          <w:p>
            <w:pPr>
              <w:spacing w:after="0"/>
              <w:rPr>
                <w:sz w:val="12"/>
                <w:szCs w:val="12"/>
                <w:color w:val="auto"/>
              </w:rPr>
            </w:pPr>
          </w:p>
        </w:tc>
        <w:tc>
          <w:tcPr>
            <w:tcW w:w="940" w:type="dxa"/>
            <w:vAlign w:val="bottom"/>
            <w:tcBorders>
              <w:right w:val="single" w:sz="8" w:color="auto"/>
            </w:tcBorders>
          </w:tcPr>
          <w:p>
            <w:pPr>
              <w:spacing w:after="0"/>
              <w:rPr>
                <w:sz w:val="12"/>
                <w:szCs w:val="12"/>
                <w:color w:val="auto"/>
              </w:rPr>
            </w:pPr>
          </w:p>
        </w:tc>
        <w:tc>
          <w:tcPr>
            <w:tcW w:w="380" w:type="dxa"/>
            <w:vAlign w:val="bottom"/>
            <w:tcBorders>
              <w:bottom w:val="single" w:sz="8" w:color="auto"/>
            </w:tcBorders>
          </w:tcPr>
          <w:p>
            <w:pPr>
              <w:spacing w:after="0"/>
              <w:rPr>
                <w:sz w:val="12"/>
                <w:szCs w:val="12"/>
                <w:color w:val="auto"/>
              </w:rPr>
            </w:pPr>
          </w:p>
        </w:tc>
        <w:tc>
          <w:tcPr>
            <w:tcW w:w="2460" w:type="dxa"/>
            <w:vAlign w:val="bottom"/>
            <w:tcBorders>
              <w:bottom w:val="single" w:sz="8" w:color="auto"/>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980" w:type="dxa"/>
            <w:vAlign w:val="bottom"/>
          </w:tcPr>
          <w:p>
            <w:pPr>
              <w:spacing w:after="0"/>
              <w:rPr>
                <w:sz w:val="11"/>
                <w:szCs w:val="11"/>
                <w:color w:val="auto"/>
              </w:rPr>
            </w:pPr>
          </w:p>
        </w:tc>
        <w:tc>
          <w:tcPr>
            <w:tcW w:w="4660" w:type="dxa"/>
            <w:vAlign w:val="bottom"/>
            <w:gridSpan w:val="2"/>
            <w:vMerge w:val="restart"/>
          </w:tcPr>
          <w:p>
            <w:pPr>
              <w:jc w:val="center"/>
              <w:ind w:left="690"/>
              <w:spacing w:after="0"/>
              <w:rPr>
                <w:sz w:val="20"/>
                <w:szCs w:val="20"/>
                <w:color w:val="auto"/>
              </w:rPr>
            </w:pPr>
            <w:r>
              <w:rPr>
                <w:rFonts w:ascii="Arial" w:cs="Arial" w:eastAsia="Arial" w:hAnsi="Arial"/>
                <w:sz w:val="18"/>
                <w:szCs w:val="18"/>
                <w:b w:val="1"/>
                <w:bCs w:val="1"/>
                <w:color w:val="auto"/>
              </w:rPr>
              <w:t>NOTIFICATION OF LATE FILING</w:t>
            </w:r>
          </w:p>
        </w:tc>
        <w:tc>
          <w:tcPr>
            <w:tcW w:w="940" w:type="dxa"/>
            <w:vAlign w:val="bottom"/>
            <w:tcBorders>
              <w:right w:val="single" w:sz="8" w:color="auto"/>
            </w:tcBorders>
          </w:tcPr>
          <w:p>
            <w:pPr>
              <w:spacing w:after="0"/>
              <w:rPr>
                <w:sz w:val="11"/>
                <w:szCs w:val="11"/>
                <w:color w:val="auto"/>
              </w:rPr>
            </w:pPr>
          </w:p>
        </w:tc>
        <w:tc>
          <w:tcPr>
            <w:tcW w:w="380" w:type="dxa"/>
            <w:vAlign w:val="bottom"/>
          </w:tcPr>
          <w:p>
            <w:pPr>
              <w:spacing w:after="0"/>
              <w:rPr>
                <w:sz w:val="11"/>
                <w:szCs w:val="11"/>
                <w:color w:val="auto"/>
              </w:rPr>
            </w:pPr>
          </w:p>
        </w:tc>
        <w:tc>
          <w:tcPr>
            <w:tcW w:w="2460" w:type="dxa"/>
            <w:vAlign w:val="bottom"/>
            <w:tcBorders>
              <w:right w:val="single" w:sz="8" w:color="auto"/>
            </w:tcBorders>
          </w:tcPr>
          <w:p>
            <w:pPr>
              <w:jc w:val="center"/>
              <w:ind w:right="333"/>
              <w:spacing w:after="0" w:line="128" w:lineRule="exact"/>
              <w:rPr>
                <w:sz w:val="20"/>
                <w:szCs w:val="20"/>
                <w:color w:val="auto"/>
              </w:rPr>
            </w:pPr>
            <w:r>
              <w:rPr>
                <w:rFonts w:ascii="Arial" w:cs="Arial" w:eastAsia="Arial" w:hAnsi="Arial"/>
                <w:sz w:val="14"/>
                <w:szCs w:val="14"/>
                <w:color w:val="auto"/>
                <w:w w:val="98"/>
              </w:rPr>
              <w:t>CUSIP NUMBER</w:t>
            </w:r>
          </w:p>
        </w:tc>
        <w:tc>
          <w:tcPr>
            <w:tcW w:w="0" w:type="dxa"/>
            <w:vAlign w:val="bottom"/>
          </w:tcPr>
          <w:p>
            <w:pPr>
              <w:spacing w:after="0"/>
              <w:rPr>
                <w:sz w:val="1"/>
                <w:szCs w:val="1"/>
                <w:color w:val="auto"/>
              </w:rPr>
            </w:pPr>
          </w:p>
        </w:tc>
      </w:tr>
      <w:tr>
        <w:trPr>
          <w:trHeight w:val="230"/>
        </w:trPr>
        <w:tc>
          <w:tcPr>
            <w:tcW w:w="2980" w:type="dxa"/>
            <w:vAlign w:val="bottom"/>
          </w:tcPr>
          <w:p>
            <w:pPr>
              <w:spacing w:after="0"/>
              <w:rPr>
                <w:sz w:val="20"/>
                <w:szCs w:val="20"/>
                <w:color w:val="auto"/>
              </w:rPr>
            </w:pPr>
          </w:p>
        </w:tc>
        <w:tc>
          <w:tcPr>
            <w:tcW w:w="4660" w:type="dxa"/>
            <w:vAlign w:val="bottom"/>
            <w:gridSpan w:val="2"/>
            <w:vMerge w:val="continue"/>
          </w:tcPr>
          <w:p>
            <w:pPr>
              <w:spacing w:after="0"/>
              <w:rPr>
                <w:sz w:val="20"/>
                <w:szCs w:val="20"/>
                <w:color w:val="auto"/>
              </w:rPr>
            </w:pPr>
          </w:p>
        </w:tc>
        <w:tc>
          <w:tcPr>
            <w:tcW w:w="940" w:type="dxa"/>
            <w:vAlign w:val="bottom"/>
            <w:tcBorders>
              <w:right w:val="single" w:sz="8" w:color="auto"/>
            </w:tcBorders>
          </w:tcPr>
          <w:p>
            <w:pPr>
              <w:spacing w:after="0"/>
              <w:rPr>
                <w:sz w:val="20"/>
                <w:szCs w:val="20"/>
                <w:color w:val="auto"/>
              </w:rPr>
            </w:pPr>
          </w:p>
        </w:tc>
        <w:tc>
          <w:tcPr>
            <w:tcW w:w="380" w:type="dxa"/>
            <w:vAlign w:val="bottom"/>
            <w:tcBorders>
              <w:bottom w:val="single" w:sz="8" w:color="auto"/>
            </w:tcBorders>
          </w:tcPr>
          <w:p>
            <w:pPr>
              <w:spacing w:after="0"/>
              <w:rPr>
                <w:sz w:val="20"/>
                <w:szCs w:val="20"/>
                <w:color w:val="auto"/>
              </w:rPr>
            </w:pPr>
          </w:p>
        </w:tc>
        <w:tc>
          <w:tcPr>
            <w:tcW w:w="2460" w:type="dxa"/>
            <w:vAlign w:val="bottom"/>
            <w:tcBorders>
              <w:bottom w:val="single" w:sz="8" w:color="auto"/>
              <w:right w:val="single" w:sz="8" w:color="auto"/>
            </w:tcBorders>
          </w:tcPr>
          <w:p>
            <w:pPr>
              <w:jc w:val="center"/>
              <w:ind w:right="353"/>
              <w:spacing w:after="0"/>
              <w:rPr>
                <w:sz w:val="20"/>
                <w:szCs w:val="20"/>
                <w:color w:val="auto"/>
              </w:rPr>
            </w:pPr>
            <w:r>
              <w:rPr>
                <w:rFonts w:ascii="Arial" w:cs="Arial" w:eastAsia="Arial" w:hAnsi="Arial"/>
                <w:sz w:val="18"/>
                <w:szCs w:val="18"/>
                <w:color w:val="auto"/>
                <w:w w:val="90"/>
              </w:rPr>
              <w:t>G5876H105</w:t>
            </w:r>
          </w:p>
        </w:tc>
        <w:tc>
          <w:tcPr>
            <w:tcW w:w="0" w:type="dxa"/>
            <w:vAlign w:val="bottom"/>
          </w:tcPr>
          <w:p>
            <w:pPr>
              <w:spacing w:after="0"/>
              <w:rPr>
                <w:sz w:val="1"/>
                <w:szCs w:val="1"/>
                <w:color w:val="auto"/>
              </w:rPr>
            </w:pPr>
          </w:p>
        </w:tc>
      </w:tr>
      <w:tr>
        <w:trPr>
          <w:trHeight w:val="465"/>
        </w:trPr>
        <w:tc>
          <w:tcPr>
            <w:tcW w:w="2980" w:type="dxa"/>
            <w:vAlign w:val="bottom"/>
          </w:tcPr>
          <w:p>
            <w:pPr>
              <w:spacing w:after="0"/>
              <w:rPr>
                <w:sz w:val="20"/>
                <w:szCs w:val="20"/>
                <w:color w:val="auto"/>
              </w:rPr>
            </w:pPr>
            <w:r>
              <w:rPr>
                <w:rFonts w:ascii="Arial" w:cs="Arial" w:eastAsia="Arial" w:hAnsi="Arial"/>
                <w:sz w:val="18"/>
                <w:szCs w:val="18"/>
                <w:i w:val="1"/>
                <w:iCs w:val="1"/>
                <w:color w:val="auto"/>
                <w:w w:val="93"/>
              </w:rPr>
              <w:t>(Check one):</w:t>
            </w:r>
            <w:r>
              <w:rPr>
                <w:rFonts w:ascii="Arial" w:cs="Arial" w:eastAsia="Arial" w:hAnsi="Arial"/>
                <w:sz w:val="18"/>
                <w:szCs w:val="18"/>
                <w:color w:val="auto"/>
                <w:w w:val="93"/>
              </w:rPr>
              <w:t>o Form 10-K</w:t>
            </w:r>
          </w:p>
        </w:tc>
        <w:tc>
          <w:tcPr>
            <w:tcW w:w="1620" w:type="dxa"/>
            <w:vAlign w:val="bottom"/>
          </w:tcPr>
          <w:p>
            <w:pPr>
              <w:ind w:left="360"/>
              <w:spacing w:after="0"/>
              <w:rPr>
                <w:sz w:val="20"/>
                <w:szCs w:val="20"/>
                <w:color w:val="auto"/>
              </w:rPr>
            </w:pPr>
            <w:r>
              <w:rPr>
                <w:rFonts w:ascii="Arial" w:cs="Arial" w:eastAsia="Arial" w:hAnsi="Arial"/>
                <w:sz w:val="18"/>
                <w:szCs w:val="18"/>
                <w:color w:val="auto"/>
              </w:rPr>
              <w:t>o Form 20-F</w:t>
            </w:r>
          </w:p>
        </w:tc>
        <w:tc>
          <w:tcPr>
            <w:tcW w:w="3040" w:type="dxa"/>
            <w:vAlign w:val="bottom"/>
          </w:tcPr>
          <w:p>
            <w:pPr>
              <w:ind w:left="1020"/>
              <w:spacing w:after="0"/>
              <w:rPr>
                <w:sz w:val="20"/>
                <w:szCs w:val="20"/>
                <w:color w:val="auto"/>
              </w:rPr>
            </w:pPr>
            <w:r>
              <w:rPr>
                <w:rFonts w:ascii="Arial" w:cs="Arial" w:eastAsia="Arial" w:hAnsi="Arial"/>
                <w:sz w:val="18"/>
                <w:szCs w:val="18"/>
                <w:color w:val="auto"/>
              </w:rPr>
              <w:t>o Form 11-K</w:t>
            </w:r>
          </w:p>
        </w:tc>
        <w:tc>
          <w:tcPr>
            <w:tcW w:w="1320" w:type="dxa"/>
            <w:vAlign w:val="bottom"/>
            <w:gridSpan w:val="2"/>
          </w:tcPr>
          <w:p>
            <w:pPr>
              <w:spacing w:after="0"/>
              <w:rPr>
                <w:sz w:val="20"/>
                <w:szCs w:val="20"/>
                <w:color w:val="auto"/>
              </w:rPr>
            </w:pPr>
            <w:r>
              <w:rPr>
                <w:rFonts w:ascii="Arial" w:cs="Arial" w:eastAsia="Arial" w:hAnsi="Arial"/>
                <w:sz w:val="18"/>
                <w:szCs w:val="18"/>
                <w:color w:val="auto"/>
              </w:rPr>
              <w:t>x Form 10-Q</w:t>
            </w:r>
          </w:p>
        </w:tc>
        <w:tc>
          <w:tcPr>
            <w:tcW w:w="2460" w:type="dxa"/>
            <w:vAlign w:val="bottom"/>
          </w:tcPr>
          <w:p>
            <w:pPr>
              <w:ind w:left="700"/>
              <w:spacing w:after="0"/>
              <w:rPr>
                <w:sz w:val="20"/>
                <w:szCs w:val="20"/>
                <w:color w:val="auto"/>
              </w:rPr>
            </w:pPr>
            <w:r>
              <w:rPr>
                <w:rFonts w:ascii="Arial" w:cs="Arial" w:eastAsia="Arial" w:hAnsi="Arial"/>
                <w:sz w:val="18"/>
                <w:szCs w:val="18"/>
                <w:color w:val="auto"/>
              </w:rPr>
              <w:t>o Form 10-D</w:t>
            </w:r>
          </w:p>
        </w:tc>
        <w:tc>
          <w:tcPr>
            <w:tcW w:w="0" w:type="dxa"/>
            <w:vAlign w:val="bottom"/>
          </w:tcPr>
          <w:p>
            <w:pPr>
              <w:spacing w:after="0"/>
              <w:rPr>
                <w:sz w:val="1"/>
                <w:szCs w:val="1"/>
                <w:color w:val="auto"/>
              </w:rPr>
            </w:pPr>
          </w:p>
        </w:tc>
      </w:tr>
      <w:tr>
        <w:trPr>
          <w:trHeight w:val="230"/>
        </w:trPr>
        <w:tc>
          <w:tcPr>
            <w:tcW w:w="2980" w:type="dxa"/>
            <w:vAlign w:val="bottom"/>
          </w:tcPr>
          <w:p>
            <w:pPr>
              <w:ind w:left="1300"/>
              <w:spacing w:after="0"/>
              <w:rPr>
                <w:sz w:val="20"/>
                <w:szCs w:val="20"/>
                <w:color w:val="auto"/>
              </w:rPr>
            </w:pPr>
            <w:r>
              <w:rPr>
                <w:rFonts w:ascii="Arial" w:cs="Arial" w:eastAsia="Arial" w:hAnsi="Arial"/>
                <w:sz w:val="18"/>
                <w:szCs w:val="18"/>
                <w:color w:val="auto"/>
              </w:rPr>
              <w:t>o Form N-SAR</w:t>
            </w:r>
          </w:p>
        </w:tc>
        <w:tc>
          <w:tcPr>
            <w:tcW w:w="1620" w:type="dxa"/>
            <w:vAlign w:val="bottom"/>
          </w:tcPr>
          <w:p>
            <w:pPr>
              <w:ind w:left="360"/>
              <w:spacing w:after="0"/>
              <w:rPr>
                <w:sz w:val="20"/>
                <w:szCs w:val="20"/>
                <w:color w:val="auto"/>
              </w:rPr>
            </w:pPr>
            <w:r>
              <w:rPr>
                <w:rFonts w:ascii="Arial" w:cs="Arial" w:eastAsia="Arial" w:hAnsi="Arial"/>
                <w:sz w:val="18"/>
                <w:szCs w:val="18"/>
                <w:color w:val="auto"/>
              </w:rPr>
              <w:t>o Form N-CSR</w:t>
            </w:r>
          </w:p>
        </w:tc>
        <w:tc>
          <w:tcPr>
            <w:tcW w:w="304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980" w:type="dxa"/>
            <w:vAlign w:val="bottom"/>
          </w:tcPr>
          <w:p>
            <w:pPr>
              <w:ind w:left="1300"/>
              <w:spacing w:after="0"/>
              <w:rPr>
                <w:sz w:val="20"/>
                <w:szCs w:val="20"/>
                <w:color w:val="auto"/>
              </w:rPr>
            </w:pPr>
            <w:r>
              <w:rPr>
                <w:rFonts w:ascii="Arial" w:cs="Arial" w:eastAsia="Arial" w:hAnsi="Arial"/>
                <w:sz w:val="18"/>
                <w:szCs w:val="18"/>
                <w:color w:val="auto"/>
              </w:rPr>
              <w:t>For Period Ended:</w:t>
            </w:r>
          </w:p>
        </w:tc>
        <w:tc>
          <w:tcPr>
            <w:tcW w:w="1620" w:type="dxa"/>
            <w:vAlign w:val="bottom"/>
          </w:tcPr>
          <w:p>
            <w:pPr>
              <w:ind w:left="360"/>
              <w:spacing w:after="0"/>
              <w:rPr>
                <w:sz w:val="20"/>
                <w:szCs w:val="20"/>
                <w:color w:val="auto"/>
              </w:rPr>
            </w:pPr>
            <w:r>
              <w:rPr>
                <w:rFonts w:ascii="Arial" w:cs="Arial" w:eastAsia="Arial" w:hAnsi="Arial"/>
                <w:sz w:val="18"/>
                <w:szCs w:val="18"/>
                <w:color w:val="auto"/>
              </w:rPr>
              <w:t>July 29, 2006</w:t>
            </w:r>
          </w:p>
        </w:tc>
        <w:tc>
          <w:tcPr>
            <w:tcW w:w="30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4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ind w:left="1300"/>
        <w:spacing w:after="0"/>
        <w:rPr>
          <w:sz w:val="20"/>
          <w:szCs w:val="20"/>
          <w:color w:val="auto"/>
        </w:rPr>
      </w:pPr>
      <w:r>
        <w:rPr>
          <w:rFonts w:ascii="Arial" w:cs="Arial" w:eastAsia="Arial" w:hAnsi="Arial"/>
          <w:sz w:val="18"/>
          <w:szCs w:val="18"/>
          <w:color w:val="auto"/>
        </w:rPr>
        <w:t>o Transition Report on Form 10-K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2114550</wp:posOffset>
            </wp:positionH>
            <wp:positionV relativeFrom="paragraph">
              <wp:posOffset>-130810</wp:posOffset>
            </wp:positionV>
            <wp:extent cx="51371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137150" cy="8890"/>
                    </a:xfrm>
                    <a:prstGeom prst="rect">
                      <a:avLst/>
                    </a:prstGeom>
                    <a:noFill/>
                  </pic:spPr>
                </pic:pic>
              </a:graphicData>
            </a:graphic>
          </wp:anchor>
        </w:drawing>
      </w:r>
    </w:p>
    <w:p>
      <w:pPr>
        <w:ind w:left="1300"/>
        <w:spacing w:after="0"/>
        <w:rPr>
          <w:sz w:val="20"/>
          <w:szCs w:val="20"/>
          <w:color w:val="auto"/>
        </w:rPr>
      </w:pPr>
      <w:r>
        <w:rPr>
          <w:rFonts w:ascii="Arial" w:cs="Arial" w:eastAsia="Arial" w:hAnsi="Arial"/>
          <w:sz w:val="18"/>
          <w:szCs w:val="18"/>
          <w:color w:val="auto"/>
        </w:rPr>
        <w:t>o Transition Report on Form 20-F</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11-K</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10-Q</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o Transition Report on Form N-SAR</w:t>
      </w:r>
    </w:p>
    <w:p>
      <w:pPr>
        <w:spacing w:after="0" w:line="9" w:lineRule="exact"/>
        <w:rPr>
          <w:sz w:val="24"/>
          <w:szCs w:val="24"/>
          <w:color w:val="auto"/>
        </w:rPr>
      </w:pPr>
    </w:p>
    <w:p>
      <w:pPr>
        <w:ind w:left="1300"/>
        <w:spacing w:after="0"/>
        <w:rPr>
          <w:sz w:val="20"/>
          <w:szCs w:val="20"/>
          <w:color w:val="auto"/>
        </w:rPr>
      </w:pPr>
      <w:r>
        <w:rPr>
          <w:rFonts w:ascii="Arial" w:cs="Arial" w:eastAsia="Arial" w:hAnsi="Arial"/>
          <w:sz w:val="18"/>
          <w:szCs w:val="18"/>
          <w:color w:val="auto"/>
        </w:rPr>
        <w:t>For the Transition Period Ended: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2989580</wp:posOffset>
            </wp:positionH>
            <wp:positionV relativeFrom="paragraph">
              <wp:posOffset>5715</wp:posOffset>
            </wp:positionV>
            <wp:extent cx="42621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4262120" cy="8890"/>
                    </a:xfrm>
                    <a:prstGeom prst="rect">
                      <a:avLst/>
                    </a:prstGeom>
                    <a:noFill/>
                  </pic:spPr>
                </pic:pic>
              </a:graphicData>
            </a:graphic>
          </wp:anchor>
        </w:drawing>
      </w:r>
    </w:p>
    <w:p>
      <w:pPr>
        <w:spacing w:after="0" w:line="272"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Read Instructions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2914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Nothing in this form shall be construed to imply that the Commission has verified any information contained herein.</w:t>
      </w:r>
    </w:p>
    <w:p>
      <w:pPr>
        <w:spacing w:after="0" w:line="278" w:lineRule="exact"/>
        <w:rPr>
          <w:sz w:val="24"/>
          <w:szCs w:val="24"/>
          <w:color w:val="auto"/>
        </w:rPr>
      </w:pPr>
    </w:p>
    <w:p>
      <w:pPr>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 — REGISTRANT INFORMATION</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Full Name of Registrant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Former Name if Applicable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Canon’s Court 22 Victoria Street</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 xml:space="preserve">Address of Principal Executive Office </w:t>
      </w:r>
      <w:r>
        <w:rPr>
          <w:rFonts w:ascii="Arial" w:cs="Arial" w:eastAsia="Arial" w:hAnsi="Arial"/>
          <w:sz w:val="18"/>
          <w:szCs w:val="18"/>
          <w:i w:val="1"/>
          <w:iCs w:val="1"/>
          <w:color w:val="auto"/>
        </w:rPr>
        <w:t>(Street and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Hamilton HM 12 Bermuda</w:t>
      </w:r>
    </w:p>
    <w:p>
      <w:pPr>
        <w:spacing w:after="0" w:line="27" w:lineRule="exact"/>
        <w:rPr>
          <w:sz w:val="24"/>
          <w:szCs w:val="24"/>
          <w:color w:val="auto"/>
        </w:rPr>
      </w:pPr>
    </w:p>
    <w:p>
      <w:pPr>
        <w:spacing w:after="0"/>
        <w:rPr>
          <w:sz w:val="20"/>
          <w:szCs w:val="20"/>
          <w:color w:val="auto"/>
        </w:rPr>
      </w:pPr>
      <w:r>
        <w:rPr>
          <w:rFonts w:ascii="Arial" w:cs="Arial" w:eastAsia="Arial" w:hAnsi="Arial"/>
          <w:sz w:val="18"/>
          <w:szCs w:val="18"/>
          <w:color w:val="auto"/>
        </w:rPr>
        <w:t>City, State and Zip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5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 — RULES 12b-25(b) AND (c)</w:t>
      </w:r>
    </w:p>
    <w:p>
      <w:pPr>
        <w:spacing w:after="0" w:line="229" w:lineRule="exact"/>
        <w:rPr>
          <w:sz w:val="24"/>
          <w:szCs w:val="24"/>
          <w:color w:val="auto"/>
        </w:rPr>
      </w:pPr>
    </w:p>
    <w:p>
      <w:pPr>
        <w:ind w:right="100"/>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70" w:lineRule="exact"/>
        <w:rPr>
          <w:sz w:val="24"/>
          <w:szCs w:val="24"/>
          <w:color w:val="auto"/>
        </w:rPr>
      </w:pPr>
    </w:p>
    <w:p>
      <w:pPr>
        <w:ind w:left="820" w:hanging="348"/>
        <w:spacing w:after="0"/>
        <w:tabs>
          <w:tab w:leader="none" w:pos="82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reason described in reasonable detail in Part III of this form could not be eliminated without unreasonable effort or expense</w:t>
      </w:r>
    </w:p>
    <w:p>
      <w:pPr>
        <w:spacing w:after="0" w:line="23" w:lineRule="exact"/>
        <w:rPr>
          <w:rFonts w:ascii="Arial" w:cs="Arial" w:eastAsia="Arial" w:hAnsi="Arial"/>
          <w:sz w:val="18"/>
          <w:szCs w:val="18"/>
          <w:color w:val="auto"/>
        </w:rPr>
      </w:pPr>
    </w:p>
    <w:p>
      <w:pPr>
        <w:ind w:left="820" w:hanging="348"/>
        <w:spacing w:after="0"/>
        <w:tabs>
          <w:tab w:leader="none" w:pos="82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262255</wp:posOffset>
            </wp:positionH>
            <wp:positionV relativeFrom="paragraph">
              <wp:posOffset>-253365</wp:posOffset>
            </wp:positionV>
            <wp:extent cx="8890" cy="823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823595"/>
                    </a:xfrm>
                    <a:prstGeom prst="rect">
                      <a:avLst/>
                    </a:prstGeom>
                    <a:noFill/>
                  </pic:spPr>
                </pic:pic>
              </a:graphicData>
            </a:graphic>
          </wp:anchor>
        </w:drawing>
      </w:r>
    </w:p>
    <w:p>
      <w:pPr>
        <w:spacing w:after="0" w:line="12" w:lineRule="exact"/>
        <w:rPr>
          <w:sz w:val="24"/>
          <w:szCs w:val="24"/>
          <w:color w:val="auto"/>
        </w:rPr>
      </w:pPr>
    </w:p>
    <w:p>
      <w:pPr>
        <w:ind w:left="820" w:right="20" w:hanging="661"/>
        <w:spacing w:after="0" w:line="187" w:lineRule="auto"/>
        <w:tabs>
          <w:tab w:leader="none" w:pos="820" w:val="left"/>
        </w:tabs>
        <w:numPr>
          <w:ilvl w:val="0"/>
          <w:numId w:val="2"/>
        </w:numPr>
        <w:rPr>
          <w:rFonts w:ascii="Arial" w:cs="Arial" w:eastAsia="Arial" w:hAnsi="Arial"/>
          <w:sz w:val="36"/>
          <w:szCs w:val="36"/>
          <w:color w:val="auto"/>
          <w:vertAlign w:val="subscript"/>
        </w:rPr>
      </w:pPr>
      <w:r>
        <w:rPr>
          <w:rFonts w:ascii="Arial" w:cs="Arial" w:eastAsia="Arial" w:hAnsi="Arial"/>
          <w:sz w:val="18"/>
          <w:szCs w:val="18"/>
          <w:color w:val="auto"/>
        </w:rPr>
        <w:t>thereof, will be filed on or before the fifteenth calendar day following the prescribed due date; or the subject quarterly report or transition report on Form 10-Q or subject distribution report on Form 10-D, or portion thereof, will be filed on or before the fifth calendar day following the prescribed due date; and</w:t>
      </w:r>
    </w:p>
    <w:p>
      <w:pPr>
        <w:spacing w:after="0" w:line="3" w:lineRule="exact"/>
        <w:rPr>
          <w:rFonts w:ascii="Arial" w:cs="Arial" w:eastAsia="Arial" w:hAnsi="Arial"/>
          <w:sz w:val="36"/>
          <w:szCs w:val="36"/>
          <w:color w:val="auto"/>
          <w:vertAlign w:val="subscript"/>
        </w:rPr>
      </w:pPr>
    </w:p>
    <w:p>
      <w:pPr>
        <w:ind w:left="820" w:hanging="348"/>
        <w:spacing w:after="0"/>
        <w:tabs>
          <w:tab w:leader="none" w:pos="820" w:val="left"/>
        </w:tabs>
        <w:numPr>
          <w:ilvl w:val="1"/>
          <w:numId w:val="2"/>
        </w:numPr>
        <w:rPr>
          <w:rFonts w:ascii="Arial" w:cs="Arial" w:eastAsia="Arial" w:hAnsi="Arial"/>
          <w:sz w:val="18"/>
          <w:szCs w:val="18"/>
          <w:color w:val="auto"/>
        </w:rPr>
      </w:pPr>
      <w:r>
        <w:rPr>
          <w:rFonts w:ascii="Arial" w:cs="Arial" w:eastAsia="Arial" w:hAnsi="Arial"/>
          <w:sz w:val="18"/>
          <w:szCs w:val="18"/>
          <w:color w:val="auto"/>
        </w:rPr>
        <w:t>The accountant’s statement or other exhibit required by Rule 12b-25(c) has been attached if applicable.</w:t>
      </w:r>
    </w:p>
    <w:p>
      <w:pPr>
        <w:spacing w:after="0" w:line="26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III — NARRATIVE</w:t>
      </w:r>
    </w:p>
    <w:p>
      <w:pPr>
        <w:spacing w:after="0" w:line="229" w:lineRule="exact"/>
        <w:rPr>
          <w:sz w:val="24"/>
          <w:szCs w:val="24"/>
          <w:color w:val="auto"/>
        </w:rPr>
      </w:pPr>
    </w:p>
    <w:p>
      <w:pPr>
        <w:ind w:right="440"/>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66" w:lineRule="exact"/>
        <w:rPr>
          <w:sz w:val="24"/>
          <w:szCs w:val="24"/>
          <w:color w:val="auto"/>
        </w:rPr>
      </w:pPr>
    </w:p>
    <w:tbl>
      <w:tblPr>
        <w:tblLayout w:type="fixed"/>
        <w:tblInd w:w="0" w:type="dxa"/>
        <w:tblCellMar>
          <w:top w:w="0" w:type="dxa"/>
          <w:left w:w="0" w:type="dxa"/>
          <w:bottom w:w="0" w:type="dxa"/>
          <w:right w:w="0" w:type="dxa"/>
        </w:tblCellMar>
      </w:tblP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SEC 1344 (03-05)</w:t>
            </w:r>
          </w:p>
        </w:tc>
        <w:tc>
          <w:tcPr>
            <w:tcW w:w="9540" w:type="dxa"/>
            <w:vAlign w:val="bottom"/>
          </w:tcPr>
          <w:p>
            <w:pPr>
              <w:ind w:left="320"/>
              <w:spacing w:after="0"/>
              <w:rPr>
                <w:sz w:val="20"/>
                <w:szCs w:val="20"/>
                <w:color w:val="auto"/>
              </w:rPr>
            </w:pPr>
            <w:r>
              <w:rPr>
                <w:rFonts w:ascii="Arial" w:cs="Arial" w:eastAsia="Arial" w:hAnsi="Arial"/>
                <w:sz w:val="18"/>
                <w:szCs w:val="18"/>
                <w:b w:val="1"/>
                <w:bCs w:val="1"/>
                <w:color w:val="auto"/>
                <w:w w:val="88"/>
              </w:rPr>
              <w:t>Persons who are to respond to the collection of information contained in this form are not required to respond unless the</w:t>
            </w:r>
          </w:p>
        </w:tc>
      </w:tr>
      <w:tr>
        <w:trPr>
          <w:trHeight w:val="234"/>
        </w:trPr>
        <w:tc>
          <w:tcPr>
            <w:tcW w:w="1660" w:type="dxa"/>
            <w:vAlign w:val="bottom"/>
          </w:tcPr>
          <w:p>
            <w:pPr>
              <w:spacing w:after="0"/>
              <w:rPr>
                <w:sz w:val="20"/>
                <w:szCs w:val="20"/>
                <w:color w:val="auto"/>
              </w:rPr>
            </w:pPr>
          </w:p>
        </w:tc>
        <w:tc>
          <w:tcPr>
            <w:tcW w:w="9540" w:type="dxa"/>
            <w:vAlign w:val="bottom"/>
          </w:tcPr>
          <w:p>
            <w:pPr>
              <w:ind w:left="320"/>
              <w:spacing w:after="0"/>
              <w:rPr>
                <w:sz w:val="20"/>
                <w:szCs w:val="20"/>
                <w:color w:val="auto"/>
              </w:rPr>
            </w:pPr>
            <w:r>
              <w:rPr>
                <w:rFonts w:ascii="Arial" w:cs="Arial" w:eastAsia="Arial" w:hAnsi="Arial"/>
                <w:sz w:val="18"/>
                <w:szCs w:val="18"/>
                <w:b w:val="1"/>
                <w:bCs w:val="1"/>
                <w:color w:val="auto"/>
              </w:rPr>
              <w:t>form displays a currently valid OMB control number.</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5" w:lineRule="exact"/>
        <w:rPr>
          <w:sz w:val="24"/>
          <w:szCs w:val="24"/>
          <w:color w:val="auto"/>
        </w:rPr>
      </w:pPr>
    </w:p>
    <w:p>
      <w:pPr>
        <w:spacing w:after="0"/>
        <w:rPr>
          <w:sz w:val="20"/>
          <w:szCs w:val="20"/>
          <w:color w:val="auto"/>
        </w:rPr>
      </w:pPr>
      <w:r>
        <w:rPr>
          <w:rFonts w:ascii="Arial" w:cs="Arial" w:eastAsia="Arial" w:hAnsi="Arial"/>
          <w:sz w:val="18"/>
          <w:szCs w:val="18"/>
          <w:color w:val="auto"/>
        </w:rPr>
        <w:t>(Attach extra Sheets if Needed)</w:t>
      </w:r>
    </w:p>
    <w:p>
      <w:pPr>
        <w:spacing w:after="0" w:line="22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PART IV — OTHER INFORMATION</w:t>
      </w:r>
    </w:p>
    <w:p>
      <w:pPr>
        <w:spacing w:after="0" w:line="229" w:lineRule="exact"/>
        <w:rPr>
          <w:sz w:val="24"/>
          <w:szCs w:val="24"/>
          <w:color w:val="auto"/>
        </w:rPr>
      </w:pPr>
    </w:p>
    <w:p>
      <w:pPr>
        <w:ind w:left="420" w:hanging="412"/>
        <w:spacing w:after="0"/>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3" w:lineRule="exact"/>
        <w:rPr>
          <w:sz w:val="24"/>
          <w:szCs w:val="24"/>
          <w:color w:val="auto"/>
        </w:rPr>
      </w:pPr>
    </w:p>
    <w:tbl>
      <w:tblPr>
        <w:tblLayout w:type="fixed"/>
        <w:tblInd w:w="420" w:type="dxa"/>
        <w:tblCellMar>
          <w:top w:w="0" w:type="dxa"/>
          <w:left w:w="0" w:type="dxa"/>
          <w:bottom w:w="0" w:type="dxa"/>
          <w:right w:w="0" w:type="dxa"/>
        </w:tblCellMar>
      </w:tblPr>
      <w:tr>
        <w:trPr>
          <w:trHeight w:val="216"/>
        </w:trPr>
        <w:tc>
          <w:tcPr>
            <w:tcW w:w="7280" w:type="dxa"/>
            <w:vAlign w:val="bottom"/>
            <w:gridSpan w:val="2"/>
          </w:tcPr>
          <w:p>
            <w:pPr>
              <w:jc w:val="center"/>
              <w:ind w:right="440"/>
              <w:spacing w:after="0"/>
              <w:rPr>
                <w:sz w:val="20"/>
                <w:szCs w:val="20"/>
                <w:color w:val="auto"/>
              </w:rPr>
            </w:pPr>
            <w:r>
              <w:rPr>
                <w:rFonts w:ascii="Arial" w:cs="Arial" w:eastAsia="Arial" w:hAnsi="Arial"/>
                <w:sz w:val="18"/>
                <w:szCs w:val="18"/>
                <w:color w:val="auto"/>
                <w:w w:val="91"/>
              </w:rPr>
              <w:t>George A. Hervey</w:t>
            </w:r>
          </w:p>
        </w:tc>
        <w:tc>
          <w:tcPr>
            <w:tcW w:w="1240" w:type="dxa"/>
            <w:vAlign w:val="bottom"/>
          </w:tcPr>
          <w:p>
            <w:pPr>
              <w:jc w:val="right"/>
              <w:ind w:right="410"/>
              <w:spacing w:after="0"/>
              <w:rPr>
                <w:sz w:val="20"/>
                <w:szCs w:val="20"/>
                <w:color w:val="auto"/>
              </w:rPr>
            </w:pPr>
            <w:r>
              <w:rPr>
                <w:rFonts w:ascii="Arial" w:cs="Arial" w:eastAsia="Arial" w:hAnsi="Arial"/>
                <w:sz w:val="18"/>
                <w:szCs w:val="18"/>
                <w:color w:val="auto"/>
              </w:rPr>
              <w:t>408</w:t>
            </w:r>
          </w:p>
        </w:tc>
        <w:tc>
          <w:tcPr>
            <w:tcW w:w="420" w:type="dxa"/>
            <w:vAlign w:val="bottom"/>
          </w:tcPr>
          <w:p>
            <w:pPr>
              <w:spacing w:after="0"/>
              <w:rPr>
                <w:sz w:val="18"/>
                <w:szCs w:val="18"/>
                <w:color w:val="auto"/>
              </w:rPr>
            </w:pPr>
          </w:p>
        </w:tc>
        <w:tc>
          <w:tcPr>
            <w:tcW w:w="2060" w:type="dxa"/>
            <w:vAlign w:val="bottom"/>
          </w:tcPr>
          <w:p>
            <w:pPr>
              <w:jc w:val="right"/>
              <w:ind w:right="610"/>
              <w:spacing w:after="0"/>
              <w:rPr>
                <w:sz w:val="20"/>
                <w:szCs w:val="20"/>
                <w:color w:val="auto"/>
              </w:rPr>
            </w:pPr>
            <w:r>
              <w:rPr>
                <w:rFonts w:ascii="Arial" w:cs="Arial" w:eastAsia="Arial" w:hAnsi="Arial"/>
                <w:sz w:val="18"/>
                <w:szCs w:val="18"/>
                <w:color w:val="auto"/>
              </w:rPr>
              <w:t>222-2500</w:t>
            </w:r>
          </w:p>
        </w:tc>
      </w:tr>
      <w:tr>
        <w:trPr>
          <w:trHeight w:val="224"/>
        </w:trPr>
        <w:tc>
          <w:tcPr>
            <w:tcW w:w="68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3"/>
              </w:rPr>
              <w:t>(Name)</w:t>
            </w:r>
          </w:p>
        </w:tc>
        <w:tc>
          <w:tcPr>
            <w:tcW w:w="420" w:type="dxa"/>
            <w:vAlign w:val="bottom"/>
          </w:tcPr>
          <w:p>
            <w:pPr>
              <w:spacing w:after="0"/>
              <w:rPr>
                <w:sz w:val="19"/>
                <w:szCs w:val="19"/>
                <w:color w:val="auto"/>
              </w:rPr>
            </w:pPr>
          </w:p>
        </w:tc>
        <w:tc>
          <w:tcPr>
            <w:tcW w:w="12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(Area Code)</w:t>
            </w:r>
          </w:p>
        </w:tc>
        <w:tc>
          <w:tcPr>
            <w:tcW w:w="420" w:type="dxa"/>
            <w:vAlign w:val="bottom"/>
          </w:tcPr>
          <w:p>
            <w:pPr>
              <w:spacing w:after="0"/>
              <w:rPr>
                <w:sz w:val="19"/>
                <w:szCs w:val="19"/>
                <w:color w:val="auto"/>
              </w:rPr>
            </w:pPr>
          </w:p>
        </w:tc>
        <w:tc>
          <w:tcPr>
            <w:tcW w:w="20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(Telephone Number)</w:t>
            </w:r>
          </w:p>
        </w:tc>
      </w:tr>
    </w:tbl>
    <w:p>
      <w:pPr>
        <w:sectPr>
          <w:pgSz w:w="11900" w:h="16838" w:orient="portrait"/>
          <w:cols w:equalWidth="0" w:num="1">
            <w:col w:w="11420"/>
          </w:cols>
          <w:pgMar w:left="240" w:top="660" w:right="239" w:bottom="0" w:gutter="0" w:footer="0" w:header="0"/>
        </w:sectPr>
      </w:pPr>
    </w:p>
    <w:bookmarkStart w:id="1" w:name="page2"/>
    <w:bookmarkEnd w:id="1"/>
    <w:p>
      <w:pPr>
        <w:ind w:left="420" w:right="40" w:hanging="412"/>
        <w:spacing w:after="0" w:line="264"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 identify report(s).</w:t>
      </w:r>
    </w:p>
    <w:p>
      <w:pPr>
        <w:spacing w:after="0" w:line="181" w:lineRule="exact"/>
        <w:rPr>
          <w:rFonts w:ascii="Arial" w:cs="Arial" w:eastAsia="Arial" w:hAnsi="Arial"/>
          <w:sz w:val="18"/>
          <w:szCs w:val="18"/>
          <w:color w:val="auto"/>
        </w:rPr>
      </w:pPr>
    </w:p>
    <w:p>
      <w:pPr>
        <w:ind w:left="9360"/>
        <w:spacing w:after="0"/>
        <w:rPr>
          <w:rFonts w:ascii="Arial" w:cs="Arial" w:eastAsia="Arial" w:hAnsi="Arial"/>
          <w:sz w:val="18"/>
          <w:szCs w:val="18"/>
          <w:color w:val="auto"/>
        </w:rPr>
      </w:pPr>
      <w:r>
        <w:rPr>
          <w:rFonts w:ascii="Arial" w:cs="Arial" w:eastAsia="Arial" w:hAnsi="Arial"/>
          <w:sz w:val="18"/>
          <w:szCs w:val="18"/>
          <w:color w:val="auto"/>
        </w:rPr>
        <w:t>x Yes  o No</w:t>
      </w:r>
    </w:p>
    <w:p>
      <w:pPr>
        <w:spacing w:after="0" w:line="238" w:lineRule="exact"/>
        <w:rPr>
          <w:rFonts w:ascii="Arial" w:cs="Arial" w:eastAsia="Arial" w:hAnsi="Arial"/>
          <w:sz w:val="18"/>
          <w:szCs w:val="18"/>
          <w:color w:val="auto"/>
        </w:rPr>
      </w:pPr>
    </w:p>
    <w:p>
      <w:pPr>
        <w:ind w:left="420" w:right="20" w:hanging="412"/>
        <w:spacing w:after="0" w:line="277"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Is it anticipated that any significant change in results of operations from the corresponding period for the last fiscal year will be reflected by the earnings statements to be included in the subject report or portion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262255</wp:posOffset>
            </wp:positionH>
            <wp:positionV relativeFrom="paragraph">
              <wp:posOffset>-302260</wp:posOffset>
            </wp:positionV>
            <wp:extent cx="698944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89445" cy="8890"/>
                    </a:xfrm>
                    <a:prstGeom prst="rect">
                      <a:avLst/>
                    </a:prstGeom>
                    <a:noFill/>
                  </pic:spPr>
                </pic:pic>
              </a:graphicData>
            </a:graphic>
          </wp:anchor>
        </w:drawing>
      </w:r>
    </w:p>
    <w:p>
      <w:pPr>
        <w:spacing w:after="0" w:line="150" w:lineRule="exact"/>
        <w:rPr>
          <w:sz w:val="20"/>
          <w:szCs w:val="20"/>
          <w:color w:val="auto"/>
        </w:rPr>
      </w:pPr>
    </w:p>
    <w:p>
      <w:pPr>
        <w:ind w:left="9360"/>
        <w:spacing w:after="0"/>
        <w:tabs>
          <w:tab w:leader="none" w:pos="9900" w:val="left"/>
        </w:tabs>
        <w:rPr>
          <w:sz w:val="20"/>
          <w:szCs w:val="20"/>
          <w:color w:val="auto"/>
        </w:rPr>
      </w:pPr>
      <w:r>
        <w:rPr>
          <w:rFonts w:ascii="Arial" w:cs="Arial" w:eastAsia="Arial" w:hAnsi="Arial"/>
          <w:sz w:val="18"/>
          <w:szCs w:val="18"/>
          <w:color w:val="auto"/>
        </w:rPr>
        <w:t>x Yes</w:t>
      </w:r>
      <w:r>
        <w:rPr>
          <w:sz w:val="20"/>
          <w:szCs w:val="20"/>
          <w:color w:val="auto"/>
        </w:rPr>
        <w:tab/>
      </w:r>
      <w:r>
        <w:rPr>
          <w:rFonts w:ascii="Arial" w:cs="Arial" w:eastAsia="Arial" w:hAnsi="Arial"/>
          <w:sz w:val="17"/>
          <w:szCs w:val="17"/>
          <w:color w:val="auto"/>
        </w:rPr>
        <w:t>o No</w:t>
      </w:r>
    </w:p>
    <w:p>
      <w:pPr>
        <w:spacing w:after="0" w:line="225" w:lineRule="exact"/>
        <w:rPr>
          <w:sz w:val="20"/>
          <w:szCs w:val="20"/>
          <w:color w:val="auto"/>
        </w:rPr>
      </w:pPr>
    </w:p>
    <w:p>
      <w:pPr>
        <w:ind w:left="420" w:right="2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742315</wp:posOffset>
            </wp:positionH>
            <wp:positionV relativeFrom="paragraph">
              <wp:posOffset>151765</wp:posOffset>
            </wp:positionV>
            <wp:extent cx="578040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780405" cy="8890"/>
                    </a:xfrm>
                    <a:prstGeom prst="rect">
                      <a:avLst/>
                    </a:prstGeom>
                    <a:noFill/>
                  </pic:spPr>
                </pic:pic>
              </a:graphicData>
            </a:graphic>
          </wp:anchor>
        </w:drawing>
      </w:r>
    </w:p>
    <w:p>
      <w:pPr>
        <w:spacing w:after="0" w:line="200" w:lineRule="exact"/>
        <w:rPr>
          <w:sz w:val="20"/>
          <w:szCs w:val="20"/>
          <w:color w:val="auto"/>
        </w:rPr>
      </w:pPr>
    </w:p>
    <w:p>
      <w:pPr>
        <w:spacing w:after="0" w:line="396" w:lineRule="exact"/>
        <w:rPr>
          <w:sz w:val="20"/>
          <w:szCs w:val="20"/>
          <w:color w:val="auto"/>
        </w:rPr>
      </w:pPr>
    </w:p>
    <w:p>
      <w:pPr>
        <w:ind w:right="40"/>
        <w:spacing w:after="0" w:line="293" w:lineRule="auto"/>
        <w:rPr>
          <w:sz w:val="20"/>
          <w:szCs w:val="20"/>
          <w:color w:val="auto"/>
        </w:rPr>
      </w:pPr>
      <w:r>
        <w:rPr>
          <w:rFonts w:ascii="Arial" w:cs="Arial" w:eastAsia="Arial" w:hAnsi="Arial"/>
          <w:sz w:val="16"/>
          <w:szCs w:val="16"/>
          <w:color w:val="auto"/>
        </w:rPr>
        <w:t>On August 17, 2006, the Company announced preliminary, unaudited revenue for the fiscal quarter ended July 29, 2006. Net revenue for the fiscal quarter ended July 29, 2006 was $574.0 million, an increase of 47% over net revenue of $390.5 million for the fiscal quarter ended July 30, 2005. As described in Part III above, the special committee has not completed its internal review of the Company’s historical stock option practices and related accounting matters. Until the special committee’s review is completed or the special committee reaches any interim conclusion prior to the completion of its review, the Company cannot determine whether there will be any significant change in results of operations from the corresponding period for the last fiscal year that will be reflected in its Quarterly Report on Form 10-Q for the fiscal quarter ended July 29, 2006, when that report is filed, other than with respect to its net revenue.</w:t>
      </w:r>
    </w:p>
    <w:p>
      <w:pPr>
        <w:spacing w:after="0" w:line="16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Except for the historical information contained herein, the matters set forth in this Form 12b-25, including statements with respect to expectations regarding the timing of filing of the Company’s Quarterly Report on Form 10-Q for the fiscal quarter ended July 29, 2006, are forward-looking statements within the meaning of the “safe harbor” provisions of the Private Securities Litigation Reform Act of 1995. These forward-looking statements are subject to risks and uncertainties that may cause actual results to differ materially, including the timing and outcome of the special committee’s review and the conclusions of the special committee resulting from that review, actions that may be taken or required as a result of the special committee’s review, and actions by the Securities and Exchange Commission or other regulatory agencies as a result of their review of the Company’s stock option practices. In particular, the Company may be required to make adjustments to financial results previously reported for prior periods, as a result of the special committee’s review. Those adjustments could have a material adverse effect on the Company’s results of operations for those periods. When the review is complete and the Company files its Form 10-Q, the financial statements may differ from the results disclosed in this Form 12b-25, not only as a result of any required adjustments resulting from the special committee review, but also because judgments and estimates that management used in preparing the financial results reported in this Form 12b-25 may need to be updated to the date of the filing. For other factors that could cause the Company’s results to vary from expectations, please see the section titled “Risk Factors” in the Company’s Quarterly Report on Form 10-Q for the fiscal quarter ended April 29, 2006 and other factors detailed from time to time in the Company’s filings with the Securities and Exchange Commission. The Company undertakes no obligation to revise or update publicly any forward-looking statement in this Form 12b-25, except as otherwise required by law.</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(Name of Registrant as Specified in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1823085</wp:posOffset>
            </wp:positionH>
            <wp:positionV relativeFrom="paragraph">
              <wp:posOffset>-130810</wp:posOffset>
            </wp:positionV>
            <wp:extent cx="361886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has caused this notification to be signed on its behalf by the undersigned hereunto duly authorized.</w:t>
      </w:r>
    </w:p>
    <w:p>
      <w:pPr>
        <w:spacing w:after="0" w:line="225" w:lineRule="exact"/>
        <w:rPr>
          <w:sz w:val="20"/>
          <w:szCs w:val="20"/>
          <w:color w:val="auto"/>
        </w:rPr>
      </w:pPr>
    </w:p>
    <w:p>
      <w:pPr>
        <w:spacing w:after="0"/>
        <w:tabs>
          <w:tab w:leader="none" w:pos="960" w:val="left"/>
          <w:tab w:leader="none" w:pos="4080" w:val="left"/>
          <w:tab w:leader="none" w:pos="4720" w:val="left"/>
        </w:tabs>
        <w:rPr>
          <w:sz w:val="20"/>
          <w:szCs w:val="20"/>
          <w:color w:val="auto"/>
        </w:rPr>
      </w:pPr>
      <w:r>
        <w:rPr>
          <w:rFonts w:ascii="Arial" w:cs="Arial" w:eastAsia="Arial" w:hAnsi="Arial"/>
          <w:sz w:val="18"/>
          <w:szCs w:val="18"/>
          <w:color w:val="auto"/>
        </w:rPr>
        <w:t>Date</w:t>
      </w:r>
      <w:r>
        <w:rPr>
          <w:sz w:val="20"/>
          <w:szCs w:val="20"/>
          <w:color w:val="auto"/>
        </w:rPr>
        <w:tab/>
      </w:r>
      <w:r>
        <w:rPr>
          <w:rFonts w:ascii="Arial" w:cs="Arial" w:eastAsia="Arial" w:hAnsi="Arial"/>
          <w:sz w:val="18"/>
          <w:szCs w:val="18"/>
          <w:color w:val="auto"/>
        </w:rPr>
        <w:t>September 7, 2006</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A. Hervey</w:t>
      </w:r>
    </w:p>
    <w:p>
      <w:pPr>
        <w:spacing w:after="0" w:line="23" w:lineRule="exact"/>
        <w:rPr>
          <w:sz w:val="20"/>
          <w:szCs w:val="20"/>
          <w:color w:val="auto"/>
        </w:rPr>
      </w:pPr>
    </w:p>
    <w:p>
      <w:pPr>
        <w:jc w:val="center"/>
        <w:ind w:left="474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622300</wp:posOffset>
            </wp:positionH>
            <wp:positionV relativeFrom="paragraph">
              <wp:posOffset>-130810</wp:posOffset>
            </wp:positionV>
            <wp:extent cx="66294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29400" cy="8890"/>
                    </a:xfrm>
                    <a:prstGeom prst="rect">
                      <a:avLst/>
                    </a:prstGeom>
                    <a:noFill/>
                  </pic:spPr>
                </pic:pic>
              </a:graphicData>
            </a:graphic>
          </wp:anchor>
        </w:drawing>
      </w:r>
    </w:p>
    <w:p>
      <w:pPr>
        <w:spacing w:after="0" w:line="3" w:lineRule="exact"/>
        <w:rPr>
          <w:sz w:val="20"/>
          <w:szCs w:val="20"/>
          <w:color w:val="auto"/>
        </w:rPr>
      </w:pPr>
    </w:p>
    <w:p>
      <w:pPr>
        <w:jc w:val="center"/>
        <w:ind w:left="4740"/>
        <w:spacing w:after="0"/>
        <w:rPr>
          <w:sz w:val="20"/>
          <w:szCs w:val="20"/>
          <w:color w:val="auto"/>
        </w:rPr>
      </w:pPr>
      <w:r>
        <w:rPr>
          <w:rFonts w:ascii="Arial" w:cs="Arial" w:eastAsia="Arial" w:hAnsi="Arial"/>
          <w:sz w:val="18"/>
          <w:szCs w:val="18"/>
          <w:color w:val="auto"/>
        </w:rPr>
        <w:t>Vice President of Finance and</w:t>
      </w:r>
    </w:p>
    <w:p>
      <w:pPr>
        <w:spacing w:after="0" w:line="9" w:lineRule="exact"/>
        <w:rPr>
          <w:sz w:val="20"/>
          <w:szCs w:val="20"/>
          <w:color w:val="auto"/>
        </w:rPr>
      </w:pPr>
    </w:p>
    <w:p>
      <w:pPr>
        <w:jc w:val="center"/>
        <w:ind w:left="474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363855</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4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1"/>
    </w:lvl>
  </w:abstractNum>
  <w:abstractNum w:abstractNumId="1">
    <w:nsid w:val="19495CFF"/>
    <w:multiLevelType w:val="hybridMultilevel"/>
    <w:lvl w:ilvl="0">
      <w:lvlJc w:val="left"/>
      <w:lvlText w:val="o"/>
      <w:numFmt w:val="bullet"/>
      <w:start w:val="1"/>
    </w:lvl>
    <w:lvl w:ilvl="1">
      <w:lvlJc w:val="left"/>
      <w:lvlText w:val="(%2)"/>
      <w:numFmt w:val="lowerLetter"/>
      <w:start w:val="3"/>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1)"/>
      <w:numFmt w:val="decimal"/>
      <w:start w:val="2"/>
    </w:lvl>
    <w:lvl w:ilvl="1">
      <w:lvlJc w:val="left"/>
      <w:lvlText w:val="%2"/>
      <w:numFmt w:val="lowerRoman"/>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2019-12-14T20:29:00Z</dcterms:created>
  <dcterms:modified xsi:type="dcterms:W3CDTF">2019-12-14T20:29:00Z</dcterms:modified>
</cp:coreProperties>
</file>