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4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40"/>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40"/>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40"/>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4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40"/>
        <w:spacing w:after="0"/>
        <w:rPr>
          <w:sz w:val="20"/>
          <w:szCs w:val="20"/>
          <w:color w:val="auto"/>
        </w:rPr>
      </w:pPr>
      <w:r>
        <w:rPr>
          <w:rFonts w:ascii="Arial" w:cs="Arial" w:eastAsia="Arial" w:hAnsi="Arial"/>
          <w:sz w:val="22"/>
          <w:szCs w:val="22"/>
          <w:b w:val="1"/>
          <w:bCs w:val="1"/>
          <w:color w:val="auto"/>
        </w:rPr>
        <w:t>Pursuant to Section 13 or 15(d) of the</w:t>
      </w:r>
    </w:p>
    <w:p>
      <w:pPr>
        <w:jc w:val="center"/>
        <w:ind w:right="40"/>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40"/>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August 17, 2006</w:t>
      </w:r>
    </w:p>
    <w:p>
      <w:pPr>
        <w:spacing w:after="0" w:line="202" w:lineRule="exact"/>
        <w:rPr>
          <w:sz w:val="24"/>
          <w:szCs w:val="24"/>
          <w:color w:val="auto"/>
        </w:rPr>
      </w:pPr>
    </w:p>
    <w:p>
      <w:pPr>
        <w:jc w:val="center"/>
        <w:ind w:right="6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40"/>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60"/>
          </w:cols>
          <w:pgMar w:left="240" w:top="530" w:right="19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8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8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8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00" w:space="720"/>
            <w:col w:w="2520"/>
          </w:cols>
          <w:pgMar w:left="240" w:top="530" w:right="199" w:bottom="0" w:gutter="0" w:footer="0" w:header="0"/>
          <w:type w:val="continuous"/>
        </w:sectPr>
      </w:pPr>
    </w:p>
    <w:p>
      <w:pPr>
        <w:spacing w:after="0" w:line="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60"/>
          </w:cols>
          <w:pgMar w:left="240" w:top="530" w:right="199" w:bottom="0" w:gutter="0" w:footer="0" w:header="0"/>
          <w:type w:val="continuous"/>
        </w:sectPr>
      </w:pPr>
    </w:p>
    <w:p>
      <w:pPr>
        <w:spacing w:after="0" w:line="234" w:lineRule="exact"/>
        <w:rPr>
          <w:sz w:val="24"/>
          <w:szCs w:val="24"/>
          <w:color w:val="auto"/>
        </w:rPr>
      </w:pPr>
    </w:p>
    <w:p>
      <w:pPr>
        <w:ind w:right="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220" w:val="left"/>
        </w:tabs>
        <w:rPr>
          <w:sz w:val="20"/>
          <w:szCs w:val="20"/>
          <w:color w:val="auto"/>
        </w:rPr>
      </w:pPr>
      <w:r>
        <w:rPr>
          <w:rFonts w:ascii="Arial" w:cs="Arial" w:eastAsia="Arial" w:hAnsi="Arial"/>
          <w:sz w:val="18"/>
          <w:szCs w:val="18"/>
          <w:b w:val="1"/>
          <w:bCs w:val="1"/>
          <w:color w:val="auto"/>
        </w:rPr>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243" w:lineRule="exact"/>
        <w:rPr>
          <w:sz w:val="24"/>
          <w:szCs w:val="24"/>
          <w:color w:val="auto"/>
        </w:rPr>
      </w:pPr>
    </w:p>
    <w:p>
      <w:pPr>
        <w:ind w:right="140" w:firstLine="648"/>
        <w:spacing w:after="0" w:line="312" w:lineRule="auto"/>
        <w:rPr>
          <w:sz w:val="20"/>
          <w:szCs w:val="20"/>
          <w:color w:val="auto"/>
        </w:rPr>
      </w:pPr>
      <w:r>
        <w:rPr>
          <w:rFonts w:ascii="Arial" w:cs="Arial" w:eastAsia="Arial" w:hAnsi="Arial"/>
          <w:sz w:val="16"/>
          <w:szCs w:val="16"/>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47" w:lineRule="exact"/>
        <w:rPr>
          <w:sz w:val="24"/>
          <w:szCs w:val="24"/>
          <w:color w:val="auto"/>
        </w:rPr>
      </w:pPr>
    </w:p>
    <w:p>
      <w:pPr>
        <w:ind w:right="380" w:firstLine="648"/>
        <w:spacing w:after="0" w:line="277" w:lineRule="auto"/>
        <w:rPr>
          <w:sz w:val="20"/>
          <w:szCs w:val="20"/>
          <w:color w:val="auto"/>
        </w:rPr>
      </w:pPr>
      <w:r>
        <w:rPr>
          <w:rFonts w:ascii="Arial" w:cs="Arial" w:eastAsia="Arial" w:hAnsi="Arial"/>
          <w:sz w:val="18"/>
          <w:szCs w:val="18"/>
          <w:color w:val="auto"/>
        </w:rPr>
        <w:t>On August 17, 2006, Marvell Technology Group Ltd. (“Marvell”) issued a press release regarding its revenue results for its second fiscal quarter ended July 29, 2006. The full text of Marvell’s press release is furnished herewith as Exhibit 99.1.</w:t>
      </w:r>
    </w:p>
    <w:p>
      <w:pPr>
        <w:spacing w:after="0" w:line="166" w:lineRule="exact"/>
        <w:rPr>
          <w:sz w:val="24"/>
          <w:szCs w:val="24"/>
          <w:color w:val="auto"/>
        </w:rPr>
      </w:pPr>
    </w:p>
    <w:p>
      <w:pPr>
        <w:spacing w:after="0"/>
        <w:tabs>
          <w:tab w:leader="none" w:pos="12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39" w:lineRule="exact"/>
        <w:rPr>
          <w:sz w:val="24"/>
          <w:szCs w:val="24"/>
          <w:color w:val="auto"/>
        </w:rPr>
      </w:pPr>
    </w:p>
    <w:p>
      <w:pPr>
        <w:ind w:left="660"/>
        <w:spacing w:after="0"/>
        <w:rPr>
          <w:sz w:val="20"/>
          <w:szCs w:val="20"/>
          <w:color w:val="auto"/>
        </w:rPr>
      </w:pPr>
      <w:r>
        <w:rPr>
          <w:rFonts w:ascii="Arial" w:cs="Arial" w:eastAsia="Arial" w:hAnsi="Arial"/>
          <w:sz w:val="18"/>
          <w:szCs w:val="18"/>
          <w:b w:val="1"/>
          <w:bCs w:val="1"/>
          <w:color w:val="auto"/>
        </w:rPr>
        <w:t>(d) Exhibits</w:t>
      </w: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880" w:type="dxa"/>
            <w:vAlign w:val="bottom"/>
          </w:tcPr>
          <w:p>
            <w:pPr>
              <w:spacing w:after="0"/>
              <w:rPr>
                <w:sz w:val="14"/>
                <w:szCs w:val="14"/>
                <w:color w:val="auto"/>
              </w:rPr>
            </w:pPr>
          </w:p>
        </w:tc>
        <w:tc>
          <w:tcPr>
            <w:tcW w:w="1600" w:type="dxa"/>
            <w:vAlign w:val="bottom"/>
            <w:tcBorders>
              <w:bottom w:val="single" w:sz="8" w:color="auto"/>
            </w:tcBorders>
          </w:tcPr>
          <w:p>
            <w:pPr>
              <w:jc w:val="right"/>
              <w:ind w:right="828"/>
              <w:spacing w:after="0"/>
              <w:rPr>
                <w:sz w:val="20"/>
                <w:szCs w:val="20"/>
                <w:color w:val="auto"/>
              </w:rPr>
            </w:pPr>
            <w:r>
              <w:rPr>
                <w:rFonts w:ascii="Arial" w:cs="Arial" w:eastAsia="Arial" w:hAnsi="Arial"/>
                <w:sz w:val="14"/>
                <w:szCs w:val="14"/>
                <w:b w:val="1"/>
                <w:bCs w:val="1"/>
                <w:color w:val="auto"/>
                <w:w w:val="92"/>
              </w:rPr>
              <w:t>Exhibit No.</w:t>
            </w:r>
          </w:p>
        </w:tc>
        <w:tc>
          <w:tcPr>
            <w:tcW w:w="160" w:type="dxa"/>
            <w:vAlign w:val="bottom"/>
          </w:tcPr>
          <w:p>
            <w:pPr>
              <w:spacing w:after="0"/>
              <w:rPr>
                <w:sz w:val="14"/>
                <w:szCs w:val="14"/>
                <w:color w:val="auto"/>
              </w:rPr>
            </w:pPr>
          </w:p>
        </w:tc>
        <w:tc>
          <w:tcPr>
            <w:tcW w:w="8620" w:type="dxa"/>
            <w:vAlign w:val="bottom"/>
            <w:tcBorders>
              <w:bottom w:val="single" w:sz="8" w:color="auto"/>
            </w:tcBorders>
          </w:tcPr>
          <w:p>
            <w:pPr>
              <w:ind w:left="3940"/>
              <w:spacing w:after="0"/>
              <w:rPr>
                <w:sz w:val="20"/>
                <w:szCs w:val="20"/>
                <w:color w:val="auto"/>
              </w:rPr>
            </w:pPr>
            <w:r>
              <w:rPr>
                <w:rFonts w:ascii="Arial" w:cs="Arial" w:eastAsia="Arial" w:hAnsi="Arial"/>
                <w:sz w:val="14"/>
                <w:szCs w:val="14"/>
                <w:b w:val="1"/>
                <w:bCs w:val="1"/>
                <w:color w:val="auto"/>
              </w:rPr>
              <w:t>Description</w:t>
            </w:r>
          </w:p>
        </w:tc>
        <w:tc>
          <w:tcPr>
            <w:tcW w:w="200" w:type="dxa"/>
            <w:vAlign w:val="bottom"/>
          </w:tcPr>
          <w:p>
            <w:pPr>
              <w:spacing w:after="0"/>
              <w:rPr>
                <w:sz w:val="14"/>
                <w:szCs w:val="14"/>
                <w:color w:val="auto"/>
              </w:rPr>
            </w:pPr>
          </w:p>
        </w:tc>
      </w:tr>
      <w:tr>
        <w:trPr>
          <w:trHeight w:val="426"/>
        </w:trPr>
        <w:tc>
          <w:tcPr>
            <w:tcW w:w="2480" w:type="dxa"/>
            <w:vAlign w:val="bottom"/>
            <w:gridSpan w:val="2"/>
          </w:tcPr>
          <w:p>
            <w:pPr>
              <w:jc w:val="right"/>
              <w:ind w:right="848"/>
              <w:spacing w:after="0"/>
              <w:rPr>
                <w:sz w:val="20"/>
                <w:szCs w:val="20"/>
                <w:color w:val="auto"/>
              </w:rPr>
            </w:pPr>
            <w:r>
              <w:rPr>
                <w:rFonts w:ascii="Arial" w:cs="Arial" w:eastAsia="Arial" w:hAnsi="Arial"/>
                <w:sz w:val="18"/>
                <w:szCs w:val="18"/>
                <w:color w:val="auto"/>
              </w:rPr>
              <w:t>99.1</w:t>
            </w:r>
          </w:p>
        </w:tc>
        <w:tc>
          <w:tcPr>
            <w:tcW w:w="160" w:type="dxa"/>
            <w:vAlign w:val="bottom"/>
          </w:tcPr>
          <w:p>
            <w:pPr>
              <w:spacing w:after="0"/>
              <w:rPr>
                <w:sz w:val="24"/>
                <w:szCs w:val="24"/>
                <w:color w:val="auto"/>
              </w:rPr>
            </w:pPr>
          </w:p>
        </w:tc>
        <w:tc>
          <w:tcPr>
            <w:tcW w:w="8620" w:type="dxa"/>
            <w:vAlign w:val="bottom"/>
          </w:tcPr>
          <w:p>
            <w:pPr>
              <w:spacing w:after="0"/>
              <w:rPr>
                <w:sz w:val="20"/>
                <w:szCs w:val="20"/>
                <w:color w:val="auto"/>
              </w:rPr>
            </w:pPr>
            <w:r>
              <w:rPr>
                <w:rFonts w:ascii="Arial" w:cs="Arial" w:eastAsia="Arial" w:hAnsi="Arial"/>
                <w:sz w:val="18"/>
                <w:szCs w:val="18"/>
                <w:color w:val="auto"/>
              </w:rPr>
              <w:t>Press Release dated August 17, 2006.</w:t>
            </w:r>
          </w:p>
        </w:tc>
        <w:tc>
          <w:tcPr>
            <w:tcW w:w="200" w:type="dxa"/>
            <w:vAlign w:val="bottom"/>
          </w:tcPr>
          <w:p>
            <w:pPr>
              <w:spacing w:after="0"/>
              <w:rPr>
                <w:sz w:val="24"/>
                <w:szCs w:val="24"/>
                <w:color w:val="auto"/>
              </w:rPr>
            </w:pPr>
          </w:p>
        </w:tc>
      </w:tr>
      <w:tr>
        <w:trPr>
          <w:trHeight w:val="648"/>
        </w:trPr>
        <w:tc>
          <w:tcPr>
            <w:tcW w:w="88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620" w:type="dxa"/>
            <w:vAlign w:val="bottom"/>
          </w:tcPr>
          <w:p>
            <w:pPr>
              <w:jc w:val="right"/>
              <w:ind w:right="5414"/>
              <w:spacing w:after="0"/>
              <w:rPr>
                <w:sz w:val="20"/>
                <w:szCs w:val="20"/>
                <w:color w:val="auto"/>
              </w:rPr>
            </w:pPr>
            <w:r>
              <w:rPr>
                <w:rFonts w:ascii="Arial" w:cs="Arial" w:eastAsia="Arial" w:hAnsi="Arial"/>
                <w:sz w:val="18"/>
                <w:szCs w:val="18"/>
                <w:color w:val="auto"/>
              </w:rPr>
              <w:t>2</w:t>
            </w:r>
          </w:p>
        </w:tc>
        <w:tc>
          <w:tcPr>
            <w:tcW w:w="200" w:type="dxa"/>
            <w:vAlign w:val="bottom"/>
          </w:tcPr>
          <w:p>
            <w:pPr>
              <w:spacing w:after="0"/>
              <w:rPr>
                <w:sz w:val="24"/>
                <w:szCs w:val="24"/>
                <w:color w:val="auto"/>
              </w:rPr>
            </w:pPr>
          </w:p>
        </w:tc>
      </w:tr>
      <w:tr>
        <w:trPr>
          <w:trHeight w:val="375"/>
        </w:trPr>
        <w:tc>
          <w:tcPr>
            <w:tcW w:w="880" w:type="dxa"/>
            <w:vAlign w:val="bottom"/>
            <w:tcBorders>
              <w:bottom w:val="single" w:sz="8" w:color="010101"/>
            </w:tcBorders>
          </w:tcPr>
          <w:p>
            <w:pPr>
              <w:spacing w:after="0"/>
              <w:rPr>
                <w:sz w:val="24"/>
                <w:szCs w:val="24"/>
                <w:color w:val="auto"/>
              </w:rPr>
            </w:pPr>
          </w:p>
        </w:tc>
        <w:tc>
          <w:tcPr>
            <w:tcW w:w="1600" w:type="dxa"/>
            <w:vAlign w:val="bottom"/>
            <w:tcBorders>
              <w:bottom w:val="single" w:sz="8" w:color="010101"/>
            </w:tcBorders>
          </w:tcPr>
          <w:p>
            <w:pPr>
              <w:spacing w:after="0"/>
              <w:rPr>
                <w:sz w:val="24"/>
                <w:szCs w:val="24"/>
                <w:color w:val="auto"/>
              </w:rPr>
            </w:pPr>
          </w:p>
        </w:tc>
        <w:tc>
          <w:tcPr>
            <w:tcW w:w="160" w:type="dxa"/>
            <w:vAlign w:val="bottom"/>
            <w:tcBorders>
              <w:bottom w:val="single" w:sz="8" w:color="010101"/>
            </w:tcBorders>
          </w:tcPr>
          <w:p>
            <w:pPr>
              <w:spacing w:after="0"/>
              <w:rPr>
                <w:sz w:val="24"/>
                <w:szCs w:val="24"/>
                <w:color w:val="auto"/>
              </w:rPr>
            </w:pPr>
          </w:p>
        </w:tc>
        <w:tc>
          <w:tcPr>
            <w:tcW w:w="8620" w:type="dxa"/>
            <w:vAlign w:val="bottom"/>
            <w:tcBorders>
              <w:bottom w:val="single" w:sz="8" w:color="010101"/>
            </w:tcBorders>
          </w:tcPr>
          <w:p>
            <w:pPr>
              <w:spacing w:after="0"/>
              <w:rPr>
                <w:sz w:val="24"/>
                <w:szCs w:val="24"/>
                <w:color w:val="auto"/>
              </w:rPr>
            </w:pPr>
          </w:p>
        </w:tc>
        <w:tc>
          <w:tcPr>
            <w:tcW w:w="200" w:type="dxa"/>
            <w:vAlign w:val="bottom"/>
            <w:tcBorders>
              <w:bottom w:val="single" w:sz="8" w:color="010101"/>
            </w:tcBorders>
          </w:tcPr>
          <w:p>
            <w:pPr>
              <w:spacing w:after="0"/>
              <w:rPr>
                <w:sz w:val="24"/>
                <w:szCs w:val="24"/>
                <w:color w:val="auto"/>
              </w:rPr>
            </w:pPr>
          </w:p>
        </w:tc>
      </w:tr>
      <w:tr>
        <w:trPr>
          <w:trHeight w:val="564"/>
        </w:trPr>
        <w:tc>
          <w:tcPr>
            <w:tcW w:w="88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620" w:type="dxa"/>
            <w:vAlign w:val="bottom"/>
          </w:tcPr>
          <w:p>
            <w:pPr>
              <w:jc w:val="center"/>
              <w:ind w:right="2394"/>
              <w:spacing w:after="0"/>
              <w:rPr>
                <w:sz w:val="20"/>
                <w:szCs w:val="20"/>
                <w:color w:val="auto"/>
              </w:rPr>
            </w:pPr>
            <w:r>
              <w:rPr>
                <w:rFonts w:ascii="Arial" w:cs="Arial" w:eastAsia="Arial" w:hAnsi="Arial"/>
                <w:sz w:val="18"/>
                <w:szCs w:val="18"/>
                <w:b w:val="1"/>
                <w:bCs w:val="1"/>
                <w:color w:val="auto"/>
                <w:w w:val="99"/>
              </w:rPr>
              <w:t>SIGNATURE</w:t>
            </w:r>
          </w:p>
        </w:tc>
        <w:tc>
          <w:tcPr>
            <w:tcW w:w="200" w:type="dxa"/>
            <w:vAlign w:val="bottom"/>
          </w:tcPr>
          <w:p>
            <w:pPr>
              <w:spacing w:after="0"/>
              <w:rPr>
                <w:sz w:val="24"/>
                <w:szCs w:val="24"/>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7258050</wp:posOffset>
            </wp:positionH>
            <wp:positionV relativeFrom="paragraph">
              <wp:posOffset>-387350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-387350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530" w:right="199" w:bottom="0" w:gutter="0" w:footer="0" w:header="0"/>
          <w:type w:val="continuous"/>
        </w:sectPr>
      </w:pPr>
    </w:p>
    <w:bookmarkStart w:id="1" w:name="page2"/>
    <w:bookmarkEnd w:id="1"/>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17, 2006</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5720"/>
        <w:spacing w:after="0"/>
        <w:tabs>
          <w:tab w:leader="none" w:pos="61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ind w:left="746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3890010</wp:posOffset>
            </wp:positionH>
            <wp:positionV relativeFrom="paragraph">
              <wp:posOffset>-130810</wp:posOffset>
            </wp:positionV>
            <wp:extent cx="33616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361690" cy="8890"/>
                    </a:xfrm>
                    <a:prstGeom prst="rect">
                      <a:avLst/>
                    </a:prstGeom>
                    <a:noFill/>
                  </pic:spPr>
                </pic:pic>
              </a:graphicData>
            </a:graphic>
          </wp:anchor>
        </w:drawing>
      </w:r>
    </w:p>
    <w:p>
      <w:pPr>
        <w:ind w:left="70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2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9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700" w:type="dxa"/>
            <w:vAlign w:val="bottom"/>
          </w:tcPr>
          <w:p>
            <w:pPr>
              <w:jc w:val="center"/>
              <w:ind w:right="754"/>
              <w:spacing w:after="0"/>
              <w:rPr>
                <w:sz w:val="20"/>
                <w:szCs w:val="20"/>
                <w:color w:val="auto"/>
              </w:rPr>
            </w:pPr>
            <w:r>
              <w:rPr>
                <w:rFonts w:ascii="Arial" w:cs="Arial" w:eastAsia="Arial" w:hAnsi="Arial"/>
                <w:sz w:val="18"/>
                <w:szCs w:val="18"/>
                <w:b w:val="1"/>
                <w:bCs w:val="1"/>
                <w:color w:val="auto"/>
              </w:rPr>
              <w:t>EXHIBIT INDEX</w:t>
            </w:r>
          </w:p>
        </w:tc>
        <w:tc>
          <w:tcPr>
            <w:tcW w:w="480" w:type="dxa"/>
            <w:vAlign w:val="bottom"/>
          </w:tcPr>
          <w:p>
            <w:pPr>
              <w:spacing w:after="0"/>
              <w:rPr>
                <w:sz w:val="20"/>
                <w:szCs w:val="20"/>
                <w:color w:val="auto"/>
              </w:rPr>
            </w:pPr>
          </w:p>
        </w:tc>
      </w:tr>
      <w:tr>
        <w:trPr>
          <w:trHeight w:val="351"/>
        </w:trPr>
        <w:tc>
          <w:tcPr>
            <w:tcW w:w="128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98"/>
              </w:rPr>
              <w:t>Exhibit No.</w:t>
            </w:r>
          </w:p>
        </w:tc>
        <w:tc>
          <w:tcPr>
            <w:tcW w:w="9700" w:type="dxa"/>
            <w:vAlign w:val="bottom"/>
          </w:tcPr>
          <w:p>
            <w:pPr>
              <w:ind w:left="4480"/>
              <w:spacing w:after="0"/>
              <w:rPr>
                <w:sz w:val="20"/>
                <w:szCs w:val="20"/>
                <w:color w:val="auto"/>
              </w:rPr>
            </w:pPr>
            <w:r>
              <w:rPr>
                <w:rFonts w:ascii="Arial" w:cs="Arial" w:eastAsia="Arial" w:hAnsi="Arial"/>
                <w:sz w:val="14"/>
                <w:szCs w:val="14"/>
                <w:b w:val="1"/>
                <w:bCs w:val="1"/>
                <w:color w:val="auto"/>
              </w:rPr>
              <w:t>Description</w:t>
            </w:r>
          </w:p>
        </w:tc>
        <w:tc>
          <w:tcPr>
            <w:tcW w:w="480" w:type="dxa"/>
            <w:vAlign w:val="bottom"/>
          </w:tcPr>
          <w:p>
            <w:pPr>
              <w:spacing w:after="0"/>
              <w:rPr>
                <w:sz w:val="24"/>
                <w:szCs w:val="24"/>
                <w:color w:val="auto"/>
              </w:rPr>
            </w:pPr>
          </w:p>
        </w:tc>
      </w:tr>
      <w:tr>
        <w:trPr>
          <w:trHeight w:val="426"/>
        </w:trPr>
        <w:tc>
          <w:tcPr>
            <w:tcW w:w="960" w:type="dxa"/>
            <w:vAlign w:val="bottom"/>
            <w:tcBorders>
              <w:top w:val="single" w:sz="8" w:color="auto"/>
            </w:tcBorders>
          </w:tcPr>
          <w:p>
            <w:pPr>
              <w:jc w:val="right"/>
              <w:ind w:right="379"/>
              <w:spacing w:after="0"/>
              <w:rPr>
                <w:sz w:val="20"/>
                <w:szCs w:val="20"/>
                <w:color w:val="auto"/>
              </w:rPr>
            </w:pPr>
            <w:r>
              <w:rPr>
                <w:rFonts w:ascii="Arial" w:cs="Arial" w:eastAsia="Arial" w:hAnsi="Arial"/>
                <w:sz w:val="18"/>
                <w:szCs w:val="18"/>
                <w:color w:val="auto"/>
              </w:rPr>
              <w:t>99.1</w:t>
            </w:r>
          </w:p>
        </w:tc>
        <w:tc>
          <w:tcPr>
            <w:tcW w:w="320" w:type="dxa"/>
            <w:vAlign w:val="bottom"/>
          </w:tcPr>
          <w:p>
            <w:pPr>
              <w:spacing w:after="0"/>
              <w:rPr>
                <w:sz w:val="24"/>
                <w:szCs w:val="24"/>
                <w:color w:val="auto"/>
              </w:rPr>
            </w:pPr>
          </w:p>
        </w:tc>
        <w:tc>
          <w:tcPr>
            <w:tcW w:w="97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August 17, 2006.</w:t>
            </w:r>
          </w:p>
        </w:tc>
        <w:tc>
          <w:tcPr>
            <w:tcW w:w="480" w:type="dxa"/>
            <w:vAlign w:val="bottom"/>
          </w:tcPr>
          <w:p>
            <w:pPr>
              <w:spacing w:after="0"/>
              <w:rPr>
                <w:sz w:val="24"/>
                <w:szCs w:val="24"/>
                <w:color w:val="auto"/>
              </w:rPr>
            </w:pPr>
          </w:p>
        </w:tc>
      </w:tr>
      <w:tr>
        <w:trPr>
          <w:trHeight w:val="864"/>
        </w:trPr>
        <w:tc>
          <w:tcPr>
            <w:tcW w:w="9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700" w:type="dxa"/>
            <w:vAlign w:val="bottom"/>
          </w:tcPr>
          <w:p>
            <w:pPr>
              <w:jc w:val="right"/>
              <w:ind w:right="5134"/>
              <w:spacing w:after="0"/>
              <w:rPr>
                <w:sz w:val="20"/>
                <w:szCs w:val="20"/>
                <w:color w:val="auto"/>
              </w:rPr>
            </w:pPr>
            <w:r>
              <w:rPr>
                <w:rFonts w:ascii="Arial" w:cs="Arial" w:eastAsia="Arial" w:hAnsi="Arial"/>
                <w:sz w:val="18"/>
                <w:szCs w:val="18"/>
                <w:color w:val="auto"/>
              </w:rPr>
              <w:t>4</w:t>
            </w:r>
          </w:p>
        </w:tc>
        <w:tc>
          <w:tcPr>
            <w:tcW w:w="480" w:type="dxa"/>
            <w:vAlign w:val="bottom"/>
          </w:tcPr>
          <w:p>
            <w:pPr>
              <w:spacing w:after="0"/>
              <w:rPr>
                <w:sz w:val="24"/>
                <w:szCs w:val="24"/>
                <w:color w:val="auto"/>
              </w:rPr>
            </w:pPr>
          </w:p>
        </w:tc>
      </w:tr>
      <w:tr>
        <w:trPr>
          <w:trHeight w:val="375"/>
        </w:trPr>
        <w:tc>
          <w:tcPr>
            <w:tcW w:w="960" w:type="dxa"/>
            <w:vAlign w:val="bottom"/>
            <w:tcBorders>
              <w:bottom w:val="single" w:sz="8" w:color="010101"/>
            </w:tcBorders>
          </w:tcPr>
          <w:p>
            <w:pPr>
              <w:spacing w:after="0"/>
              <w:rPr>
                <w:sz w:val="24"/>
                <w:szCs w:val="24"/>
                <w:color w:val="auto"/>
              </w:rPr>
            </w:pPr>
          </w:p>
        </w:tc>
        <w:tc>
          <w:tcPr>
            <w:tcW w:w="320" w:type="dxa"/>
            <w:vAlign w:val="bottom"/>
            <w:tcBorders>
              <w:bottom w:val="single" w:sz="8" w:color="010101"/>
            </w:tcBorders>
          </w:tcPr>
          <w:p>
            <w:pPr>
              <w:spacing w:after="0"/>
              <w:rPr>
                <w:sz w:val="24"/>
                <w:szCs w:val="24"/>
                <w:color w:val="auto"/>
              </w:rPr>
            </w:pPr>
          </w:p>
        </w:tc>
        <w:tc>
          <w:tcPr>
            <w:tcW w:w="9700" w:type="dxa"/>
            <w:vAlign w:val="bottom"/>
            <w:tcBorders>
              <w:bottom w:val="single" w:sz="8" w:color="010101"/>
            </w:tcBorders>
          </w:tcPr>
          <w:p>
            <w:pPr>
              <w:spacing w:after="0"/>
              <w:rPr>
                <w:sz w:val="24"/>
                <w:szCs w:val="24"/>
                <w:color w:val="auto"/>
              </w:rPr>
            </w:pPr>
          </w:p>
        </w:tc>
        <w:tc>
          <w:tcPr>
            <w:tcW w:w="48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Preliminary Revenue for Second Quarter of Fiscal 2007</w:t>
      </w:r>
    </w:p>
    <w:p>
      <w:pPr>
        <w:spacing w:after="0" w:line="225" w:lineRule="exact"/>
        <w:rPr>
          <w:sz w:val="20"/>
          <w:szCs w:val="20"/>
          <w:color w:val="auto"/>
        </w:rPr>
      </w:pPr>
    </w:p>
    <w:p>
      <w:pPr>
        <w:ind w:right="480"/>
        <w:spacing w:after="0" w:line="282" w:lineRule="auto"/>
        <w:rPr>
          <w:sz w:val="20"/>
          <w:szCs w:val="20"/>
          <w:color w:val="auto"/>
        </w:rPr>
      </w:pPr>
      <w:r>
        <w:rPr>
          <w:rFonts w:ascii="Arial" w:cs="Arial" w:eastAsia="Arial" w:hAnsi="Arial"/>
          <w:sz w:val="18"/>
          <w:szCs w:val="18"/>
          <w:b w:val="1"/>
          <w:bCs w:val="1"/>
          <w:color w:val="auto"/>
        </w:rPr>
        <w:t xml:space="preserve">Santa Clara, California (August 17, 2006) </w:t>
      </w:r>
      <w:r>
        <w:rPr>
          <w:rFonts w:ascii="Arial" w:cs="Arial" w:eastAsia="Arial" w:hAnsi="Arial"/>
          <w:sz w:val="18"/>
          <w:szCs w:val="18"/>
          <w:color w:val="auto"/>
        </w:rPr>
        <w:t>— Marvell Technology Group Ltd. (NASDAQ: MRVL),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preliminary, unaudited revenue for its second fiscal quarter ended July 29, 2006.</w:t>
      </w:r>
    </w:p>
    <w:p>
      <w:pPr>
        <w:spacing w:after="0" w:line="16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Net revenue for the second quarter of fiscal 2007 was $574.0 million, an increase of 47% over net revenue of $390.5 million for the second quarter of fiscal 2006 and a 10.1% sequential increase from net revenue of $521.2 million for the first quarter of fiscal 2007.</w:t>
      </w:r>
    </w:p>
    <w:p>
      <w:pPr>
        <w:spacing w:after="0" w:line="170"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All results reported are preliminary because Marvell is in the midst of a previously announced internal review by a special committee of its Board of Directors relating to the Company’s historical stock option practices and related accounting matters. The special committee is conducting its review with the assistance of independent legal counsel and outside accounting experts. The Company does not expect to be in a position to announce additional financial results for the second quarter until the special committee has completed its review. The special committee is working to complete its stock option review in a timely manner; however, in light of the review, Marvell does not expect to be in a position to file its Form 10-Q for the second fiscal quarter by the September 7, 2006 filing deadline or the permitted extension to September 12, 2006.</w:t>
      </w:r>
    </w:p>
    <w:p>
      <w:pPr>
        <w:spacing w:after="0" w:line="178" w:lineRule="exact"/>
        <w:rPr>
          <w:sz w:val="20"/>
          <w:szCs w:val="20"/>
          <w:color w:val="auto"/>
        </w:rPr>
      </w:pPr>
    </w:p>
    <w:p>
      <w:pPr>
        <w:ind w:right="160"/>
        <w:spacing w:after="0" w:line="312" w:lineRule="auto"/>
        <w:rPr>
          <w:sz w:val="20"/>
          <w:szCs w:val="20"/>
          <w:color w:val="auto"/>
        </w:rPr>
      </w:pPr>
      <w:r>
        <w:rPr>
          <w:rFonts w:ascii="Arial" w:cs="Arial" w:eastAsia="Arial" w:hAnsi="Arial"/>
          <w:sz w:val="16"/>
          <w:szCs w:val="16"/>
          <w:color w:val="auto"/>
        </w:rPr>
        <w:t>“Our Q2 revenues marked our 35th consecutive quarter of revenue growth” stated Dr. Sehat Sutardja, Marvell’s President and CEO. “During the quarter our revenue growth was limited due to some near term challenges in some of our end markets. However, we remain very focused on the execution of our long term growth strategies and are excited about the expanding reach of our technology into an increasing number of end markets and applications.”</w:t>
      </w:r>
    </w:p>
    <w:p>
      <w:pPr>
        <w:spacing w:after="0" w:line="147" w:lineRule="exact"/>
        <w:rPr>
          <w:sz w:val="20"/>
          <w:szCs w:val="20"/>
          <w:color w:val="auto"/>
        </w:rPr>
      </w:pPr>
    </w:p>
    <w:p>
      <w:pPr>
        <w:ind w:right="120"/>
        <w:spacing w:after="0" w:line="297" w:lineRule="auto"/>
        <w:rPr>
          <w:sz w:val="20"/>
          <w:szCs w:val="20"/>
          <w:color w:val="auto"/>
        </w:rPr>
      </w:pPr>
      <w:r>
        <w:rPr>
          <w:rFonts w:ascii="Arial" w:cs="Arial" w:eastAsia="Arial" w:hAnsi="Arial"/>
          <w:sz w:val="16"/>
          <w:szCs w:val="16"/>
          <w:color w:val="auto"/>
        </w:rPr>
        <w:t>Marvell will be conducting a conference call today at 1:45 p.m. PST to discuss its first quarter financial results.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 call via Thomson StreetEvents (www.streetevents.com), a password-protected event management site. The conference call will also be available via the web at www.marvell.com. Please visit the Investor Events section. Replay on the Internet will be available until February 23,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193040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80"/>
        <w:spacing w:after="0" w:line="285" w:lineRule="auto"/>
        <w:rPr>
          <w:sz w:val="20"/>
          <w:szCs w:val="20"/>
          <w:color w:val="auto"/>
        </w:rPr>
      </w:pPr>
      <w:r>
        <w:rPr>
          <w:rFonts w:ascii="Arial" w:cs="Arial" w:eastAsia="Arial" w:hAnsi="Arial"/>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our financial results for the second fiscal quarter of 2007, our expectations regarding the announcement of additional financial results for its second fiscal quarter of 2007 and our expectations regarding the filing of our Form 10-Q for that quarter. Statements that refer to, or are based on projections, uncertain events or assumptions also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our stock option practices, with respect to our stock option practices. In particular, Marvell may be required to make adjustments to its financial results for the second fiscal quarter of 2007, as well as its financial results previously reported for prior periods, as a result of the special committee’s review. Those adjustments could have a material adverse effect on our results of operations for those periods. When the review is complete and Marvell files its Form 10-Q, the financial statements may differ from the results disclosed in this press release, not only as a result of any required adjustments resulting from the special committee review, but also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sections titled “Additional Factors That May Affect Future Results” in Marvell’s quarterly report on Form 10-Q for the fiscal quarter ended April 29, 2006 and other factors detailed from time to time in Marvell’s filings with the Securities and Exchange Commission. We undertake no obligation to revise or update publicly any forward-looking statements.</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6"/>
          <w:szCs w:val="36"/>
          <w:i w:val="1"/>
          <w:iCs w:val="1"/>
          <w:color w:val="auto"/>
          <w:vertAlign w:val="superscript"/>
        </w:rPr>
        <w:t>®</w:t>
      </w:r>
      <w:r>
        <w:rPr>
          <w:rFonts w:ascii="Arial" w:cs="Arial" w:eastAsia="Arial" w:hAnsi="Arial"/>
          <w:sz w:val="18"/>
          <w:szCs w:val="18"/>
          <w:i w:val="1"/>
          <w:iCs w:val="1"/>
          <w:color w:val="auto"/>
        </w:rPr>
        <w:t xml:space="preserve"> </w:t>
      </w:r>
      <w:r>
        <w:rPr>
          <w:rFonts w:ascii="Arial" w:cs="Arial" w:eastAsia="Arial" w:hAnsi="Arial"/>
          <w:sz w:val="17"/>
          <w:szCs w:val="17"/>
          <w:i w:val="1"/>
          <w:iCs w:val="1"/>
          <w:color w:val="auto"/>
        </w:rPr>
        <w:t>and the Marvell logo are trademarks of Marvell.  All other trademarks are the property of their respective owners.</w:t>
      </w:r>
    </w:p>
    <w:p>
      <w:pPr>
        <w:sectPr>
          <w:pgSz w:w="11900" w:h="16838" w:orient="portrait"/>
          <w:cols w:equalWidth="0" w:num="1">
            <w:col w:w="11420"/>
          </w:cols>
          <w:pgMar w:left="240" w:top="121" w:right="239" w:bottom="854" w:gutter="0" w:footer="0" w:header="0"/>
        </w:sect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85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2019-12-14T19:22:50Z</dcterms:created>
  <dcterms:modified xsi:type="dcterms:W3CDTF">2019-12-14T19:22:50Z</dcterms:modified>
</cp:coreProperties>
</file>