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157480</wp:posOffset>
            </wp:positionH>
            <wp:positionV relativeFrom="page">
              <wp:posOffset>157480</wp:posOffset>
            </wp:positionV>
            <wp:extent cx="7246620" cy="260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2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157480</wp:posOffset>
            </wp:positionH>
            <wp:positionV relativeFrom="page">
              <wp:posOffset>200660</wp:posOffset>
            </wp:positionV>
            <wp:extent cx="7246620" cy="260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2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UNITED STATES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SECURITIES AND EXCHANGE COMMISSION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Washington, D.C. 20549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2938145</wp:posOffset>
            </wp:positionH>
            <wp:positionV relativeFrom="paragraph">
              <wp:posOffset>176530</wp:posOffset>
            </wp:positionV>
            <wp:extent cx="1389380" cy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8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FORM 8-K</w:t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CURRENT REPORT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Pursuant to Section 13 or 15(d) of the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Securities Exchange Act of 1934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 xml:space="preserve">Date of Report (Date of Earliest Event Reported): </w:t>
      </w: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June 29, 2006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MARVELL TECHNOLOGY GROUP LTD.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(Exact name of registrant as specified in its charter)</w:t>
      </w:r>
    </w:p>
    <w:p>
      <w:pPr>
        <w:sectPr>
          <w:pgSz w:w="11900" w:h="16838" w:orient="portrait"/>
          <w:cols w:equalWidth="0" w:num="1">
            <w:col w:w="11380"/>
          </w:cols>
          <w:pgMar w:left="240" w:top="524" w:right="279" w:bottom="9" w:gutter="0" w:footer="0" w:header="0"/>
        </w:sect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1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Bermuda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auto"/>
        </w:rPr>
        <w:t>(State or Other Jurisdiction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1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of Incorporation)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1" w:lineRule="exact"/>
        <w:rPr>
          <w:sz w:val="24"/>
          <w:szCs w:val="24"/>
          <w:color w:val="auto"/>
        </w:rPr>
      </w:pPr>
    </w:p>
    <w:p>
      <w:pPr>
        <w:jc w:val="center"/>
        <w:ind w:right="1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0-30877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(Commission File Number)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1" w:lineRule="exact"/>
        <w:rPr>
          <w:sz w:val="24"/>
          <w:szCs w:val="24"/>
          <w:color w:val="auto"/>
        </w:rPr>
      </w:pPr>
    </w:p>
    <w:p>
      <w:pPr>
        <w:jc w:val="center"/>
        <w:ind w:right="1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77-0481679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(I.R.S. Employer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1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auto"/>
        </w:rPr>
        <w:t>Identification No.)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000" w:space="720"/>
            <w:col w:w="3400" w:space="720"/>
            <w:col w:w="2540"/>
          </w:cols>
          <w:pgMar w:left="240" w:top="524" w:right="279" w:bottom="9" w:gutter="0" w:footer="0" w:header="0"/>
          <w:type w:val="continuous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Canon’s Court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22 Victoria Street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Hamilton HM 12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Bermuda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(Address of principal executive offices)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(441) 296-6395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(Registrant’s telephone number,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including area code)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N/A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(Former name or former address, if changed since last report.)</w:t>
      </w:r>
    </w:p>
    <w:p>
      <w:pPr>
        <w:sectPr>
          <w:pgSz w:w="11900" w:h="16838" w:orient="portrait"/>
          <w:cols w:equalWidth="0" w:num="1">
            <w:col w:w="11380"/>
          </w:cols>
          <w:pgMar w:left="240" w:top="524" w:right="279" w:bottom="9" w:gutter="0" w:footer="0" w:header="0"/>
          <w:type w:val="continuous"/>
        </w:sect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 w:line="28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Check the appropriate box below if the Form 8-K filing is intended to simultaneously satisfy the filing obligations of the registrant under any of the following provisions (see General Instruction A.2. below):</w:t>
      </w:r>
    </w:p>
    <w:p>
      <w:pPr>
        <w:spacing w:after="0" w:line="16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 Written communications pursuant to Rule 425 under the Securities Act (17 CFR 230.425)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 Soliciting material pursuant to Rule 14a-12 under the Exchange Act (17 CFR 240.14a-12)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 Pre-commencement communications pursuant to Rule 14d-2(b) under the Exchange Act (17 CFR 240.14d-2(b))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 Pre-commencement communications pursuant to Rule 13e-4(c) under the Exchange Act (17 CFR 240-13e-4(c))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292100</wp:posOffset>
            </wp:positionV>
            <wp:extent cx="7246620" cy="260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2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334645</wp:posOffset>
            </wp:positionV>
            <wp:extent cx="7246620" cy="260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2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581660</wp:posOffset>
            </wp:positionV>
            <wp:extent cx="7267575" cy="298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Item 5.03. Amendments to Articles of Incorporation or Bylaws; Change in Fiscal Year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right="120"/>
        <w:spacing w:after="0" w:line="26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On June 29, 2006, Marvell Technology Group Ltd. (the “Company”) filed a Memorandum of Increase of Share Capital with the Bermuda Registrar of Companies to increase the Company’ s authorized share capital from US$1,000,000 to US$2,000,000 by the creation of 500,000,000 additional shares of Common Stock of par value $0.002 each. This increase was approved by the Company’s shareholders at the Company’s Annual General Meeting on June 9, 2006.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Item 9.01 Financial Statements or Exhibits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(d) Exhibits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The following exhibit is filed herewith: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4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3.1</w:t>
        <w:tab/>
        <w:t>Memorandum of Increase of Share Capital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238125</wp:posOffset>
            </wp:positionV>
            <wp:extent cx="7267575" cy="298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380"/>
          </w:cols>
          <w:pgMar w:left="240" w:top="524" w:right="279" w:bottom="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SIGNATURE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right="480" w:firstLine="648"/>
        <w:spacing w:after="0" w:line="28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Pursuant to the requirements of the Securities Exchange Act of 1934, the registrant has duly caused this report to be signed on its behalf by the undersigned hereunto duly authorized.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Dated: July 6, 2006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5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MARVELL TECHNOLOGY GROUP LTD.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5580"/>
        <w:spacing w:after="0"/>
        <w:tabs>
          <w:tab w:leader="none" w:pos="59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By: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7"/>
          <w:szCs w:val="17"/>
          <w:color w:val="auto"/>
        </w:rPr>
        <w:t>/s/ George A. Hervey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ind w:left="5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George A. Hervey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3804285</wp:posOffset>
            </wp:positionH>
            <wp:positionV relativeFrom="paragraph">
              <wp:posOffset>-130810</wp:posOffset>
            </wp:positionV>
            <wp:extent cx="344741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4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jc w:val="center"/>
        <w:ind w:left="5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Vice President of Finance and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jc w:val="center"/>
        <w:ind w:left="5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Chief Financial Officer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238125</wp:posOffset>
            </wp:positionV>
            <wp:extent cx="7267575" cy="298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EXHIBIT INDEX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3"/>
        </w:trPr>
        <w:tc>
          <w:tcPr>
            <w:tcW w:w="13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b w:val="1"/>
                <w:bCs w:val="1"/>
                <w:color w:val="auto"/>
              </w:rPr>
              <w:t>Exhibit No.</w:t>
            </w:r>
          </w:p>
        </w:tc>
        <w:tc>
          <w:tcPr>
            <w:tcW w:w="10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b w:val="1"/>
                <w:bCs w:val="1"/>
                <w:color w:val="auto"/>
              </w:rPr>
              <w:t>Description</w:t>
            </w: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3.1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Memorandum of Increase of Share Capital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238125</wp:posOffset>
            </wp:positionV>
            <wp:extent cx="7267575" cy="2984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792" w:right="239" w:bottom="1440" w:gutter="0" w:footer="0" w:header="0"/>
        </w:sectPr>
      </w:pPr>
    </w:p>
    <w:bookmarkStart w:id="2" w:name="page3"/>
    <w:bookmarkEnd w:id="2"/>
    <w:p>
      <w:pPr>
        <w:jc w:val="right"/>
        <w:ind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Exhibit 3.1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b w:val="1"/>
          <w:bCs w:val="1"/>
          <w:color w:val="auto"/>
        </w:rPr>
        <w:t>FORM NO. 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3281045</wp:posOffset>
            </wp:positionH>
            <wp:positionV relativeFrom="paragraph">
              <wp:posOffset>157480</wp:posOffset>
            </wp:positionV>
            <wp:extent cx="694690" cy="10293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THE COMPANIES ACT 1981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MEMORANDUM OF INCREASE OF SHARE CAPITAL</w:t>
      </w:r>
    </w:p>
    <w:p>
      <w:pPr>
        <w:jc w:val="center"/>
        <w:ind w:right="4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OF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MARVELL TECHNOLOGY GROUP LTD.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742315</wp:posOffset>
            </wp:positionH>
            <wp:positionV relativeFrom="paragraph">
              <wp:posOffset>69850</wp:posOffset>
            </wp:positionV>
            <wp:extent cx="5780405" cy="889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(hereinafter referred to as “the Company”)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right="36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DEPOSITED in the office of the Registrar of Companies on the 29</w:t>
      </w:r>
      <w:r>
        <w:rPr>
          <w:rFonts w:ascii="Times New Roman" w:cs="Times New Roman" w:eastAsia="Times New Roman" w:hAnsi="Times New Roman"/>
          <w:sz w:val="23"/>
          <w:szCs w:val="23"/>
          <w:color w:val="auto"/>
          <w:vertAlign w:val="superscript"/>
        </w:rPr>
        <w:t>th</w:t>
      </w: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 xml:space="preserve"> of June 2006, in accordance with the provisions of section 45(3) of the Companies Act 1981.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7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Minimum Share Capital of the Company</w:t>
            </w:r>
          </w:p>
        </w:tc>
        <w:tc>
          <w:tcPr>
            <w:tcW w:w="3520" w:type="dxa"/>
            <w:vAlign w:val="bottom"/>
          </w:tcPr>
          <w:p>
            <w:pPr>
              <w:jc w:val="right"/>
              <w:ind w:right="10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US$12,000</w:t>
            </w:r>
          </w:p>
        </w:tc>
      </w:tr>
      <w:tr>
        <w:trPr>
          <w:trHeight w:val="432"/>
        </w:trPr>
        <w:tc>
          <w:tcPr>
            <w:tcW w:w="7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Authorized Share Capital of the Company</w:t>
            </w:r>
          </w:p>
        </w:tc>
        <w:tc>
          <w:tcPr>
            <w:tcW w:w="3520" w:type="dxa"/>
            <w:vAlign w:val="bottom"/>
          </w:tcPr>
          <w:p>
            <w:pPr>
              <w:jc w:val="right"/>
              <w:ind w:right="10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US$1,000,000</w:t>
            </w:r>
          </w:p>
        </w:tc>
      </w:tr>
      <w:tr>
        <w:trPr>
          <w:trHeight w:val="414"/>
        </w:trPr>
        <w:tc>
          <w:tcPr>
            <w:tcW w:w="7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Increase of Share Capital as authorized by a resolution passed at a general meeting of the Company on the 9</w:t>
            </w:r>
          </w:p>
        </w:tc>
        <w:tc>
          <w:tcPr>
            <w:tcW w:w="3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34"/>
        </w:trPr>
        <w:tc>
          <w:tcPr>
            <w:tcW w:w="7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June 2006</w:t>
            </w:r>
          </w:p>
        </w:tc>
        <w:tc>
          <w:tcPr>
            <w:tcW w:w="3520" w:type="dxa"/>
            <w:vAlign w:val="bottom"/>
          </w:tcPr>
          <w:p>
            <w:pPr>
              <w:jc w:val="right"/>
              <w:ind w:right="10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US$1,000,000</w:t>
            </w:r>
          </w:p>
        </w:tc>
      </w:tr>
      <w:tr>
        <w:trPr>
          <w:trHeight w:val="432"/>
        </w:trPr>
        <w:tc>
          <w:tcPr>
            <w:tcW w:w="7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AUTHORIZED SHARE CAPITAL AS INCREASED</w:t>
            </w:r>
          </w:p>
        </w:tc>
        <w:tc>
          <w:tcPr>
            <w:tcW w:w="352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ind w:right="10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US$2,000,000</w:t>
            </w:r>
          </w:p>
        </w:tc>
      </w:tr>
    </w:tbl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right="360"/>
        <w:spacing w:after="0" w:line="28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DULY STAMPED in the amount of BD$NIL being the stamp duty payable on the amount of increase of share capital of the Company in accordance with the provisions of the Stamp Duties Act, 1976.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jc w:val="center"/>
        <w:ind w:left="78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/s/ Weili Dai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ind w:left="78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Secretary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5013325</wp:posOffset>
            </wp:positionH>
            <wp:positionV relativeFrom="paragraph">
              <wp:posOffset>-130810</wp:posOffset>
            </wp:positionV>
            <wp:extent cx="2238375" cy="889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auto"/>
        </w:rPr>
        <w:t>DATED THIS 9th day of June, 2006.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6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NOTE:</w:t>
            </w:r>
          </w:p>
        </w:tc>
        <w:tc>
          <w:tcPr>
            <w:tcW w:w="107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  <w:w w:val="99"/>
              </w:rPr>
              <w:t>This memorandum must be filed in the office of the Registrar of Companies within thirty days after the date on which the resolution increasing the</w:t>
            </w:r>
          </w:p>
        </w:tc>
      </w:tr>
      <w:tr>
        <w:trPr>
          <w:trHeight w:val="2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7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share capital has effect and must be accompanied by a copy of the resolution and the prescribed fee.</w:t>
            </w:r>
          </w:p>
        </w:tc>
      </w:tr>
      <w:tr>
        <w:trPr>
          <w:trHeight w:val="1023"/>
        </w:trPr>
        <w:tc>
          <w:tcPr>
            <w:tcW w:w="720" w:type="dxa"/>
            <w:vAlign w:val="bottom"/>
            <w:tcBorders>
              <w:bottom w:val="single" w:sz="8" w:color="010101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740" w:type="dxa"/>
            <w:vAlign w:val="bottom"/>
            <w:tcBorders>
              <w:bottom w:val="single" w:sz="8" w:color="010101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7258050</wp:posOffset>
            </wp:positionH>
            <wp:positionV relativeFrom="paragraph">
              <wp:posOffset>-29210</wp:posOffset>
            </wp:positionV>
            <wp:extent cx="12700" cy="298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-29210</wp:posOffset>
            </wp:positionV>
            <wp:extent cx="12700" cy="298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2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0" w:num="1">
        <w:col w:w="11460"/>
      </w:cols>
      <w:pgMar w:left="240" w:top="549" w:right="1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jpe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2019-12-14T20:28:52Z</dcterms:created>
  <dcterms:modified xsi:type="dcterms:W3CDTF">2019-12-14T20:28:52Z</dcterms:modified>
</cp:coreProperties>
</file>