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1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157480</wp:posOffset>
            </wp:positionV>
            <wp:extent cx="7246620" cy="260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200660</wp:posOffset>
            </wp:positionV>
            <wp:extent cx="7246620" cy="260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26035"/>
                    </a:xfrm>
                    <a:prstGeom prst="rect">
                      <a:avLst/>
                    </a:prstGeom>
                    <a:noFill/>
                  </pic:spPr>
                </pic:pic>
              </a:graphicData>
            </a:graphic>
          </wp:anchor>
        </w:drawing>
        <w:t>UNITED STATES</w:t>
      </w:r>
    </w:p>
    <w:p>
      <w:pPr>
        <w:spacing w:after="0" w:line="33" w:lineRule="exact"/>
        <w:rPr>
          <w:sz w:val="24"/>
          <w:szCs w:val="24"/>
          <w:color w:val="auto"/>
        </w:rPr>
      </w:pPr>
    </w:p>
    <w:p>
      <w:pPr>
        <w:jc w:val="center"/>
        <w:ind w:right="-19"/>
        <w:spacing w:after="0"/>
        <w:rPr>
          <w:sz w:val="20"/>
          <w:szCs w:val="20"/>
          <w:color w:val="auto"/>
        </w:rPr>
      </w:pPr>
      <w:r>
        <w:rPr>
          <w:rFonts w:ascii="Arial" w:cs="Arial" w:eastAsia="Arial" w:hAnsi="Arial"/>
          <w:sz w:val="32"/>
          <w:szCs w:val="32"/>
          <w:b w:val="1"/>
          <w:bCs w:val="1"/>
          <w:color w:val="auto"/>
        </w:rPr>
        <w:t>SECURITIES AND EXCHANGE COMMISSION</w:t>
      </w:r>
    </w:p>
    <w:p>
      <w:pPr>
        <w:spacing w:after="0" w:line="4"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Washington, D.C. 20549</w:t>
      </w:r>
    </w:p>
    <w:p>
      <w:pPr>
        <w:spacing w:after="0" w:line="182" w:lineRule="exact"/>
        <w:rPr>
          <w:sz w:val="24"/>
          <w:szCs w:val="24"/>
          <w:color w:val="auto"/>
        </w:rPr>
      </w:pPr>
    </w:p>
    <w:p>
      <w:pPr>
        <w:jc w:val="center"/>
        <w:ind w:right="-19"/>
        <w:spacing w:after="0"/>
        <w:rPr>
          <w:sz w:val="20"/>
          <w:szCs w:val="20"/>
          <w:color w:val="auto"/>
        </w:rPr>
      </w:pPr>
      <w:r>
        <w:rPr>
          <w:rFonts w:ascii="Arial" w:cs="Arial" w:eastAsia="Arial" w:hAnsi="Arial"/>
          <w:sz w:val="32"/>
          <w:szCs w:val="32"/>
          <w:b w:val="1"/>
          <w:bCs w:val="1"/>
          <w:color w:val="auto"/>
        </w:rPr>
        <w:t>FORM 8-K</w:t>
      </w:r>
    </w:p>
    <w:p>
      <w:pPr>
        <w:spacing w:after="0" w:line="226" w:lineRule="exact"/>
        <w:rPr>
          <w:sz w:val="24"/>
          <w:szCs w:val="24"/>
          <w:color w:val="auto"/>
        </w:rPr>
      </w:pPr>
    </w:p>
    <w:p>
      <w:pPr>
        <w:jc w:val="center"/>
        <w:ind w:right="-19"/>
        <w:spacing w:after="0"/>
        <w:rPr>
          <w:sz w:val="20"/>
          <w:szCs w:val="20"/>
          <w:color w:val="auto"/>
        </w:rPr>
      </w:pPr>
      <w:r>
        <w:rPr>
          <w:rFonts w:ascii="Arial" w:cs="Arial" w:eastAsia="Arial" w:hAnsi="Arial"/>
          <w:sz w:val="22"/>
          <w:szCs w:val="22"/>
          <w:b w:val="1"/>
          <w:bCs w:val="1"/>
          <w:color w:val="auto"/>
        </w:rPr>
        <w:t>CURRENT REPORT</w:t>
      </w:r>
    </w:p>
    <w:p>
      <w:pPr>
        <w:spacing w:after="0" w:line="233" w:lineRule="exact"/>
        <w:rPr>
          <w:sz w:val="24"/>
          <w:szCs w:val="24"/>
          <w:color w:val="auto"/>
        </w:rPr>
      </w:pPr>
    </w:p>
    <w:p>
      <w:pPr>
        <w:jc w:val="center"/>
        <w:ind w:right="-19"/>
        <w:spacing w:after="0"/>
        <w:rPr>
          <w:sz w:val="20"/>
          <w:szCs w:val="20"/>
          <w:color w:val="auto"/>
        </w:rPr>
      </w:pPr>
      <w:r>
        <w:rPr>
          <w:rFonts w:ascii="Arial" w:cs="Arial" w:eastAsia="Arial" w:hAnsi="Arial"/>
          <w:sz w:val="22"/>
          <w:szCs w:val="22"/>
          <w:b w:val="1"/>
          <w:bCs w:val="1"/>
          <w:color w:val="auto"/>
        </w:rPr>
        <w:t>Pursuant to Section 13 or 15(d) of the</w:t>
      </w:r>
    </w:p>
    <w:p>
      <w:pPr>
        <w:spacing w:after="0" w:line="14" w:lineRule="exact"/>
        <w:rPr>
          <w:sz w:val="24"/>
          <w:szCs w:val="24"/>
          <w:color w:val="auto"/>
        </w:rPr>
      </w:pPr>
    </w:p>
    <w:p>
      <w:pPr>
        <w:jc w:val="center"/>
        <w:ind w:right="-19"/>
        <w:spacing w:after="0"/>
        <w:rPr>
          <w:sz w:val="20"/>
          <w:szCs w:val="20"/>
          <w:color w:val="auto"/>
        </w:rPr>
      </w:pPr>
      <w:r>
        <w:rPr>
          <w:rFonts w:ascii="Arial" w:cs="Arial" w:eastAsia="Arial" w:hAnsi="Arial"/>
          <w:sz w:val="22"/>
          <w:szCs w:val="22"/>
          <w:b w:val="1"/>
          <w:bCs w:val="1"/>
          <w:color w:val="auto"/>
        </w:rPr>
        <w:t>Securities Exchange Act of 1934</w:t>
      </w:r>
    </w:p>
    <w:p>
      <w:pPr>
        <w:spacing w:after="0" w:line="191" w:lineRule="exact"/>
        <w:rPr>
          <w:sz w:val="24"/>
          <w:szCs w:val="24"/>
          <w:color w:val="auto"/>
        </w:rPr>
      </w:pPr>
    </w:p>
    <w:p>
      <w:pPr>
        <w:jc w:val="center"/>
        <w:ind w:right="-19"/>
        <w:spacing w:after="0"/>
        <w:rPr>
          <w:sz w:val="20"/>
          <w:szCs w:val="20"/>
          <w:color w:val="auto"/>
        </w:rPr>
      </w:pPr>
      <w:r>
        <w:rPr>
          <w:rFonts w:ascii="Arial" w:cs="Arial" w:eastAsia="Arial" w:hAnsi="Arial"/>
          <w:sz w:val="18"/>
          <w:szCs w:val="18"/>
          <w:color w:val="auto"/>
        </w:rPr>
        <w:t xml:space="preserve">Date of Report (Date of earliest event reported): </w:t>
      </w:r>
      <w:r>
        <w:rPr>
          <w:rFonts w:ascii="Arial" w:cs="Arial" w:eastAsia="Arial" w:hAnsi="Arial"/>
          <w:sz w:val="18"/>
          <w:szCs w:val="18"/>
          <w:b w:val="1"/>
          <w:bCs w:val="1"/>
          <w:color w:val="auto"/>
        </w:rPr>
        <w:t>July 3, 2006</w:t>
      </w:r>
    </w:p>
    <w:p>
      <w:pPr>
        <w:spacing w:after="0" w:line="202" w:lineRule="exact"/>
        <w:rPr>
          <w:sz w:val="24"/>
          <w:szCs w:val="24"/>
          <w:color w:val="auto"/>
        </w:rPr>
      </w:pPr>
    </w:p>
    <w:p>
      <w:pPr>
        <w:jc w:val="center"/>
        <w:ind w:right="-19"/>
        <w:spacing w:after="0"/>
        <w:rPr>
          <w:sz w:val="20"/>
          <w:szCs w:val="20"/>
          <w:color w:val="auto"/>
        </w:rPr>
      </w:pPr>
      <w:r>
        <w:rPr>
          <w:rFonts w:ascii="Arial" w:cs="Arial" w:eastAsia="Arial" w:hAnsi="Arial"/>
          <w:sz w:val="32"/>
          <w:szCs w:val="32"/>
          <w:b w:val="1"/>
          <w:bCs w:val="1"/>
          <w:color w:val="auto"/>
        </w:rPr>
        <w:t>MARVELL TECHNOLOGY GROUP LTD.</w:t>
      </w:r>
    </w:p>
    <w:p>
      <w:pPr>
        <w:spacing w:after="0" w:line="40" w:lineRule="exact"/>
        <w:rPr>
          <w:sz w:val="24"/>
          <w:szCs w:val="24"/>
          <w:color w:val="auto"/>
        </w:rPr>
      </w:pPr>
    </w:p>
    <w:p>
      <w:pPr>
        <w:jc w:val="center"/>
        <w:ind w:right="-19"/>
        <w:spacing w:after="0"/>
        <w:rPr>
          <w:sz w:val="20"/>
          <w:szCs w:val="20"/>
          <w:color w:val="auto"/>
        </w:rPr>
      </w:pPr>
      <w:r>
        <w:rPr>
          <w:rFonts w:ascii="Arial" w:cs="Arial" w:eastAsia="Arial" w:hAnsi="Arial"/>
          <w:sz w:val="18"/>
          <w:szCs w:val="18"/>
          <w:color w:val="auto"/>
        </w:rPr>
        <w:t>(Exact name of registrant as specified in its charter)</w:t>
      </w:r>
    </w:p>
    <w:p>
      <w:pPr>
        <w:sectPr>
          <w:pgSz w:w="11900" w:h="16838" w:orient="portrait"/>
          <w:cols w:equalWidth="0" w:num="1">
            <w:col w:w="11400"/>
          </w:cols>
          <w:pgMar w:left="240" w:top="530" w:right="259" w:bottom="0" w:gutter="0" w:footer="0" w:header="0"/>
        </w:sectPr>
      </w:pPr>
    </w:p>
    <w:p>
      <w:pPr>
        <w:spacing w:after="0" w:line="205" w:lineRule="exact"/>
        <w:rPr>
          <w:sz w:val="24"/>
          <w:szCs w:val="24"/>
          <w:color w:val="auto"/>
        </w:rPr>
      </w:pPr>
    </w:p>
    <w:p>
      <w:pPr>
        <w:jc w:val="center"/>
        <w:ind w:right="340"/>
        <w:spacing w:after="0"/>
        <w:rPr>
          <w:sz w:val="20"/>
          <w:szCs w:val="20"/>
          <w:color w:val="auto"/>
        </w:rPr>
      </w:pPr>
      <w:r>
        <w:rPr>
          <w:rFonts w:ascii="Arial" w:cs="Arial" w:eastAsia="Arial" w:hAnsi="Arial"/>
          <w:sz w:val="18"/>
          <w:szCs w:val="18"/>
          <w:b w:val="1"/>
          <w:bCs w:val="1"/>
          <w:color w:val="auto"/>
        </w:rPr>
        <w:t>Bermuda</w:t>
      </w:r>
    </w:p>
    <w:p>
      <w:pPr>
        <w:spacing w:after="0" w:line="27" w:lineRule="exact"/>
        <w:rPr>
          <w:sz w:val="24"/>
          <w:szCs w:val="24"/>
          <w:color w:val="auto"/>
        </w:rPr>
      </w:pPr>
    </w:p>
    <w:p>
      <w:pPr>
        <w:jc w:val="center"/>
        <w:ind w:right="340"/>
        <w:spacing w:after="0"/>
        <w:rPr>
          <w:sz w:val="20"/>
          <w:szCs w:val="20"/>
          <w:color w:val="auto"/>
        </w:rPr>
      </w:pPr>
      <w:r>
        <w:rPr>
          <w:rFonts w:ascii="Arial" w:cs="Arial" w:eastAsia="Arial" w:hAnsi="Arial"/>
          <w:sz w:val="16"/>
          <w:szCs w:val="16"/>
          <w:color w:val="auto"/>
        </w:rPr>
        <w:t>(State or Other Jurisdiction of Incorporation)</w:t>
      </w:r>
    </w:p>
    <w:p>
      <w:pPr>
        <w:spacing w:after="0" w:line="20" w:lineRule="exact"/>
        <w:rPr>
          <w:sz w:val="24"/>
          <w:szCs w:val="24"/>
          <w:color w:val="auto"/>
        </w:rPr>
      </w:pPr>
      <w:r>
        <w:rPr>
          <w:sz w:val="24"/>
          <w:szCs w:val="24"/>
          <w:color w:val="auto"/>
        </w:rPr>
        <w:br w:type="column"/>
      </w:r>
    </w:p>
    <w:p>
      <w:pPr>
        <w:spacing w:after="0" w:line="185" w:lineRule="exact"/>
        <w:rPr>
          <w:sz w:val="24"/>
          <w:szCs w:val="24"/>
          <w:color w:val="auto"/>
        </w:rPr>
      </w:pPr>
    </w:p>
    <w:p>
      <w:pPr>
        <w:jc w:val="center"/>
        <w:ind w:right="1500"/>
        <w:spacing w:after="0"/>
        <w:rPr>
          <w:sz w:val="20"/>
          <w:szCs w:val="20"/>
          <w:color w:val="auto"/>
        </w:rPr>
      </w:pPr>
      <w:r>
        <w:rPr>
          <w:rFonts w:ascii="Arial" w:cs="Arial" w:eastAsia="Arial" w:hAnsi="Arial"/>
          <w:sz w:val="18"/>
          <w:szCs w:val="18"/>
          <w:b w:val="1"/>
          <w:bCs w:val="1"/>
          <w:color w:val="auto"/>
        </w:rPr>
        <w:t>0-30877</w:t>
      </w:r>
    </w:p>
    <w:p>
      <w:pPr>
        <w:spacing w:after="0" w:line="27" w:lineRule="exact"/>
        <w:rPr>
          <w:sz w:val="24"/>
          <w:szCs w:val="24"/>
          <w:color w:val="auto"/>
        </w:rPr>
      </w:pPr>
    </w:p>
    <w:p>
      <w:pPr>
        <w:jc w:val="center"/>
        <w:ind w:right="1500"/>
        <w:spacing w:after="0"/>
        <w:rPr>
          <w:sz w:val="20"/>
          <w:szCs w:val="20"/>
          <w:color w:val="auto"/>
        </w:rPr>
      </w:pPr>
      <w:r>
        <w:rPr>
          <w:rFonts w:ascii="Arial" w:cs="Arial" w:eastAsia="Arial" w:hAnsi="Arial"/>
          <w:sz w:val="16"/>
          <w:szCs w:val="16"/>
          <w:color w:val="auto"/>
        </w:rPr>
        <w:t>(Commission File Number)</w:t>
      </w:r>
    </w:p>
    <w:p>
      <w:pPr>
        <w:spacing w:after="0" w:line="20" w:lineRule="exact"/>
        <w:rPr>
          <w:sz w:val="24"/>
          <w:szCs w:val="24"/>
          <w:color w:val="auto"/>
        </w:rPr>
      </w:pPr>
      <w:r>
        <w:rPr>
          <w:sz w:val="24"/>
          <w:szCs w:val="24"/>
          <w:color w:val="auto"/>
        </w:rPr>
        <w:br w:type="column"/>
      </w:r>
    </w:p>
    <w:p>
      <w:pPr>
        <w:spacing w:after="0" w:line="185" w:lineRule="exact"/>
        <w:rPr>
          <w:sz w:val="24"/>
          <w:szCs w:val="24"/>
          <w:color w:val="auto"/>
        </w:rPr>
      </w:pPr>
    </w:p>
    <w:p>
      <w:pPr>
        <w:jc w:val="center"/>
        <w:ind w:right="1120"/>
        <w:spacing w:after="0"/>
        <w:rPr>
          <w:sz w:val="20"/>
          <w:szCs w:val="20"/>
          <w:color w:val="auto"/>
        </w:rPr>
      </w:pPr>
      <w:r>
        <w:rPr>
          <w:rFonts w:ascii="Arial" w:cs="Arial" w:eastAsia="Arial" w:hAnsi="Arial"/>
          <w:sz w:val="18"/>
          <w:szCs w:val="18"/>
          <w:b w:val="1"/>
          <w:bCs w:val="1"/>
          <w:color w:val="auto"/>
        </w:rPr>
        <w:t>77-0481679</w:t>
      </w:r>
    </w:p>
    <w:p>
      <w:pPr>
        <w:spacing w:after="0" w:line="27" w:lineRule="exact"/>
        <w:rPr>
          <w:sz w:val="24"/>
          <w:szCs w:val="24"/>
          <w:color w:val="auto"/>
        </w:rPr>
      </w:pPr>
    </w:p>
    <w:p>
      <w:pPr>
        <w:jc w:val="center"/>
        <w:ind w:right="1120"/>
        <w:spacing w:after="0"/>
        <w:rPr>
          <w:sz w:val="20"/>
          <w:szCs w:val="20"/>
          <w:color w:val="auto"/>
        </w:rPr>
      </w:pPr>
      <w:r>
        <w:rPr>
          <w:rFonts w:ascii="Arial" w:cs="Arial" w:eastAsia="Arial" w:hAnsi="Arial"/>
          <w:sz w:val="18"/>
          <w:szCs w:val="18"/>
          <w:color w:val="auto"/>
        </w:rPr>
        <w:t>(I.R.S. Employer</w:t>
      </w:r>
    </w:p>
    <w:p>
      <w:pPr>
        <w:spacing w:after="0" w:line="9" w:lineRule="exact"/>
        <w:rPr>
          <w:sz w:val="24"/>
          <w:szCs w:val="24"/>
          <w:color w:val="auto"/>
        </w:rPr>
      </w:pPr>
    </w:p>
    <w:p>
      <w:pPr>
        <w:jc w:val="center"/>
        <w:ind w:right="1120"/>
        <w:spacing w:after="0"/>
        <w:rPr>
          <w:sz w:val="20"/>
          <w:szCs w:val="20"/>
          <w:color w:val="auto"/>
        </w:rPr>
      </w:pPr>
      <w:r>
        <w:rPr>
          <w:rFonts w:ascii="Arial" w:cs="Arial" w:eastAsia="Arial" w:hAnsi="Arial"/>
          <w:sz w:val="17"/>
          <w:szCs w:val="17"/>
          <w:color w:val="auto"/>
        </w:rPr>
        <w:t>Identification No.)</w:t>
      </w:r>
    </w:p>
    <w:p>
      <w:pPr>
        <w:spacing w:after="0" w:line="200" w:lineRule="exact"/>
        <w:rPr>
          <w:sz w:val="24"/>
          <w:szCs w:val="24"/>
          <w:color w:val="auto"/>
        </w:rPr>
      </w:pPr>
    </w:p>
    <w:p>
      <w:pPr>
        <w:sectPr>
          <w:pgSz w:w="11900" w:h="16838" w:orient="portrait"/>
          <w:cols w:equalWidth="0" w:num="3">
            <w:col w:w="4020" w:space="720"/>
            <w:col w:w="3480" w:space="720"/>
            <w:col w:w="2460"/>
          </w:cols>
          <w:pgMar w:left="240" w:top="530" w:right="259" w:bottom="0" w:gutter="0" w:footer="0" w:header="0"/>
          <w:type w:val="continuous"/>
        </w:sectPr>
      </w:pPr>
    </w:p>
    <w:p>
      <w:pPr>
        <w:spacing w:after="0" w:line="18"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Bermuda</w:t>
      </w:r>
    </w:p>
    <w:p>
      <w:pPr>
        <w:spacing w:after="0" w:line="9" w:lineRule="exact"/>
        <w:rPr>
          <w:sz w:val="24"/>
          <w:szCs w:val="24"/>
          <w:color w:val="auto"/>
        </w:rPr>
      </w:pPr>
    </w:p>
    <w:p>
      <w:pPr>
        <w:jc w:val="center"/>
        <w:ind w:right="-19"/>
        <w:spacing w:after="0"/>
        <w:rPr>
          <w:sz w:val="20"/>
          <w:szCs w:val="20"/>
          <w:color w:val="auto"/>
        </w:rPr>
      </w:pPr>
      <w:r>
        <w:rPr>
          <w:rFonts w:ascii="Arial" w:cs="Arial" w:eastAsia="Arial" w:hAnsi="Arial"/>
          <w:sz w:val="16"/>
          <w:szCs w:val="16"/>
          <w:color w:val="auto"/>
        </w:rPr>
        <w:t>(Address of principal executive offices)</w:t>
      </w:r>
    </w:p>
    <w:p>
      <w:pPr>
        <w:spacing w:after="0" w:line="230"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(441) 296-6395</w:t>
      </w:r>
    </w:p>
    <w:p>
      <w:pPr>
        <w:spacing w:after="0" w:line="27" w:lineRule="exact"/>
        <w:rPr>
          <w:sz w:val="24"/>
          <w:szCs w:val="24"/>
          <w:color w:val="auto"/>
        </w:rPr>
      </w:pPr>
    </w:p>
    <w:p>
      <w:pPr>
        <w:jc w:val="center"/>
        <w:ind w:right="-19"/>
        <w:spacing w:after="0"/>
        <w:rPr>
          <w:sz w:val="20"/>
          <w:szCs w:val="20"/>
          <w:color w:val="auto"/>
        </w:rPr>
      </w:pPr>
      <w:r>
        <w:rPr>
          <w:rFonts w:ascii="Arial" w:cs="Arial" w:eastAsia="Arial" w:hAnsi="Arial"/>
          <w:sz w:val="18"/>
          <w:szCs w:val="18"/>
          <w:color w:val="auto"/>
        </w:rPr>
        <w:t>(Registrant’s telephone number,</w:t>
      </w:r>
    </w:p>
    <w:p>
      <w:pPr>
        <w:spacing w:after="0" w:line="9" w:lineRule="exact"/>
        <w:rPr>
          <w:sz w:val="24"/>
          <w:szCs w:val="24"/>
          <w:color w:val="auto"/>
        </w:rPr>
      </w:pPr>
    </w:p>
    <w:p>
      <w:pPr>
        <w:jc w:val="center"/>
        <w:ind w:right="-19"/>
        <w:spacing w:after="0"/>
        <w:rPr>
          <w:sz w:val="20"/>
          <w:szCs w:val="20"/>
          <w:color w:val="auto"/>
        </w:rPr>
      </w:pPr>
      <w:r>
        <w:rPr>
          <w:rFonts w:ascii="Arial" w:cs="Arial" w:eastAsia="Arial" w:hAnsi="Arial"/>
          <w:sz w:val="18"/>
          <w:szCs w:val="18"/>
          <w:color w:val="auto"/>
        </w:rPr>
        <w:t>including area code)</w:t>
      </w:r>
    </w:p>
    <w:p>
      <w:pPr>
        <w:sectPr>
          <w:pgSz w:w="11900" w:h="16838" w:orient="portrait"/>
          <w:cols w:equalWidth="0" w:num="1">
            <w:col w:w="11400"/>
          </w:cols>
          <w:pgMar w:left="240" w:top="530" w:right="259" w:bottom="0" w:gutter="0" w:footer="0" w:header="0"/>
          <w:type w:val="continuous"/>
        </w:sectPr>
      </w:pPr>
    </w:p>
    <w:p>
      <w:pPr>
        <w:spacing w:after="0" w:line="207"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N/A</w:t>
      </w:r>
    </w:p>
    <w:p>
      <w:pPr>
        <w:spacing w:after="0" w:line="27" w:lineRule="exact"/>
        <w:rPr>
          <w:sz w:val="24"/>
          <w:szCs w:val="24"/>
          <w:color w:val="auto"/>
        </w:rPr>
      </w:pPr>
    </w:p>
    <w:p>
      <w:pPr>
        <w:jc w:val="center"/>
        <w:ind w:right="-19"/>
        <w:spacing w:after="0"/>
        <w:rPr>
          <w:sz w:val="20"/>
          <w:szCs w:val="20"/>
          <w:color w:val="auto"/>
        </w:rPr>
      </w:pPr>
      <w:r>
        <w:rPr>
          <w:rFonts w:ascii="Arial" w:cs="Arial" w:eastAsia="Arial" w:hAnsi="Arial"/>
          <w:sz w:val="18"/>
          <w:szCs w:val="18"/>
          <w:color w:val="auto"/>
        </w:rPr>
        <w:t>(Former name or former address, if changed since last report.)</w:t>
      </w:r>
    </w:p>
    <w:p>
      <w:pPr>
        <w:spacing w:after="0" w:line="211" w:lineRule="exact"/>
        <w:rPr>
          <w:sz w:val="24"/>
          <w:szCs w:val="24"/>
          <w:color w:val="auto"/>
        </w:rPr>
      </w:pPr>
    </w:p>
    <w:p>
      <w:pPr>
        <w:ind w:right="20"/>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170" w:lineRule="exact"/>
        <w:rPr>
          <w:sz w:val="24"/>
          <w:szCs w:val="24"/>
          <w:color w:val="auto"/>
        </w:rPr>
      </w:pPr>
    </w:p>
    <w:p>
      <w:pPr>
        <w:spacing w:after="0"/>
        <w:rPr>
          <w:sz w:val="20"/>
          <w:szCs w:val="20"/>
          <w:color w:val="auto"/>
        </w:rPr>
      </w:pPr>
      <w:r>
        <w:rPr>
          <w:rFonts w:ascii="Arial" w:cs="Arial" w:eastAsia="Arial" w:hAnsi="Arial"/>
          <w:sz w:val="18"/>
          <w:szCs w:val="18"/>
          <w:color w:val="auto"/>
        </w:rPr>
        <w:t>o Written communications pursuant to Rule 425 under the Securities Act (17 CFR 230.425)</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o Soliciting material pursuant to Rule 14a-12 under the Exchange Act (17 CFR 240.14a-12)</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o Pre-commencement communications pursuant to Rule 14d-2(b) under the Exchange Act (17 CFR 240.14d-2(b))</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o 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152400</wp:posOffset>
            </wp:positionV>
            <wp:extent cx="7246620" cy="2603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194945</wp:posOffset>
            </wp:positionV>
            <wp:extent cx="7246620" cy="2603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424180</wp:posOffset>
            </wp:positionV>
            <wp:extent cx="7267575" cy="298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41" w:lineRule="exact"/>
        <w:rPr>
          <w:sz w:val="24"/>
          <w:szCs w:val="24"/>
          <w:color w:val="auto"/>
        </w:rPr>
      </w:pPr>
    </w:p>
    <w:p>
      <w:pPr>
        <w:spacing w:after="0"/>
        <w:tabs>
          <w:tab w:leader="none" w:pos="1380" w:val="left"/>
        </w:tabs>
        <w:rPr>
          <w:sz w:val="20"/>
          <w:szCs w:val="20"/>
          <w:color w:val="auto"/>
        </w:rPr>
      </w:pPr>
      <w:r>
        <w:rPr>
          <w:rFonts w:ascii="Arial" w:cs="Arial" w:eastAsia="Arial" w:hAnsi="Arial"/>
          <w:sz w:val="18"/>
          <w:szCs w:val="18"/>
          <w:b w:val="1"/>
          <w:bCs w:val="1"/>
          <w:color w:val="auto"/>
        </w:rPr>
        <w:t>Item 8.01</w:t>
      </w:r>
      <w:r>
        <w:rPr>
          <w:sz w:val="20"/>
          <w:szCs w:val="20"/>
          <w:color w:val="auto"/>
        </w:rPr>
        <w:tab/>
      </w:r>
      <w:r>
        <w:rPr>
          <w:rFonts w:ascii="Arial" w:cs="Arial" w:eastAsia="Arial" w:hAnsi="Arial"/>
          <w:sz w:val="16"/>
          <w:szCs w:val="16"/>
          <w:b w:val="1"/>
          <w:bCs w:val="1"/>
          <w:color w:val="auto"/>
        </w:rPr>
        <w:t>Other Events.</w:t>
      </w:r>
    </w:p>
    <w:p>
      <w:pPr>
        <w:spacing w:after="0" w:line="229" w:lineRule="exact"/>
        <w:rPr>
          <w:sz w:val="24"/>
          <w:szCs w:val="24"/>
          <w:color w:val="auto"/>
        </w:rPr>
      </w:pPr>
    </w:p>
    <w:p>
      <w:pPr>
        <w:ind w:right="240" w:firstLine="720"/>
        <w:spacing w:after="0" w:line="259" w:lineRule="auto"/>
        <w:rPr>
          <w:sz w:val="20"/>
          <w:szCs w:val="20"/>
          <w:color w:val="auto"/>
        </w:rPr>
      </w:pPr>
      <w:r>
        <w:rPr>
          <w:rFonts w:ascii="Arial" w:cs="Arial" w:eastAsia="Arial" w:hAnsi="Arial"/>
          <w:sz w:val="18"/>
          <w:szCs w:val="18"/>
          <w:color w:val="auto"/>
        </w:rPr>
        <w:t>Marvell Technology Group Limited (the “Company”) has received a letter of informal inquiry from the Securities and Exchange Commission requesting certain documents relating to the Company’s stock option grants and practices. The Company has also received a grand jury subpoena from the office of the United States Attorney for the Northern District of California requesting substantially similar documents. The Company intends to cooperate fully with both requests.</w:t>
      </w:r>
    </w:p>
    <w:p>
      <w:pPr>
        <w:spacing w:after="0" w:line="187" w:lineRule="exact"/>
        <w:rPr>
          <w:sz w:val="24"/>
          <w:szCs w:val="24"/>
          <w:color w:val="auto"/>
        </w:rPr>
      </w:pPr>
    </w:p>
    <w:p>
      <w:pPr>
        <w:ind w:firstLine="720"/>
        <w:spacing w:after="0" w:line="277" w:lineRule="auto"/>
        <w:rPr>
          <w:sz w:val="20"/>
          <w:szCs w:val="20"/>
          <w:color w:val="auto"/>
        </w:rPr>
      </w:pPr>
      <w:r>
        <w:rPr>
          <w:rFonts w:ascii="Arial" w:cs="Arial" w:eastAsia="Arial" w:hAnsi="Arial"/>
          <w:sz w:val="18"/>
          <w:szCs w:val="18"/>
          <w:color w:val="auto"/>
        </w:rPr>
        <w:t>At the direction of the Company’s Board of Directors, a special committee of the Board has commenced an internal review, assisted by outside legal counsel, relating to past stock option grants, the timing of such grants and related accounting matters.</w:t>
      </w:r>
    </w:p>
    <w:p>
      <w:pPr>
        <w:spacing w:after="0" w:line="170" w:lineRule="exact"/>
        <w:rPr>
          <w:sz w:val="24"/>
          <w:szCs w:val="24"/>
          <w:color w:val="auto"/>
        </w:rPr>
      </w:pPr>
    </w:p>
    <w:p>
      <w:pPr>
        <w:ind w:right="120" w:firstLine="720"/>
        <w:spacing w:after="0" w:line="257" w:lineRule="auto"/>
        <w:rPr>
          <w:sz w:val="20"/>
          <w:szCs w:val="20"/>
          <w:color w:val="auto"/>
        </w:rPr>
      </w:pPr>
      <w:r>
        <w:rPr>
          <w:rFonts w:ascii="Arial" w:cs="Arial" w:eastAsia="Arial" w:hAnsi="Arial"/>
          <w:sz w:val="18"/>
          <w:szCs w:val="18"/>
          <w:color w:val="auto"/>
        </w:rPr>
        <w:t>The Company also announced that a purported shareholder derivative action was filed in the United States District Court for the Northern District of California. This lawsuit names the Company as a nominal defendant and a number of the Company’s current and former directors and officers as defendants. The lawsuit seeks to recover damages purportedly sustained by the Company in connection with its option granting processes, and seeks certain corporate governance and internal control changes. The Company does not intend to file additional current reports on Form 8-K describing future, similar lawsuits, if any, that may be filed against the Company or its personnel.</w:t>
      </w:r>
    </w:p>
    <w:p>
      <w:pPr>
        <w:spacing w:after="0" w:line="200" w:lineRule="exact"/>
        <w:rPr>
          <w:sz w:val="24"/>
          <w:szCs w:val="24"/>
          <w:color w:val="auto"/>
        </w:rPr>
      </w:pPr>
    </w:p>
    <w:p>
      <w:pPr>
        <w:spacing w:after="0" w:line="204" w:lineRule="exact"/>
        <w:rPr>
          <w:sz w:val="24"/>
          <w:szCs w:val="24"/>
          <w:color w:val="auto"/>
        </w:rPr>
      </w:pPr>
    </w:p>
    <w:p>
      <w:pPr>
        <w:jc w:val="center"/>
        <w:ind w:right="-19"/>
        <w:spacing w:after="0"/>
        <w:rPr>
          <w:sz w:val="20"/>
          <w:szCs w:val="20"/>
          <w:color w:val="auto"/>
        </w:rPr>
      </w:pPr>
      <w:r>
        <w:rPr>
          <w:rFonts w:ascii="Arial" w:cs="Arial" w:eastAsia="Arial" w:hAnsi="Arial"/>
          <w:sz w:val="18"/>
          <w:szCs w:val="18"/>
          <w:color w:val="auto"/>
        </w:rPr>
        <w:t>2</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301"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SIGNATURE</w:t>
      </w:r>
    </w:p>
    <w:p>
      <w:pPr>
        <w:sectPr>
          <w:pgSz w:w="11900" w:h="16838" w:orient="portrait"/>
          <w:cols w:equalWidth="0" w:num="1">
            <w:col w:w="11400"/>
          </w:cols>
          <w:pgMar w:left="240" w:top="530" w:right="259" w:bottom="0" w:gutter="0" w:footer="0" w:header="0"/>
          <w:type w:val="continuous"/>
        </w:sectPr>
      </w:pPr>
    </w:p>
    <w:bookmarkStart w:id="1" w:name="page2"/>
    <w:bookmarkEnd w:id="1"/>
    <w:p>
      <w:pPr>
        <w:ind w:firstLine="648"/>
        <w:spacing w:after="0" w:line="277" w:lineRule="auto"/>
        <w:rPr>
          <w:sz w:val="20"/>
          <w:szCs w:val="20"/>
          <w:color w:val="auto"/>
        </w:rPr>
      </w:pPr>
      <w:r>
        <w:rPr>
          <w:rFonts w:ascii="Arial" w:cs="Arial" w:eastAsia="Arial" w:hAnsi="Arial"/>
          <w:sz w:val="18"/>
          <w:szCs w:val="18"/>
          <w:color w:val="auto"/>
        </w:rPr>
        <w:t>Pursuant to the requirements of the Securities Exchange Act of 1934, the registrant has duly caused this report to be signed on its behalf by the undersigned hereunto duly authorized.</w:t>
      </w:r>
    </w:p>
    <w:p>
      <w:pPr>
        <w:spacing w:after="0" w:line="170" w:lineRule="exact"/>
        <w:rPr>
          <w:sz w:val="20"/>
          <w:szCs w:val="20"/>
          <w:color w:val="auto"/>
        </w:rPr>
      </w:pPr>
    </w:p>
    <w:p>
      <w:pPr>
        <w:ind w:left="660"/>
        <w:spacing w:after="0"/>
        <w:rPr>
          <w:sz w:val="20"/>
          <w:szCs w:val="20"/>
          <w:color w:val="auto"/>
        </w:rPr>
      </w:pPr>
      <w:r>
        <w:rPr>
          <w:rFonts w:ascii="Arial" w:cs="Arial" w:eastAsia="Arial" w:hAnsi="Arial"/>
          <w:sz w:val="18"/>
          <w:szCs w:val="18"/>
          <w:color w:val="auto"/>
        </w:rPr>
        <w:t>Dated: July 3, 2006</w:t>
      </w:r>
    </w:p>
    <w:p>
      <w:pPr>
        <w:spacing w:after="0" w:line="225" w:lineRule="exact"/>
        <w:rPr>
          <w:sz w:val="20"/>
          <w:szCs w:val="20"/>
          <w:color w:val="auto"/>
        </w:rPr>
      </w:pPr>
    </w:p>
    <w:p>
      <w:pPr>
        <w:ind w:left="382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3820"/>
        <w:spacing w:after="0"/>
        <w:tabs>
          <w:tab w:leader="none" w:pos="4260" w:val="left"/>
        </w:tabs>
        <w:rPr>
          <w:sz w:val="20"/>
          <w:szCs w:val="20"/>
          <w:color w:val="auto"/>
        </w:rPr>
      </w:pPr>
      <w:r>
        <w:rPr>
          <w:rFonts w:ascii="Arial" w:cs="Arial" w:eastAsia="Arial" w:hAnsi="Arial"/>
          <w:sz w:val="18"/>
          <w:szCs w:val="18"/>
          <w:color w:val="auto"/>
        </w:rPr>
        <w:t>By:</w:t>
        <w:tab/>
        <w:t>/s/ George A. Hervey</w:t>
      </w:r>
    </w:p>
    <w:p>
      <w:pPr>
        <w:spacing w:after="0" w:line="23" w:lineRule="exact"/>
        <w:rPr>
          <w:sz w:val="20"/>
          <w:szCs w:val="20"/>
          <w:color w:val="auto"/>
        </w:rPr>
      </w:pPr>
    </w:p>
    <w:p>
      <w:pPr>
        <w:jc w:val="center"/>
        <w:ind w:left="2800"/>
        <w:spacing w:after="0"/>
        <w:rPr>
          <w:sz w:val="20"/>
          <w:szCs w:val="20"/>
          <w:color w:val="auto"/>
        </w:rPr>
      </w:pPr>
      <w:r>
        <w:rPr>
          <w:rFonts w:ascii="Arial" w:cs="Arial" w:eastAsia="Arial" w:hAnsi="Arial"/>
          <w:sz w:val="18"/>
          <w:szCs w:val="18"/>
          <w:color w:val="auto"/>
        </w:rPr>
        <w:t>George A. Hervey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2706370</wp:posOffset>
            </wp:positionH>
            <wp:positionV relativeFrom="paragraph">
              <wp:posOffset>-130810</wp:posOffset>
            </wp:positionV>
            <wp:extent cx="361061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3610610" cy="8890"/>
                    </a:xfrm>
                    <a:prstGeom prst="rect">
                      <a:avLst/>
                    </a:prstGeom>
                    <a:noFill/>
                  </pic:spPr>
                </pic:pic>
              </a:graphicData>
            </a:graphic>
          </wp:anchor>
        </w:drawing>
      </w:r>
    </w:p>
    <w:p>
      <w:pPr>
        <w:spacing w:after="0" w:line="3" w:lineRule="exact"/>
        <w:rPr>
          <w:sz w:val="20"/>
          <w:szCs w:val="20"/>
          <w:color w:val="auto"/>
        </w:rPr>
      </w:pPr>
    </w:p>
    <w:p>
      <w:pPr>
        <w:jc w:val="center"/>
        <w:ind w:left="2800"/>
        <w:spacing w:after="0"/>
        <w:rPr>
          <w:sz w:val="20"/>
          <w:szCs w:val="20"/>
          <w:color w:val="auto"/>
        </w:rPr>
      </w:pPr>
      <w:r>
        <w:rPr>
          <w:rFonts w:ascii="Arial" w:cs="Arial" w:eastAsia="Arial" w:hAnsi="Arial"/>
          <w:sz w:val="18"/>
          <w:szCs w:val="18"/>
          <w:color w:val="auto"/>
        </w:rPr>
        <w:t>Vice President of Finance and</w:t>
      </w:r>
    </w:p>
    <w:p>
      <w:pPr>
        <w:spacing w:after="0" w:line="9" w:lineRule="exact"/>
        <w:rPr>
          <w:sz w:val="20"/>
          <w:szCs w:val="20"/>
          <w:color w:val="auto"/>
        </w:rPr>
      </w:pPr>
    </w:p>
    <w:p>
      <w:pPr>
        <w:jc w:val="center"/>
        <w:ind w:left="2800"/>
        <w:spacing w:after="0"/>
        <w:rPr>
          <w:sz w:val="20"/>
          <w:szCs w:val="20"/>
          <w:color w:val="auto"/>
        </w:rPr>
      </w:pPr>
      <w:r>
        <w:rPr>
          <w:rFonts w:ascii="Arial" w:cs="Arial" w:eastAsia="Arial" w:hAnsi="Arial"/>
          <w:sz w:val="18"/>
          <w:szCs w:val="18"/>
          <w:color w:val="auto"/>
        </w:rPr>
        <w:t>Chief Financial Officer</w:t>
      </w:r>
    </w:p>
    <w:p>
      <w:pPr>
        <w:spacing w:after="0" w:line="200" w:lineRule="exact"/>
        <w:rPr>
          <w:sz w:val="20"/>
          <w:szCs w:val="20"/>
          <w:color w:val="auto"/>
        </w:rPr>
      </w:pPr>
    </w:p>
    <w:p>
      <w:pPr>
        <w:spacing w:after="0" w:line="227" w:lineRule="exact"/>
        <w:rPr>
          <w:sz w:val="20"/>
          <w:szCs w:val="20"/>
          <w:color w:val="auto"/>
        </w:rPr>
      </w:pPr>
    </w:p>
    <w:p>
      <w:pPr>
        <w:jc w:val="center"/>
        <w:ind w:right="-499"/>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sectPr>
      <w:pgSz w:w="11900" w:h="16838" w:orient="portrait"/>
      <w:cols w:equalWidth="0" w:num="1">
        <w:col w:w="10940"/>
      </w:cols>
      <w:pgMar w:left="240" w:top="341" w:right="71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2019-12-14T19:23:10Z</dcterms:created>
  <dcterms:modified xsi:type="dcterms:W3CDTF">2019-12-14T19:23:10Z</dcterms:modified>
</cp:coreProperties>
</file>