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 of the</w:t>
      </w: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5"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Date of Report (Date of Earliest Event Reported): November 16, 2006</w:t>
      </w:r>
    </w:p>
    <w:p>
      <w:pPr>
        <w:spacing w:after="0" w:line="198"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747" w:right="279" w:bottom="0" w:gutter="0" w:footer="0" w:header="0"/>
        </w:sectPr>
      </w:pPr>
    </w:p>
    <w:p>
      <w:pPr>
        <w:spacing w:after="0" w:line="205" w:lineRule="exact"/>
        <w:rPr>
          <w:sz w:val="24"/>
          <w:szCs w:val="24"/>
          <w:color w:val="auto"/>
        </w:rPr>
      </w:pPr>
    </w:p>
    <w:p>
      <w:pPr>
        <w:jc w:val="center"/>
        <w:ind w:right="3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6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00" w:space="720"/>
            <w:col w:w="3500" w:space="720"/>
            <w:col w:w="2440"/>
          </w:cols>
          <w:pgMar w:left="240" w:top="747" w:right="279" w:bottom="0" w:gutter="0" w:footer="0" w:header="0"/>
          <w:type w:val="continuous"/>
        </w:sectPr>
      </w:pPr>
    </w:p>
    <w:p>
      <w:pPr>
        <w:spacing w:after="0" w:line="7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(Address of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3613785</wp:posOffset>
            </wp:positionH>
            <wp:positionV relativeFrom="paragraph">
              <wp:posOffset>117475</wp:posOffset>
            </wp:positionV>
            <wp:extent cx="285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8575" cy="8890"/>
                    </a:xfrm>
                    <a:prstGeom prst="rect">
                      <a:avLst/>
                    </a:prstGeom>
                    <a:noFill/>
                  </pic:spPr>
                </pic:pic>
              </a:graphicData>
            </a:graphic>
          </wp:anchor>
        </w:drawing>
      </w:r>
    </w:p>
    <w:p>
      <w:pPr>
        <w:spacing w:after="0" w:line="18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(Registrant’s telephone number, including area code)</w:t>
      </w:r>
    </w:p>
    <w:p>
      <w:pPr>
        <w:sectPr>
          <w:pgSz w:w="11900" w:h="16838" w:orient="portrait"/>
          <w:cols w:equalWidth="0" w:num="1">
            <w:col w:w="11380"/>
          </w:cols>
          <w:pgMar w:left="240" w:top="747" w:right="279" w:bottom="0" w:gutter="0" w:footer="0" w:header="0"/>
          <w:type w:val="continuous"/>
        </w:sectPr>
      </w:pPr>
    </w:p>
    <w:p>
      <w:pPr>
        <w:spacing w:after="0" w:line="23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426720</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469265</wp:posOffset>
            </wp:positionV>
            <wp:extent cx="7246620"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716280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4"/>
          <w:szCs w:val="24"/>
          <w:color w:val="auto"/>
        </w:rPr>
      </w:pPr>
    </w:p>
    <w:p>
      <w:pPr>
        <w:ind w:right="60" w:firstLine="648"/>
        <w:spacing w:after="0" w:line="312" w:lineRule="auto"/>
        <w:rPr>
          <w:sz w:val="20"/>
          <w:szCs w:val="20"/>
          <w:color w:val="auto"/>
        </w:rPr>
      </w:pPr>
      <w:r>
        <w:rPr>
          <w:rFonts w:ascii="Arial" w:cs="Arial" w:eastAsia="Arial" w:hAnsi="Arial"/>
          <w:sz w:val="16"/>
          <w:szCs w:val="16"/>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47" w:lineRule="exact"/>
        <w:rPr>
          <w:sz w:val="24"/>
          <w:szCs w:val="24"/>
          <w:color w:val="auto"/>
        </w:rPr>
      </w:pPr>
    </w:p>
    <w:p>
      <w:pPr>
        <w:ind w:right="220" w:firstLine="648"/>
        <w:spacing w:after="0" w:line="277" w:lineRule="auto"/>
        <w:rPr>
          <w:sz w:val="20"/>
          <w:szCs w:val="20"/>
          <w:color w:val="auto"/>
        </w:rPr>
      </w:pPr>
      <w:r>
        <w:rPr>
          <w:rFonts w:ascii="Arial" w:cs="Arial" w:eastAsia="Arial" w:hAnsi="Arial"/>
          <w:sz w:val="18"/>
          <w:szCs w:val="18"/>
          <w:color w:val="auto"/>
        </w:rPr>
        <w:t>On November 16, 2006, Marvell Technology Group Ltd. (“Marvell”) issued a press release regarding its revenue results for its third fiscal quarter ended October 28, 2006. The full text of Marvell’s press release is furnished herewith as Exhibit 99.1.</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00" w:lineRule="exact"/>
        <w:rPr>
          <w:sz w:val="24"/>
          <w:szCs w:val="24"/>
          <w:color w:val="auto"/>
        </w:rPr>
      </w:pPr>
    </w:p>
    <w:p>
      <w:pPr>
        <w:spacing w:after="0" w:line="241" w:lineRule="exact"/>
        <w:rPr>
          <w:sz w:val="24"/>
          <w:szCs w:val="24"/>
          <w:color w:val="auto"/>
        </w:rPr>
      </w:pPr>
    </w:p>
    <w:p>
      <w:pPr>
        <w:ind w:left="660"/>
        <w:spacing w:after="0"/>
        <w:rPr>
          <w:sz w:val="20"/>
          <w:szCs w:val="20"/>
          <w:color w:val="auto"/>
        </w:rPr>
      </w:pPr>
      <w:r>
        <w:rPr>
          <w:rFonts w:ascii="Arial" w:cs="Arial" w:eastAsia="Arial" w:hAnsi="Arial"/>
          <w:sz w:val="18"/>
          <w:szCs w:val="18"/>
          <w:b w:val="1"/>
          <w:bCs w:val="1"/>
          <w:color w:val="auto"/>
        </w:rPr>
        <w:t>(d) Exhibits</w:t>
      </w:r>
    </w:p>
    <w:p>
      <w:pPr>
        <w:spacing w:after="0" w:line="207" w:lineRule="exact"/>
        <w:rPr>
          <w:sz w:val="24"/>
          <w:szCs w:val="24"/>
          <w:color w:val="auto"/>
        </w:rPr>
      </w:pPr>
    </w:p>
    <w:p>
      <w:pPr>
        <w:ind w:left="1860"/>
        <w:spacing w:after="0"/>
        <w:tabs>
          <w:tab w:leader="none" w:pos="2780" w:val="left"/>
        </w:tabs>
        <w:rPr>
          <w:sz w:val="20"/>
          <w:szCs w:val="20"/>
          <w:color w:val="auto"/>
        </w:rPr>
      </w:pPr>
      <w:r>
        <w:rPr>
          <w:rFonts w:ascii="Arial" w:cs="Arial" w:eastAsia="Arial" w:hAnsi="Arial"/>
          <w:sz w:val="14"/>
          <w:szCs w:val="14"/>
          <w:b w:val="1"/>
          <w:bCs w:val="1"/>
          <w:u w:val="single" w:color="auto"/>
          <w:color w:val="auto"/>
        </w:rPr>
        <w:t>Exhibit No.</w:t>
      </w:r>
      <w:r>
        <w:rPr>
          <w:sz w:val="20"/>
          <w:szCs w:val="20"/>
          <w:color w:val="auto"/>
        </w:rPr>
        <w:tab/>
      </w:r>
      <w:r>
        <w:rPr>
          <w:rFonts w:ascii="Arial" w:cs="Arial" w:eastAsia="Arial" w:hAnsi="Arial"/>
          <w:sz w:val="12"/>
          <w:szCs w:val="12"/>
          <w:b w:val="1"/>
          <w:bCs w:val="1"/>
          <w:color w:val="auto"/>
        </w:rPr>
        <w:t>Description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1780540</wp:posOffset>
            </wp:positionH>
            <wp:positionV relativeFrom="paragraph">
              <wp:posOffset>6350</wp:posOffset>
            </wp:positionV>
            <wp:extent cx="425386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253865" cy="8890"/>
                    </a:xfrm>
                    <a:prstGeom prst="rect">
                      <a:avLst/>
                    </a:prstGeom>
                    <a:noFill/>
                  </pic:spPr>
                </pic:pic>
              </a:graphicData>
            </a:graphic>
          </wp:anchor>
        </w:drawing>
      </w:r>
    </w:p>
    <w:p>
      <w:pPr>
        <w:spacing w:after="0" w:line="206" w:lineRule="exact"/>
        <w:rPr>
          <w:sz w:val="24"/>
          <w:szCs w:val="24"/>
          <w:color w:val="auto"/>
        </w:rPr>
      </w:pPr>
    </w:p>
    <w:p>
      <w:pPr>
        <w:ind w:left="2060"/>
        <w:spacing w:after="0"/>
        <w:tabs>
          <w:tab w:leader="none" w:pos="27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16, 2006.</w:t>
      </w:r>
    </w:p>
    <w:p>
      <w:pPr>
        <w:spacing w:after="0" w:line="200" w:lineRule="exact"/>
        <w:rPr>
          <w:sz w:val="24"/>
          <w:szCs w:val="24"/>
          <w:color w:val="auto"/>
        </w:rPr>
      </w:pPr>
    </w:p>
    <w:p>
      <w:pPr>
        <w:spacing w:after="0" w:line="200" w:lineRule="exact"/>
        <w:rPr>
          <w:sz w:val="24"/>
          <w:szCs w:val="24"/>
          <w:color w:val="auto"/>
        </w:rPr>
      </w:pPr>
    </w:p>
    <w:p>
      <w:pPr>
        <w:spacing w:after="0" w:line="25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235585</wp:posOffset>
            </wp:positionV>
            <wp:extent cx="7263765" cy="4763"/>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3765" cy="4763"/>
                    </a:xfrm>
                    <a:prstGeom prst="rect">
                      <a:avLst/>
                    </a:prstGeom>
                    <a:noFill/>
                  </pic:spPr>
                </pic:pic>
              </a:graphicData>
            </a:graphic>
          </wp:anchor>
        </w:drawing>
      </w:r>
    </w:p>
    <w:p>
      <w:pPr>
        <w:sectPr>
          <w:pgSz w:w="11900" w:h="16838" w:orient="portrait"/>
          <w:cols w:equalWidth="0" w:num="1">
            <w:col w:w="11380"/>
          </w:cols>
          <w:pgMar w:left="240" w:top="747" w:right="279" w:bottom="0" w:gutter="0" w:footer="0" w:header="0"/>
          <w:type w:val="continuous"/>
        </w:sectPr>
      </w:pPr>
    </w:p>
    <w:bookmarkStart w:id="1" w:name="page2"/>
    <w:bookmarkEnd w:id="1"/>
    <w:p>
      <w:pPr>
        <w:jc w:val="center"/>
        <w:ind w:right="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190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19050"/>
                    </a:xfrm>
                    <a:prstGeom prst="rect">
                      <a:avLst/>
                    </a:prstGeom>
                    <a:noFill/>
                  </pic:spPr>
                </pic:pic>
              </a:graphicData>
            </a:graphic>
          </wp:anchor>
        </w:drawing>
        <w:t>SIGNATURE</w:t>
      </w:r>
    </w:p>
    <w:p>
      <w:pPr>
        <w:spacing w:after="0" w:line="229" w:lineRule="exact"/>
        <w:rPr>
          <w:sz w:val="20"/>
          <w:szCs w:val="20"/>
          <w:color w:val="auto"/>
        </w:rPr>
      </w:pPr>
    </w:p>
    <w:p>
      <w:pPr>
        <w:ind w:right="5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November 16, 2006</w:t>
      </w:r>
    </w:p>
    <w:p>
      <w:pPr>
        <w:spacing w:after="0" w:line="225" w:lineRule="exact"/>
        <w:rPr>
          <w:sz w:val="20"/>
          <w:szCs w:val="20"/>
          <w:color w:val="auto"/>
        </w:rPr>
      </w:pPr>
    </w:p>
    <w:p>
      <w:pPr>
        <w:ind w:left="50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020" w:type="dxa"/>
            <w:vAlign w:val="bottom"/>
          </w:tcPr>
          <w:p>
            <w:pPr>
              <w:spacing w:after="0"/>
              <w:rPr>
                <w:sz w:val="20"/>
                <w:szCs w:val="20"/>
                <w:color w:val="auto"/>
              </w:rPr>
            </w:pPr>
          </w:p>
        </w:tc>
        <w:tc>
          <w:tcPr>
            <w:tcW w:w="1400" w:type="dxa"/>
            <w:vAlign w:val="bottom"/>
            <w:gridSpan w:val="2"/>
          </w:tcPr>
          <w:p>
            <w:pPr>
              <w:ind w:left="60"/>
              <w:spacing w:after="0"/>
              <w:rPr>
                <w:sz w:val="20"/>
                <w:szCs w:val="20"/>
                <w:color w:val="auto"/>
              </w:rPr>
            </w:pPr>
            <w:r>
              <w:rPr>
                <w:rFonts w:ascii="Arial" w:cs="Arial" w:eastAsia="Arial" w:hAnsi="Arial"/>
                <w:sz w:val="18"/>
                <w:szCs w:val="18"/>
                <w:color w:val="auto"/>
              </w:rPr>
              <w:t>By:</w:t>
            </w:r>
          </w:p>
        </w:tc>
        <w:tc>
          <w:tcPr>
            <w:tcW w:w="5000" w:type="dxa"/>
            <w:vAlign w:val="bottom"/>
          </w:tcPr>
          <w:p>
            <w:pPr>
              <w:jc w:val="center"/>
              <w:ind w:right="770"/>
              <w:spacing w:after="0"/>
              <w:rPr>
                <w:sz w:val="20"/>
                <w:szCs w:val="20"/>
                <w:color w:val="auto"/>
              </w:rPr>
            </w:pPr>
            <w:r>
              <w:rPr>
                <w:rFonts w:ascii="Arial" w:cs="Arial" w:eastAsia="Arial" w:hAnsi="Arial"/>
                <w:sz w:val="18"/>
                <w:szCs w:val="18"/>
                <w:color w:val="auto"/>
                <w:w w:val="91"/>
              </w:rPr>
              <w:t>/s/ George A. Hervey</w:t>
            </w:r>
          </w:p>
        </w:tc>
        <w:tc>
          <w:tcPr>
            <w:tcW w:w="40" w:type="dxa"/>
            <w:vAlign w:val="bottom"/>
          </w:tcPr>
          <w:p>
            <w:pPr>
              <w:spacing w:after="0"/>
              <w:rPr>
                <w:sz w:val="20"/>
                <w:szCs w:val="20"/>
                <w:color w:val="auto"/>
              </w:rPr>
            </w:pPr>
          </w:p>
        </w:tc>
      </w:tr>
      <w:tr>
        <w:trPr>
          <w:trHeight w:val="195"/>
        </w:trPr>
        <w:tc>
          <w:tcPr>
            <w:tcW w:w="50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40" w:type="dxa"/>
            <w:vAlign w:val="bottom"/>
            <w:tcBorders>
              <w:top w:val="single" w:sz="8" w:color="auto"/>
            </w:tcBorders>
          </w:tcPr>
          <w:p>
            <w:pPr>
              <w:spacing w:after="0"/>
              <w:rPr>
                <w:sz w:val="16"/>
                <w:szCs w:val="16"/>
                <w:color w:val="auto"/>
              </w:rPr>
            </w:pPr>
          </w:p>
        </w:tc>
        <w:tc>
          <w:tcPr>
            <w:tcW w:w="5000" w:type="dxa"/>
            <w:vAlign w:val="bottom"/>
            <w:tcBorders>
              <w:top w:val="single" w:sz="8" w:color="auto"/>
            </w:tcBorders>
          </w:tcPr>
          <w:p>
            <w:pPr>
              <w:jc w:val="center"/>
              <w:ind w:right="770"/>
              <w:spacing w:after="0" w:line="195" w:lineRule="exact"/>
              <w:rPr>
                <w:sz w:val="20"/>
                <w:szCs w:val="20"/>
                <w:color w:val="auto"/>
              </w:rPr>
            </w:pPr>
            <w:r>
              <w:rPr>
                <w:rFonts w:ascii="Arial" w:cs="Arial" w:eastAsia="Arial" w:hAnsi="Arial"/>
                <w:sz w:val="18"/>
                <w:szCs w:val="18"/>
                <w:color w:val="auto"/>
                <w:w w:val="92"/>
              </w:rPr>
              <w:t>George A. Hervey</w:t>
            </w:r>
          </w:p>
        </w:tc>
        <w:tc>
          <w:tcPr>
            <w:tcW w:w="40" w:type="dxa"/>
            <w:vAlign w:val="bottom"/>
          </w:tcPr>
          <w:p>
            <w:pPr>
              <w:spacing w:after="0"/>
              <w:rPr>
                <w:sz w:val="16"/>
                <w:szCs w:val="16"/>
                <w:color w:val="auto"/>
              </w:rPr>
            </w:pPr>
          </w:p>
        </w:tc>
      </w:tr>
      <w:tr>
        <w:trPr>
          <w:trHeight w:val="216"/>
        </w:trPr>
        <w:tc>
          <w:tcPr>
            <w:tcW w:w="50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5000" w:type="dxa"/>
            <w:vAlign w:val="bottom"/>
          </w:tcPr>
          <w:p>
            <w:pPr>
              <w:jc w:val="center"/>
              <w:ind w:right="770"/>
              <w:spacing w:after="0"/>
              <w:rPr>
                <w:sz w:val="20"/>
                <w:szCs w:val="20"/>
                <w:color w:val="auto"/>
              </w:rPr>
            </w:pPr>
            <w:r>
              <w:rPr>
                <w:rFonts w:ascii="Arial" w:cs="Arial" w:eastAsia="Arial" w:hAnsi="Arial"/>
                <w:sz w:val="18"/>
                <w:szCs w:val="18"/>
                <w:color w:val="auto"/>
                <w:w w:val="89"/>
              </w:rPr>
              <w:t>Vice President of Finance and</w:t>
            </w:r>
          </w:p>
        </w:tc>
        <w:tc>
          <w:tcPr>
            <w:tcW w:w="40" w:type="dxa"/>
            <w:vAlign w:val="bottom"/>
          </w:tcPr>
          <w:p>
            <w:pPr>
              <w:spacing w:after="0"/>
              <w:rPr>
                <w:sz w:val="18"/>
                <w:szCs w:val="18"/>
                <w:color w:val="auto"/>
              </w:rPr>
            </w:pPr>
          </w:p>
        </w:tc>
      </w:tr>
      <w:tr>
        <w:trPr>
          <w:trHeight w:val="230"/>
        </w:trPr>
        <w:tc>
          <w:tcPr>
            <w:tcW w:w="50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5000" w:type="dxa"/>
            <w:vAlign w:val="bottom"/>
          </w:tcPr>
          <w:p>
            <w:pPr>
              <w:jc w:val="center"/>
              <w:ind w:right="770"/>
              <w:spacing w:after="0"/>
              <w:rPr>
                <w:sz w:val="20"/>
                <w:szCs w:val="20"/>
                <w:color w:val="auto"/>
              </w:rPr>
            </w:pPr>
            <w:r>
              <w:rPr>
                <w:rFonts w:ascii="Arial" w:cs="Arial" w:eastAsia="Arial" w:hAnsi="Arial"/>
                <w:sz w:val="18"/>
                <w:szCs w:val="18"/>
                <w:color w:val="auto"/>
                <w:w w:val="93"/>
              </w:rPr>
              <w:t>Chief Financial Officer</w:t>
            </w:r>
          </w:p>
        </w:tc>
        <w:tc>
          <w:tcPr>
            <w:tcW w:w="40" w:type="dxa"/>
            <w:vAlign w:val="bottom"/>
          </w:tcPr>
          <w:p>
            <w:pPr>
              <w:spacing w:after="0"/>
              <w:rPr>
                <w:sz w:val="20"/>
                <w:szCs w:val="20"/>
                <w:color w:val="auto"/>
              </w:rPr>
            </w:pPr>
          </w:p>
        </w:tc>
      </w:tr>
      <w:tr>
        <w:trPr>
          <w:trHeight w:val="702"/>
        </w:trPr>
        <w:tc>
          <w:tcPr>
            <w:tcW w:w="6420" w:type="dxa"/>
            <w:vAlign w:val="bottom"/>
            <w:gridSpan w:val="3"/>
          </w:tcPr>
          <w:p>
            <w:pPr>
              <w:jc w:val="right"/>
              <w:ind w:right="660"/>
              <w:spacing w:after="0"/>
              <w:rPr>
                <w:sz w:val="20"/>
                <w:szCs w:val="20"/>
                <w:color w:val="auto"/>
              </w:rPr>
            </w:pPr>
            <w:r>
              <w:rPr>
                <w:rFonts w:ascii="Arial" w:cs="Arial" w:eastAsia="Arial" w:hAnsi="Arial"/>
                <w:sz w:val="18"/>
                <w:szCs w:val="18"/>
                <w:color w:val="auto"/>
              </w:rPr>
              <w:t>3</w:t>
            </w:r>
          </w:p>
        </w:tc>
        <w:tc>
          <w:tcPr>
            <w:tcW w:w="50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75"/>
        </w:trPr>
        <w:tc>
          <w:tcPr>
            <w:tcW w:w="5020" w:type="dxa"/>
            <w:vAlign w:val="bottom"/>
            <w:tcBorders>
              <w:bottom w:val="single" w:sz="8" w:color="010101"/>
            </w:tcBorders>
          </w:tcPr>
          <w:p>
            <w:pPr>
              <w:spacing w:after="0"/>
              <w:rPr>
                <w:sz w:val="24"/>
                <w:szCs w:val="24"/>
                <w:color w:val="auto"/>
              </w:rPr>
            </w:pPr>
          </w:p>
        </w:tc>
        <w:tc>
          <w:tcPr>
            <w:tcW w:w="1400" w:type="dxa"/>
            <w:vAlign w:val="bottom"/>
            <w:tcBorders>
              <w:bottom w:val="single" w:sz="8" w:color="010101"/>
            </w:tcBorders>
            <w:gridSpan w:val="2"/>
          </w:tcPr>
          <w:p>
            <w:pPr>
              <w:spacing w:after="0"/>
              <w:rPr>
                <w:sz w:val="24"/>
                <w:szCs w:val="24"/>
                <w:color w:val="auto"/>
              </w:rPr>
            </w:pPr>
          </w:p>
        </w:tc>
        <w:tc>
          <w:tcPr>
            <w:tcW w:w="500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r>
        <w:trPr>
          <w:trHeight w:val="523"/>
        </w:trPr>
        <w:tc>
          <w:tcPr>
            <w:tcW w:w="5020" w:type="dxa"/>
            <w:vAlign w:val="bottom"/>
          </w:tcPr>
          <w:p>
            <w:pPr>
              <w:spacing w:after="0"/>
              <w:rPr>
                <w:sz w:val="24"/>
                <w:szCs w:val="24"/>
                <w:color w:val="auto"/>
              </w:rPr>
            </w:pPr>
          </w:p>
        </w:tc>
        <w:tc>
          <w:tcPr>
            <w:tcW w:w="1400" w:type="dxa"/>
            <w:vAlign w:val="bottom"/>
            <w:tcBorders>
              <w:bottom w:val="single" w:sz="8" w:color="auto"/>
            </w:tcBorders>
            <w:gridSpan w:val="2"/>
          </w:tcPr>
          <w:p>
            <w:pPr>
              <w:jc w:val="center"/>
              <w:spacing w:after="0"/>
              <w:rPr>
                <w:sz w:val="20"/>
                <w:szCs w:val="20"/>
                <w:color w:val="auto"/>
              </w:rPr>
            </w:pPr>
            <w:r>
              <w:rPr>
                <w:rFonts w:ascii="Arial" w:cs="Arial" w:eastAsia="Arial" w:hAnsi="Arial"/>
                <w:sz w:val="18"/>
                <w:szCs w:val="18"/>
                <w:b w:val="1"/>
                <w:bCs w:val="1"/>
                <w:color w:val="auto"/>
              </w:rPr>
              <w:t>EXHIBIT INDEX</w:t>
            </w:r>
          </w:p>
        </w:tc>
        <w:tc>
          <w:tcPr>
            <w:tcW w:w="5000" w:type="dxa"/>
            <w:vAlign w:val="bottom"/>
          </w:tcPr>
          <w:p>
            <w:pPr>
              <w:spacing w:after="0"/>
              <w:rPr>
                <w:sz w:val="24"/>
                <w:szCs w:val="24"/>
                <w:color w:val="auto"/>
              </w:rPr>
            </w:pPr>
          </w:p>
        </w:tc>
        <w:tc>
          <w:tcPr>
            <w:tcW w:w="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-370205</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-370205</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87" w:lineRule="exact"/>
        <w:rPr>
          <w:sz w:val="20"/>
          <w:szCs w:val="20"/>
          <w:color w:val="auto"/>
        </w:rPr>
      </w:pPr>
    </w:p>
    <w:p>
      <w:pPr>
        <w:ind w:left="80"/>
        <w:spacing w:after="0"/>
        <w:tabs>
          <w:tab w:leader="none" w:pos="114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2"/>
          <w:szCs w:val="12"/>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720344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03440" cy="8890"/>
                    </a:xfrm>
                    <a:prstGeom prst="rect">
                      <a:avLst/>
                    </a:prstGeom>
                    <a:noFill/>
                  </pic:spPr>
                </pic:pic>
              </a:graphicData>
            </a:graphic>
          </wp:anchor>
        </w:drawing>
      </w:r>
    </w:p>
    <w:p>
      <w:pPr>
        <w:spacing w:after="0" w:line="206" w:lineRule="exact"/>
        <w:rPr>
          <w:sz w:val="20"/>
          <w:szCs w:val="20"/>
          <w:color w:val="auto"/>
        </w:rPr>
      </w:pPr>
    </w:p>
    <w:p>
      <w:pPr>
        <w:ind w:left="280"/>
        <w:spacing w:after="0"/>
        <w:tabs>
          <w:tab w:leader="none" w:pos="11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16, 2006.</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499"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Marvell Technology Group Ltd. Reports Preliminary Revenue for</w:t>
      </w:r>
    </w:p>
    <w:p>
      <w:pPr>
        <w:spacing w:after="0" w:line="38"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Third Quarter of Fiscal 2007</w:t>
      </w:r>
    </w:p>
    <w:p>
      <w:pPr>
        <w:spacing w:after="0" w:line="202" w:lineRule="exact"/>
        <w:rPr>
          <w:sz w:val="20"/>
          <w:szCs w:val="20"/>
          <w:color w:val="auto"/>
        </w:rPr>
      </w:pPr>
    </w:p>
    <w:p>
      <w:pPr>
        <w:ind w:right="100"/>
        <w:spacing w:after="0" w:line="282" w:lineRule="auto"/>
        <w:rPr>
          <w:sz w:val="20"/>
          <w:szCs w:val="20"/>
          <w:color w:val="auto"/>
        </w:rPr>
      </w:pPr>
      <w:r>
        <w:rPr>
          <w:rFonts w:ascii="Arial" w:cs="Arial" w:eastAsia="Arial" w:hAnsi="Arial"/>
          <w:sz w:val="18"/>
          <w:szCs w:val="18"/>
          <w:b w:val="1"/>
          <w:bCs w:val="1"/>
          <w:color w:val="auto"/>
        </w:rPr>
        <w:t xml:space="preserve">Santa Clara, California (November 16, 2006) </w:t>
      </w:r>
      <w:r>
        <w:rPr>
          <w:rFonts w:ascii="Arial" w:cs="Arial" w:eastAsia="Arial" w:hAnsi="Arial"/>
          <w:sz w:val="18"/>
          <w:szCs w:val="18"/>
          <w:color w:val="auto"/>
        </w:rPr>
        <w:t>— Marvell Technology Group Ltd. (NASDAQ: MRVL), a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reported preliminary, unaudited revenue for its third fiscal quarter ended October 28, 2006.</w:t>
      </w:r>
    </w:p>
    <w:p>
      <w:pPr>
        <w:spacing w:after="0" w:line="166"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Net revenue for the third quarter of fiscal 2007 was $520.4 million, an increase of 22% over net revenue of $426.0 million for the third quarter of fiscal 2006 and a 9% sequential decrease from net revenue of $574.0 million for the second quarter of fiscal 2007.</w:t>
      </w:r>
    </w:p>
    <w:p>
      <w:pPr>
        <w:spacing w:after="0" w:line="170"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All results reported are preliminary because Marvell is in the midst of a previously announced internal review by a special committee of its Board of Directors relating to the Company’s historical stock option practices and related accounting matters. The special committee is conducting its review with the assistance of independent legal counsel and outside accounting experts. The Company does not expect to be in a position to announce additional financial results for the third quarter until the special committee has completed its review and the Company has completed the restatement of its historical financial statements. Please refer to the Reports on Form 8-K filed with the Securities and Exchange Commission on October 3, 2006 and October 17, 2006 for further information about the internal review and the determination to restate historical financial statements. The special committee is working to complete its stock option review in a timely manner; however, in light of the review, Marvell does not expect to be in a position to file its Form 10-Q for the third fiscal quarter by the December 7, 2006 filing deadline or the permitted extension to December 12, 2006.</w:t>
      </w:r>
    </w:p>
    <w:p>
      <w:pPr>
        <w:spacing w:after="0" w:line="179" w:lineRule="exact"/>
        <w:rPr>
          <w:sz w:val="20"/>
          <w:szCs w:val="20"/>
          <w:color w:val="auto"/>
        </w:rPr>
      </w:pPr>
    </w:p>
    <w:p>
      <w:pPr>
        <w:jc w:val="both"/>
        <w:ind w:right="100"/>
        <w:spacing w:after="0" w:line="302" w:lineRule="auto"/>
        <w:rPr>
          <w:sz w:val="20"/>
          <w:szCs w:val="20"/>
          <w:color w:val="auto"/>
        </w:rPr>
      </w:pPr>
      <w:r>
        <w:rPr>
          <w:rFonts w:ascii="Arial" w:cs="Arial" w:eastAsia="Arial" w:hAnsi="Arial"/>
          <w:sz w:val="16"/>
          <w:szCs w:val="16"/>
          <w:color w:val="auto"/>
        </w:rPr>
        <w:t>“Although we are disappointed with our sequential decline in revenue this last quarter, we remain excited about our continued strong positioning for growth as we expand our presence into many new large volume markets” stated Dr. Sehat Sutardja, Marvell’s President and CEO. “In particular we are very excited to have now closed our purchase of Intel’s application and communications processor business earlier this month. We are fortunate to have this tremendous opportunity for such a talented group of employees, proven world class technology and strong customers to join the Marvell family.”</w:t>
      </w:r>
    </w:p>
    <w:p>
      <w:pPr>
        <w:spacing w:after="0" w:line="154" w:lineRule="exact"/>
        <w:rPr>
          <w:sz w:val="20"/>
          <w:szCs w:val="20"/>
          <w:color w:val="auto"/>
        </w:rPr>
      </w:pPr>
    </w:p>
    <w:p>
      <w:pPr>
        <w:ind w:right="120"/>
        <w:spacing w:after="0" w:line="297" w:lineRule="auto"/>
        <w:rPr>
          <w:sz w:val="20"/>
          <w:szCs w:val="20"/>
          <w:color w:val="auto"/>
        </w:rPr>
      </w:pPr>
      <w:r>
        <w:rPr>
          <w:rFonts w:ascii="Arial" w:cs="Arial" w:eastAsia="Arial" w:hAnsi="Arial"/>
          <w:sz w:val="16"/>
          <w:szCs w:val="16"/>
          <w:color w:val="auto"/>
        </w:rPr>
        <w:t>Marvell will be conducting a conference call today at 1:45 p.m. PST to discuss its third quarter financial results. The call is being webcast by Thomson/CCBN and can be accessed at Marvell’s web site at www.marvell.com. The webcast is also being distributed through Thomson StreetEvents Network. Individual investors can listen to the call at www.earnings.com, Thomson’s individual investor portal, powered by StreetEvents. Institutional investors can access the call via Thomson StreetEvents (www.streetevents.com), a password-protected event management site. The conference call will also be available via the web at www.marvell.com. Please visit the Investor Events section. Replay on the Internet will be available until November 16,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330200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80"/>
        <w:spacing w:after="0" w:line="255" w:lineRule="auto"/>
        <w:rPr>
          <w:sz w:val="20"/>
          <w:szCs w:val="20"/>
          <w:color w:val="auto"/>
        </w:rPr>
      </w:pPr>
      <w:r>
        <w:rPr>
          <w:rFonts w:ascii="Arial" w:cs="Arial" w:eastAsia="Arial" w:hAnsi="Arial"/>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Marvell Semiconductor Germany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20"/>
        <w:spacing w:after="0" w:line="285" w:lineRule="auto"/>
        <w:rPr>
          <w:sz w:val="20"/>
          <w:szCs w:val="20"/>
          <w:color w:val="auto"/>
        </w:rPr>
      </w:pPr>
      <w:r>
        <w:rPr>
          <w:rFonts w:ascii="Arial" w:cs="Arial" w:eastAsia="Arial" w:hAnsi="Arial"/>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our financial results for the third fiscal quarter of 2007, our expectations regarding the announcement of additional financial results for its third fiscal quarter of 2007 and our expectations regarding the filing of our Form 10-Q for that quarter. Statements that refer to, or are based on projections, uncertain events or assumptions also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 the timing and outcome of the special committee’s review and the conclusions of the special committee resulting from that review, actions that may be taken or required as a result of the special committee’s review, and actions by the Securities and Exchange Commission or other regulatory agencies as a result of their review of our stock option practices, with respect to our stock option practices. In particular, Marvell may be required to make adjustments to its financial results for the second and third fiscal quarters of 2007, as well as its financial results previously reported for prior periods, as a result of the special committee’s review. Those adjustments could have a material adverse effect on our results of operations for those periods. When the review is complete and Marvell files its Form 10-Q, the financial statements may differ from the results disclosed in this press release, not only as a result of any required adjustments resulting from the special committee review, but also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section titled “Risk Factors” in Marvell’s quarterly report on Form 10-Q for the fiscal quarter ended April 29, 2006, the section titled “Additional Risk Factors” in Marvell’s current report on Form 8-K filed on October 17, 2006, and other factors detailed from time to time in Marvell’s filings with the Securities and Exchange Commission. We undertake no obligation to revise or update publicly any forward-looking statements.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3"/>
          <w:szCs w:val="23"/>
          <w:i w:val="1"/>
          <w:iCs w:val="1"/>
          <w:color w:val="auto"/>
          <w:vertAlign w:val="superscript"/>
        </w:rPr>
        <w:t>®</w:t>
      </w:r>
      <w:r>
        <w:rPr>
          <w:rFonts w:ascii="Arial" w:cs="Arial" w:eastAsia="Arial" w:hAnsi="Arial"/>
          <w:sz w:val="18"/>
          <w:szCs w:val="18"/>
          <w:i w:val="1"/>
          <w:iCs w:val="1"/>
          <w:color w:val="auto"/>
        </w:rPr>
        <w:t xml:space="preserve"> and the Marvell logo are trademarks of Marvell.  All other trademarks are the property of their respective owners.</w:t>
      </w:r>
    </w:p>
    <w:p>
      <w:pPr>
        <w:sectPr>
          <w:pgSz w:w="11900" w:h="16838" w:orient="portrait"/>
          <w:cols w:equalWidth="0" w:num="1">
            <w:col w:w="11420"/>
          </w:cols>
          <w:pgMar w:left="240" w:top="121" w:right="239" w:bottom="57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57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2019-12-14T20:11:44Z</dcterms:created>
  <dcterms:modified xsi:type="dcterms:W3CDTF">2019-12-14T20:11:44Z</dcterms:modified>
</cp:coreProperties>
</file>