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9"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176530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53"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233"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218"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5,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87" w:orient="portrait"/>
          <w:cols w:equalWidth="0" w:num="1">
            <w:col w:w="11380"/>
          </w:cols>
          <w:pgMar w:left="240" w:top="530" w:right="279" w:bottom="0" w:gutter="0" w:footer="0" w:header="0"/>
        </w:sectPr>
      </w:pPr>
    </w:p>
    <w:p>
      <w:pPr>
        <w:spacing w:after="0" w:line="205" w:lineRule="exact"/>
        <w:rPr>
          <w:sz w:val="24"/>
          <w:szCs w:val="24"/>
          <w:color w:val="auto"/>
        </w:rPr>
      </w:pPr>
    </w:p>
    <w:p>
      <w:pPr>
        <w:ind w:left="15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920"/>
        <w:spacing w:after="0"/>
        <w:rPr>
          <w:sz w:val="20"/>
          <w:szCs w:val="20"/>
          <w:color w:val="auto"/>
        </w:rPr>
      </w:pPr>
      <w:r>
        <w:rPr>
          <w:rFonts w:ascii="Arial" w:cs="Arial" w:eastAsia="Arial" w:hAnsi="Arial"/>
          <w:sz w:val="16"/>
          <w:szCs w:val="16"/>
          <w:color w:val="auto"/>
        </w:rPr>
        <w:t>(State or Other Jurisdiction</w:t>
      </w:r>
    </w:p>
    <w:p>
      <w:pPr>
        <w:spacing w:after="0" w:line="32" w:lineRule="exact"/>
        <w:rPr>
          <w:sz w:val="24"/>
          <w:szCs w:val="24"/>
          <w:color w:val="auto"/>
        </w:rPr>
      </w:pPr>
    </w:p>
    <w:p>
      <w:pPr>
        <w:ind w:left="128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2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2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2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2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87" w:orient="portrait"/>
          <w:cols w:equalWidth="0" w:num="3">
            <w:col w:w="4000" w:space="720"/>
            <w:col w:w="3400" w:space="720"/>
            <w:col w:w="2540"/>
          </w:cols>
          <w:pgMar w:left="240" w:top="530"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87"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1.01  Entry into a Material Definitive Agreement.</w:t>
      </w:r>
    </w:p>
    <w:p>
      <w:pPr>
        <w:spacing w:after="0" w:line="229" w:lineRule="exact"/>
        <w:rPr>
          <w:sz w:val="24"/>
          <w:szCs w:val="24"/>
          <w:color w:val="auto"/>
        </w:rPr>
      </w:pPr>
    </w:p>
    <w:p>
      <w:pPr>
        <w:ind w:right="100"/>
        <w:spacing w:after="0" w:line="302" w:lineRule="auto"/>
        <w:rPr>
          <w:sz w:val="20"/>
          <w:szCs w:val="20"/>
          <w:color w:val="auto"/>
        </w:rPr>
      </w:pPr>
      <w:r>
        <w:rPr>
          <w:rFonts w:ascii="Arial" w:cs="Arial" w:eastAsia="Arial" w:hAnsi="Arial"/>
          <w:sz w:val="16"/>
          <w:szCs w:val="16"/>
          <w:color w:val="auto"/>
        </w:rPr>
        <w:t>On October 5, 2006, Marvell Technology Group Ltd. (the “Company”) announced that its Board of Directors (the “Board”) approved a compensation policy recommended by the Board’s Executive Compensation Committee for the chairman of the special committee formed by the Board to conduct an internal review relating to past stock option grants, the timing of such grants and related accounting matters. Under this policy, the special committee chairman receives $2,500 per diem for his services as such and reimbursement for travel and related expenses incurred in the performance of his duties.</w:t>
      </w:r>
    </w:p>
    <w:p>
      <w:pPr>
        <w:spacing w:after="0" w:line="37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October 11, 2006</w:t>
      </w:r>
    </w:p>
    <w:p>
      <w:pPr>
        <w:sectPr>
          <w:pgSz w:w="11900" w:h="16887" w:orient="portrait"/>
          <w:cols w:equalWidth="0" w:num="1">
            <w:col w:w="11380"/>
          </w:cols>
          <w:pgMar w:left="240" w:top="530" w:right="279" w:bottom="0" w:gutter="0" w:footer="0" w:header="0"/>
          <w:type w:val="continuous"/>
        </w:sectPr>
      </w:pPr>
    </w:p>
    <w:bookmarkStart w:id="1" w:name="page2"/>
    <w:bookmarkEnd w:id="1"/>
    <w:p>
      <w:pPr>
        <w:ind w:left="506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060"/>
        <w:spacing w:after="0"/>
        <w:tabs>
          <w:tab w:leader="none" w:pos="54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GEORGE A. HERVEY</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3470910</wp:posOffset>
            </wp:positionH>
            <wp:positionV relativeFrom="paragraph">
              <wp:posOffset>-130810</wp:posOffset>
            </wp:positionV>
            <wp:extent cx="30187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018790" cy="8890"/>
                    </a:xfrm>
                    <a:prstGeom prst="rect">
                      <a:avLst/>
                    </a:prstGeom>
                    <a:noFill/>
                  </pic:spPr>
                </pic:pic>
              </a:graphicData>
            </a:graphic>
          </wp:anchor>
        </w:drawing>
      </w:r>
    </w:p>
    <w:p>
      <w:pPr>
        <w:spacing w:after="0" w:line="3" w:lineRule="exact"/>
        <w:rPr>
          <w:sz w:val="20"/>
          <w:szCs w:val="20"/>
          <w:color w:val="auto"/>
        </w:rPr>
      </w:pPr>
    </w:p>
    <w:p>
      <w:pPr>
        <w:jc w:val="center"/>
        <w:ind w:left="6660"/>
        <w:spacing w:after="0"/>
        <w:rPr>
          <w:sz w:val="20"/>
          <w:szCs w:val="20"/>
          <w:color w:val="auto"/>
        </w:rPr>
      </w:pPr>
      <w:r>
        <w:rPr>
          <w:rFonts w:ascii="Arial" w:cs="Arial" w:eastAsia="Arial" w:hAnsi="Arial"/>
          <w:sz w:val="16"/>
          <w:szCs w:val="16"/>
          <w:color w:val="auto"/>
        </w:rPr>
        <w:t>Vice President of Finance and</w:t>
      </w:r>
    </w:p>
    <w:p>
      <w:pPr>
        <w:spacing w:after="0" w:line="32" w:lineRule="exact"/>
        <w:rPr>
          <w:sz w:val="20"/>
          <w:szCs w:val="20"/>
          <w:color w:val="auto"/>
        </w:rPr>
      </w:pPr>
    </w:p>
    <w:p>
      <w:pPr>
        <w:jc w:val="center"/>
        <w:ind w:left="666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243205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2019-12-14T18:58:55Z</dcterms:created>
  <dcterms:modified xsi:type="dcterms:W3CDTF">2019-12-14T18:58:55Z</dcterms:modified>
</cp:coreProperties>
</file>