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210820</wp:posOffset>
            </wp:positionV>
            <wp:extent cx="138938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3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CURRENT REPORT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Pursuant to Section 13 or 15(d) of the</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Securities Exchange Act of 1934</w:t>
      </w: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February 26, 2007</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747" w:right="279" w:bottom="397" w:gutter="0" w:footer="0" w:header="0"/>
        </w:sectPr>
      </w:pPr>
    </w:p>
    <w:p>
      <w:pPr>
        <w:spacing w:after="0" w:line="221" w:lineRule="exact"/>
        <w:rPr>
          <w:sz w:val="24"/>
          <w:szCs w:val="24"/>
          <w:color w:val="auto"/>
        </w:rPr>
      </w:pPr>
    </w:p>
    <w:p>
      <w:pPr>
        <w:ind w:left="2920"/>
        <w:spacing w:after="0"/>
        <w:rPr>
          <w:sz w:val="20"/>
          <w:szCs w:val="20"/>
          <w:color w:val="auto"/>
        </w:rPr>
      </w:pPr>
      <w:r>
        <w:rPr>
          <w:rFonts w:ascii="Arial" w:cs="Arial" w:eastAsia="Arial" w:hAnsi="Arial"/>
          <w:sz w:val="18"/>
          <w:szCs w:val="18"/>
          <w:b w:val="1"/>
          <w:bCs w:val="1"/>
          <w:color w:val="auto"/>
        </w:rPr>
        <w:t>Bermuda</w:t>
      </w:r>
    </w:p>
    <w:p>
      <w:pPr>
        <w:ind w:left="2300"/>
        <w:spacing w:after="0"/>
        <w:rPr>
          <w:sz w:val="20"/>
          <w:szCs w:val="20"/>
          <w:color w:val="auto"/>
        </w:rPr>
      </w:pPr>
      <w:r>
        <w:rPr>
          <w:rFonts w:ascii="Arial" w:cs="Arial" w:eastAsia="Arial" w:hAnsi="Arial"/>
          <w:sz w:val="16"/>
          <w:szCs w:val="16"/>
          <w:color w:val="auto"/>
        </w:rPr>
        <w:t>(State or Other Jurisdiction</w:t>
      </w:r>
    </w:p>
    <w:p>
      <w:pPr>
        <w:spacing w:after="0" w:line="30" w:lineRule="exact"/>
        <w:rPr>
          <w:sz w:val="24"/>
          <w:szCs w:val="24"/>
          <w:color w:val="auto"/>
        </w:rPr>
      </w:pPr>
    </w:p>
    <w:p>
      <w:pPr>
        <w:ind w:left="2660"/>
        <w:spacing w:after="0"/>
        <w:rPr>
          <w:sz w:val="20"/>
          <w:szCs w:val="20"/>
          <w:color w:val="auto"/>
        </w:rPr>
      </w:pPr>
      <w:r>
        <w:rPr>
          <w:rFonts w:ascii="Arial" w:cs="Arial" w:eastAsia="Arial" w:hAnsi="Arial"/>
          <w:sz w:val="18"/>
          <w:szCs w:val="18"/>
          <w:color w:val="auto"/>
        </w:rPr>
        <w:t>of Incorporation)</w:t>
      </w:r>
    </w:p>
    <w:p>
      <w:pPr>
        <w:spacing w:after="0" w:line="20" w:lineRule="exact"/>
        <w:rPr>
          <w:sz w:val="24"/>
          <w:szCs w:val="24"/>
          <w:color w:val="auto"/>
        </w:rPr>
      </w:pPr>
      <w:r>
        <w:rPr>
          <w:sz w:val="24"/>
          <w:szCs w:val="24"/>
          <w:color w:val="auto"/>
        </w:rPr>
        <w:br w:type="column"/>
      </w:r>
    </w:p>
    <w:p>
      <w:pPr>
        <w:spacing w:after="0" w:line="20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0-30877</w:t>
      </w:r>
    </w:p>
    <w:p>
      <w:pPr>
        <w:jc w:val="center"/>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1" w:lineRule="exact"/>
        <w:rPr>
          <w:sz w:val="24"/>
          <w:szCs w:val="24"/>
          <w:color w:val="auto"/>
        </w:rPr>
      </w:pPr>
    </w:p>
    <w:p>
      <w:pPr>
        <w:jc w:val="center"/>
        <w:ind w:right="2520"/>
        <w:spacing w:after="0"/>
        <w:rPr>
          <w:sz w:val="20"/>
          <w:szCs w:val="20"/>
          <w:color w:val="auto"/>
        </w:rPr>
      </w:pPr>
      <w:r>
        <w:rPr>
          <w:rFonts w:ascii="Arial" w:cs="Arial" w:eastAsia="Arial" w:hAnsi="Arial"/>
          <w:sz w:val="18"/>
          <w:szCs w:val="18"/>
          <w:b w:val="1"/>
          <w:bCs w:val="1"/>
          <w:color w:val="auto"/>
        </w:rPr>
        <w:t>77-0481679</w:t>
      </w:r>
    </w:p>
    <w:p>
      <w:pPr>
        <w:jc w:val="center"/>
        <w:ind w:right="2520"/>
        <w:spacing w:after="0"/>
        <w:rPr>
          <w:sz w:val="20"/>
          <w:szCs w:val="20"/>
          <w:color w:val="auto"/>
        </w:rPr>
      </w:pPr>
      <w:r>
        <w:rPr>
          <w:rFonts w:ascii="Arial" w:cs="Arial" w:eastAsia="Arial" w:hAnsi="Arial"/>
          <w:sz w:val="18"/>
          <w:szCs w:val="18"/>
          <w:color w:val="auto"/>
        </w:rPr>
        <w:t>(I.R.S. Employer</w:t>
      </w:r>
    </w:p>
    <w:p>
      <w:pPr>
        <w:spacing w:after="0" w:line="7" w:lineRule="exact"/>
        <w:rPr>
          <w:sz w:val="24"/>
          <w:szCs w:val="24"/>
          <w:color w:val="auto"/>
        </w:rPr>
      </w:pPr>
    </w:p>
    <w:p>
      <w:pPr>
        <w:jc w:val="center"/>
        <w:ind w:right="25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260" w:space="580"/>
            <w:col w:w="1980" w:space="700"/>
            <w:col w:w="3860"/>
          </w:cols>
          <w:pgMar w:left="240" w:top="747" w:right="279" w:bottom="397" w:gutter="0" w:footer="0" w:header="0"/>
          <w:type w:val="continuous"/>
        </w:sectPr>
      </w:pPr>
    </w:p>
    <w:p>
      <w:pPr>
        <w:spacing w:after="0" w:line="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6"/>
          <w:szCs w:val="16"/>
          <w:b w:val="1"/>
          <w:bCs w:val="1"/>
          <w:color w:val="auto"/>
        </w:rPr>
        <w:t>22 Victoria Street</w:t>
      </w:r>
    </w:p>
    <w:p>
      <w:pPr>
        <w:spacing w:after="0" w:line="32" w:lineRule="exact"/>
        <w:rPr>
          <w:sz w:val="24"/>
          <w:szCs w:val="24"/>
          <w:color w:val="auto"/>
        </w:rPr>
      </w:pPr>
    </w:p>
    <w:p>
      <w:pPr>
        <w:jc w:val="center"/>
        <w:ind w:right="-39"/>
        <w:spacing w:after="0"/>
        <w:rPr>
          <w:sz w:val="20"/>
          <w:szCs w:val="20"/>
          <w:color w:val="auto"/>
        </w:rPr>
      </w:pPr>
      <w:r>
        <w:rPr>
          <w:rFonts w:ascii="Arial" w:cs="Arial" w:eastAsia="Arial" w:hAnsi="Arial"/>
          <w:sz w:val="17"/>
          <w:szCs w:val="17"/>
          <w:b w:val="1"/>
          <w:bCs w:val="1"/>
          <w:color w:val="auto"/>
        </w:rPr>
        <w:t>Hamilton HM 12</w:t>
      </w:r>
    </w:p>
    <w:p>
      <w:pPr>
        <w:spacing w:after="0" w:line="2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ectPr>
          <w:pgSz w:w="11900" w:h="16838" w:orient="portrait"/>
          <w:cols w:equalWidth="0" w:num="1">
            <w:col w:w="11380"/>
          </w:cols>
          <w:pgMar w:left="240" w:top="747" w:right="279" w:bottom="397" w:gutter="0" w:footer="0" w:header="0"/>
          <w:type w:val="continuous"/>
        </w:sectPr>
      </w:pPr>
    </w:p>
    <w:p>
      <w:pPr>
        <w:spacing w:after="0" w:line="21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(Address of principal executive offices)</w:t>
      </w:r>
    </w:p>
    <w:p>
      <w:pPr>
        <w:spacing w:after="0" w:line="221" w:lineRule="exact"/>
        <w:rPr>
          <w:sz w:val="24"/>
          <w:szCs w:val="24"/>
          <w:color w:val="auto"/>
        </w:rPr>
      </w:pPr>
    </w:p>
    <w:p>
      <w:pPr>
        <w:ind w:left="5580" w:hanging="428"/>
        <w:spacing w:after="0"/>
        <w:tabs>
          <w:tab w:leader="none" w:pos="558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296-6395</w:t>
      </w:r>
    </w:p>
    <w:p>
      <w:pPr>
        <w:spacing w:after="0" w:line="27" w:lineRule="exact"/>
        <w:rPr>
          <w:rFonts w:ascii="Arial" w:cs="Arial" w:eastAsia="Arial" w:hAnsi="Arial"/>
          <w:sz w:val="18"/>
          <w:szCs w:val="18"/>
          <w:b w:val="1"/>
          <w:bCs w:val="1"/>
          <w:color w:val="auto"/>
        </w:rPr>
      </w:pPr>
    </w:p>
    <w:p>
      <w:pPr>
        <w:ind w:left="4560"/>
        <w:spacing w:after="0"/>
        <w:rPr>
          <w:rFonts w:ascii="Arial" w:cs="Arial" w:eastAsia="Arial" w:hAnsi="Arial"/>
          <w:sz w:val="18"/>
          <w:szCs w:val="18"/>
          <w:b w:val="1"/>
          <w:bCs w:val="1"/>
          <w:color w:val="auto"/>
        </w:rPr>
      </w:pPr>
      <w:r>
        <w:rPr>
          <w:rFonts w:ascii="Arial" w:cs="Arial" w:eastAsia="Arial" w:hAnsi="Arial"/>
          <w:sz w:val="18"/>
          <w:szCs w:val="18"/>
          <w:color w:val="auto"/>
        </w:rPr>
        <w:t>(Registrant’s telephone number,</w:t>
      </w:r>
    </w:p>
    <w:p>
      <w:pPr>
        <w:spacing w:after="0" w:line="9" w:lineRule="exact"/>
        <w:rPr>
          <w:rFonts w:ascii="Arial" w:cs="Arial" w:eastAsia="Arial" w:hAnsi="Arial"/>
          <w:sz w:val="18"/>
          <w:szCs w:val="18"/>
          <w:b w:val="1"/>
          <w:bCs w:val="1"/>
          <w:color w:val="auto"/>
        </w:rPr>
      </w:pPr>
    </w:p>
    <w:p>
      <w:pPr>
        <w:ind w:left="4980"/>
        <w:spacing w:after="0"/>
        <w:rPr>
          <w:rFonts w:ascii="Arial" w:cs="Arial" w:eastAsia="Arial" w:hAnsi="Arial"/>
          <w:sz w:val="18"/>
          <w:szCs w:val="18"/>
          <w:b w:val="1"/>
          <w:bCs w:val="1"/>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4" w:lineRule="exact"/>
        <w:rPr>
          <w:sz w:val="24"/>
          <w:szCs w:val="24"/>
          <w:color w:val="auto"/>
        </w:rPr>
      </w:pPr>
    </w:p>
    <w:p>
      <w:pPr>
        <w:spacing w:after="0"/>
        <w:tabs>
          <w:tab w:leader="none" w:pos="1100" w:val="left"/>
        </w:tabs>
        <w:rPr>
          <w:sz w:val="20"/>
          <w:szCs w:val="20"/>
          <w:color w:val="auto"/>
        </w:rPr>
      </w:pPr>
      <w:r>
        <w:rPr>
          <w:rFonts w:ascii="Arial" w:cs="Arial" w:eastAsia="Arial" w:hAnsi="Arial"/>
          <w:sz w:val="18"/>
          <w:szCs w:val="18"/>
          <w:b w:val="1"/>
          <w:bCs w:val="1"/>
          <w:color w:val="auto"/>
        </w:rPr>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243" w:lineRule="exact"/>
        <w:rPr>
          <w:sz w:val="24"/>
          <w:szCs w:val="24"/>
          <w:color w:val="auto"/>
        </w:rPr>
      </w:pPr>
    </w:p>
    <w:p>
      <w:pPr>
        <w:ind w:right="60" w:firstLine="648"/>
        <w:spacing w:after="0" w:line="312"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47"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color w:val="auto"/>
        </w:rPr>
        <w:t>On February 26, 2007, Marvell Technology Group Ltd. (“Marvell”) issued a press release regarding its revenue results for its fourth fiscal quarter and fiscal year ended January 27, 2007. The full text of Marvell’s press release is furnished herewith as Exhibit 99.1.</w:t>
      </w:r>
    </w:p>
    <w:p>
      <w:pPr>
        <w:spacing w:after="0" w:line="166" w:lineRule="exact"/>
        <w:rPr>
          <w:sz w:val="24"/>
          <w:szCs w:val="24"/>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39" w:lineRule="exact"/>
        <w:rPr>
          <w:sz w:val="24"/>
          <w:szCs w:val="24"/>
          <w:color w:val="auto"/>
        </w:rPr>
      </w:pPr>
    </w:p>
    <w:p>
      <w:pPr>
        <w:ind w:left="660"/>
        <w:spacing w:after="0"/>
        <w:rPr>
          <w:sz w:val="20"/>
          <w:szCs w:val="20"/>
          <w:color w:val="auto"/>
        </w:rPr>
      </w:pPr>
      <w:r>
        <w:rPr>
          <w:rFonts w:ascii="Arial" w:cs="Arial" w:eastAsia="Arial" w:hAnsi="Arial"/>
          <w:sz w:val="18"/>
          <w:szCs w:val="18"/>
          <w:b w:val="1"/>
          <w:bCs w:val="1"/>
          <w:color w:val="auto"/>
        </w:rPr>
        <w:t>(d) Exhibits</w:t>
      </w:r>
    </w:p>
    <w:p>
      <w:pPr>
        <w:spacing w:after="0" w:line="207" w:lineRule="exact"/>
        <w:rPr>
          <w:sz w:val="24"/>
          <w:szCs w:val="24"/>
          <w:color w:val="auto"/>
        </w:rPr>
      </w:pPr>
    </w:p>
    <w:p>
      <w:pPr>
        <w:ind w:left="660"/>
        <w:spacing w:after="0"/>
        <w:tabs>
          <w:tab w:leader="none" w:pos="1500" w:val="left"/>
        </w:tabs>
        <w:rPr>
          <w:sz w:val="20"/>
          <w:szCs w:val="20"/>
          <w:color w:val="auto"/>
        </w:rPr>
      </w:pPr>
      <w:r>
        <w:rPr>
          <w:rFonts w:ascii="Arial" w:cs="Arial" w:eastAsia="Arial" w:hAnsi="Arial"/>
          <w:sz w:val="14"/>
          <w:szCs w:val="14"/>
          <w:b w:val="1"/>
          <w:bCs w:val="1"/>
          <w:u w:val="single" w:color="auto"/>
          <w:color w:val="auto"/>
        </w:rPr>
        <w:t>Exhibit No.</w:t>
      </w:r>
      <w:r>
        <w:rPr>
          <w:sz w:val="20"/>
          <w:szCs w:val="20"/>
          <w:color w:val="auto"/>
        </w:rPr>
        <w:tab/>
      </w:r>
      <w:r>
        <w:rPr>
          <w:rFonts w:ascii="Arial" w:cs="Arial" w:eastAsia="Arial" w:hAnsi="Arial"/>
          <w:sz w:val="13"/>
          <w:szCs w:val="13"/>
          <w:b w:val="1"/>
          <w:bCs w:val="1"/>
          <w:color w:val="auto"/>
        </w:rPr>
        <w:t>Description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965835</wp:posOffset>
            </wp:positionH>
            <wp:positionV relativeFrom="paragraph">
              <wp:posOffset>6350</wp:posOffset>
            </wp:positionV>
            <wp:extent cx="181800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818005" cy="8890"/>
                    </a:xfrm>
                    <a:prstGeom prst="rect">
                      <a:avLst/>
                    </a:prstGeom>
                    <a:noFill/>
                  </pic:spPr>
                </pic:pic>
              </a:graphicData>
            </a:graphic>
          </wp:anchor>
        </w:drawing>
      </w:r>
    </w:p>
    <w:p>
      <w:pPr>
        <w:spacing w:after="0" w:line="84" w:lineRule="exact"/>
        <w:rPr>
          <w:sz w:val="24"/>
          <w:szCs w:val="24"/>
          <w:color w:val="auto"/>
        </w:rPr>
      </w:pPr>
    </w:p>
    <w:p>
      <w:pPr>
        <w:ind w:left="860"/>
        <w:spacing w:after="0"/>
        <w:tabs>
          <w:tab w:leader="none" w:pos="15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February 26, 2007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484505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747" w:right="279" w:bottom="397" w:gutter="0" w:footer="0" w:header="0"/>
          <w:type w:val="continuous"/>
        </w:sectPr>
      </w:pPr>
    </w:p>
    <w:bookmarkStart w:id="1" w:name="page2"/>
    <w:bookmarkEnd w:id="1"/>
    <w:p>
      <w:pPr>
        <w:jc w:val="center"/>
        <w:ind w:right="-49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February 26, 2007</w:t>
      </w:r>
    </w:p>
    <w:p>
      <w:pPr>
        <w:spacing w:after="0" w:line="252"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6280"/>
        <w:spacing w:after="0"/>
        <w:tabs>
          <w:tab w:leader="none" w:pos="66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3" w:lineRule="exact"/>
        <w:rPr>
          <w:sz w:val="20"/>
          <w:szCs w:val="20"/>
          <w:color w:val="auto"/>
        </w:rPr>
      </w:pPr>
    </w:p>
    <w:p>
      <w:pPr>
        <w:ind w:left="668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4241800</wp:posOffset>
            </wp:positionH>
            <wp:positionV relativeFrom="paragraph">
              <wp:posOffset>-130810</wp:posOffset>
            </wp:positionV>
            <wp:extent cx="126047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60475" cy="8890"/>
                    </a:xfrm>
                    <a:prstGeom prst="rect">
                      <a:avLst/>
                    </a:prstGeom>
                    <a:noFill/>
                  </pic:spPr>
                </pic:pic>
              </a:graphicData>
            </a:graphic>
          </wp:anchor>
        </w:drawing>
      </w:r>
    </w:p>
    <w:p>
      <w:pPr>
        <w:spacing w:after="0" w:line="3" w:lineRule="exact"/>
        <w:rPr>
          <w:sz w:val="20"/>
          <w:szCs w:val="20"/>
          <w:color w:val="auto"/>
        </w:rPr>
      </w:pPr>
    </w:p>
    <w:p>
      <w:pPr>
        <w:ind w:left="668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6680"/>
        <w:spacing w:after="0"/>
        <w:rPr>
          <w:sz w:val="20"/>
          <w:szCs w:val="20"/>
          <w:color w:val="auto"/>
        </w:rPr>
      </w:pPr>
      <w:r>
        <w:rPr>
          <w:rFonts w:ascii="Arial" w:cs="Arial" w:eastAsia="Arial" w:hAnsi="Arial"/>
          <w:sz w:val="18"/>
          <w:szCs w:val="18"/>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381000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jc w:val="center"/>
        <w:ind w:right="-499"/>
        <w:spacing w:after="0"/>
        <w:rPr>
          <w:sz w:val="20"/>
          <w:szCs w:val="20"/>
          <w:color w:val="auto"/>
        </w:rPr>
      </w:pPr>
      <w:r>
        <w:rPr>
          <w:rFonts w:ascii="Arial" w:cs="Arial" w:eastAsia="Arial" w:hAnsi="Arial"/>
          <w:sz w:val="18"/>
          <w:szCs w:val="18"/>
          <w:b w:val="1"/>
          <w:bCs w:val="1"/>
          <w:u w:val="single" w:color="auto"/>
          <w:color w:val="auto"/>
        </w:rPr>
        <w:t>EXHIBIT INDEX</w:t>
      </w:r>
    </w:p>
    <w:p>
      <w:pPr>
        <w:spacing w:after="0" w:line="207" w:lineRule="exact"/>
        <w:rPr>
          <w:sz w:val="20"/>
          <w:szCs w:val="20"/>
          <w:color w:val="auto"/>
        </w:rPr>
      </w:pPr>
    </w:p>
    <w:p>
      <w:pPr>
        <w:spacing w:after="0"/>
        <w:tabs>
          <w:tab w:leader="none" w:pos="98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3"/>
          <w:szCs w:val="13"/>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249555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495550" cy="8890"/>
                    </a:xfrm>
                    <a:prstGeom prst="rect">
                      <a:avLst/>
                    </a:prstGeom>
                    <a:noFill/>
                  </pic:spPr>
                </pic:pic>
              </a:graphicData>
            </a:graphic>
          </wp:anchor>
        </w:drawing>
      </w:r>
    </w:p>
    <w:p>
      <w:pPr>
        <w:spacing w:after="0" w:line="84" w:lineRule="exact"/>
        <w:rPr>
          <w:sz w:val="20"/>
          <w:szCs w:val="20"/>
          <w:color w:val="auto"/>
        </w:rPr>
      </w:pPr>
    </w:p>
    <w:p>
      <w:pPr>
        <w:ind w:left="280"/>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February 26,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347345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940"/>
          </w:cols>
          <w:pgMar w:left="240" w:top="580" w:right="71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Preliminary Revenue for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Fourth Quarter and Full Fiscal 2007</w:t>
      </w:r>
    </w:p>
    <w:p>
      <w:pPr>
        <w:spacing w:after="0" w:line="207" w:lineRule="exact"/>
        <w:rPr>
          <w:sz w:val="20"/>
          <w:szCs w:val="20"/>
          <w:color w:val="auto"/>
        </w:rPr>
      </w:pPr>
    </w:p>
    <w:p>
      <w:pPr>
        <w:ind w:right="260"/>
        <w:spacing w:after="0" w:line="313" w:lineRule="auto"/>
        <w:rPr>
          <w:sz w:val="20"/>
          <w:szCs w:val="20"/>
          <w:color w:val="auto"/>
        </w:rPr>
      </w:pPr>
      <w:r>
        <w:rPr>
          <w:rFonts w:ascii="Arial" w:cs="Arial" w:eastAsia="Arial" w:hAnsi="Arial"/>
          <w:sz w:val="17"/>
          <w:szCs w:val="17"/>
          <w:b w:val="1"/>
          <w:bCs w:val="1"/>
          <w:color w:val="auto"/>
        </w:rPr>
        <w:t>Santa Clara, California (February 26, 2007)</w:t>
      </w:r>
      <w:r>
        <w:rPr>
          <w:rFonts w:ascii="Arial" w:cs="Arial" w:eastAsia="Arial" w:hAnsi="Arial"/>
          <w:sz w:val="17"/>
          <w:szCs w:val="17"/>
          <w:color w:val="auto"/>
        </w:rPr>
        <w:t>—Marvell Technology Group Ltd. (NASDAQ: MRVL), a leader in storage, communications, and consumer</w:t>
      </w:r>
      <w:r>
        <w:rPr>
          <w:rFonts w:ascii="Arial" w:cs="Arial" w:eastAsia="Arial" w:hAnsi="Arial"/>
          <w:sz w:val="17"/>
          <w:szCs w:val="17"/>
          <w:b w:val="1"/>
          <w:bCs w:val="1"/>
          <w:color w:val="auto"/>
        </w:rPr>
        <w:t xml:space="preserve"> </w:t>
      </w:r>
      <w:r>
        <w:rPr>
          <w:rFonts w:ascii="Arial" w:cs="Arial" w:eastAsia="Arial" w:hAnsi="Arial"/>
          <w:sz w:val="17"/>
          <w:szCs w:val="17"/>
          <w:color w:val="auto"/>
        </w:rPr>
        <w:t>silicon solutions, today reported preliminary, unaudited revenue for its fourth fiscal quarter and fiscal year ended January 27, 2007.</w:t>
      </w:r>
    </w:p>
    <w:p>
      <w:pPr>
        <w:spacing w:after="0" w:line="142"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Net revenue for the fourth quarter of fiscal 2007 was $622.0 million, an increase of 27% over net revenue of $489.0 million for the fourth quarter of fiscal 2006 and a 20% sequential increase from net revenue of $520.4 million for the third quarter of fiscal 2007. Net revenue for fiscal 2007 was $2,237.6 million, an increase of 34% over net revenue of $1,670.3 million in fiscal 2006.</w:t>
      </w:r>
    </w:p>
    <w:p>
      <w:pPr>
        <w:spacing w:after="0" w:line="181"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All results reported are preliminary because Marvell is in the midst of a previously announced internal review by a special committee of its Board of Directors relating to the Company’s historical stock option practices and related accounting matters. The special committee is conducting its review with the assistance of independent legal counsel and outside accounting experts. The Company does not expect to be in a position to announce additional financial results for the fourth fiscal quarter and fiscal year ended January 27, 2007 until the special committee has completed its review and the Company has completed the restatement of its historical financial statements. Please refer to the Reports on Form 8-K filed with the Securities and Exchange Commission on October 3, 2006 and October 17, 2006 for further information about the internal review and the determination to restate historical financial statements. The special committee is working to complete its stock option review in a timely manner; however, in light of the review, Marvell does not expect to be in a position to file its Form 10-K for fiscal 2007 by the March 28, 2007 filing deadline.</w:t>
      </w:r>
    </w:p>
    <w:p>
      <w:pPr>
        <w:spacing w:after="0" w:line="179"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“We are pleased with our results for the fourth quarter” stated Dr. Sehat Sutardja, Marvell’s President and CEO. “During the quarter we successfully completed the integration of the applications and communications processor business we purchased from Intel. As we start a new fiscal year we are excited about the positioning of our advanced product portfolio as well as our ability to deliver solid growth.”</w:t>
      </w:r>
    </w:p>
    <w:p>
      <w:pPr>
        <w:spacing w:after="0" w:line="181" w:lineRule="exact"/>
        <w:rPr>
          <w:sz w:val="20"/>
          <w:szCs w:val="20"/>
          <w:color w:val="auto"/>
        </w:rPr>
      </w:pPr>
    </w:p>
    <w:p>
      <w:pPr>
        <w:ind w:right="80"/>
        <w:spacing w:after="0" w:line="297" w:lineRule="auto"/>
        <w:rPr>
          <w:sz w:val="20"/>
          <w:szCs w:val="20"/>
          <w:color w:val="auto"/>
        </w:rPr>
      </w:pPr>
      <w:r>
        <w:rPr>
          <w:rFonts w:ascii="Arial" w:cs="Arial" w:eastAsia="Arial" w:hAnsi="Arial"/>
          <w:sz w:val="16"/>
          <w:szCs w:val="16"/>
          <w:color w:val="auto"/>
        </w:rPr>
        <w:t>Marvell will be conducting a conference call today at 1:45 p.m. PST to discuss its fourth quarter business. The call is being webcast by Thomson/CCBN and can be accessed at Marvell’s web site at www.marvell.com. The webcast is also being distributed through Thomson StreetEvents Network. Individual investors can listen to the call at www.earnings.com, Thomson’s individual investor portal, powered by StreetEvents. Institutional investors can access the call via Thomson StreetEvents (www.streetevents.com), a password-protected event management site. The conference call will also be available via the web at www.marvell.com. Please visit the Investor Events section. Replay on the Internet will be available until February 26, 2008.</w:t>
      </w:r>
    </w:p>
    <w:p>
      <w:pPr>
        <w:spacing w:after="0" w:line="200" w:lineRule="exact"/>
        <w:rPr>
          <w:sz w:val="20"/>
          <w:szCs w:val="20"/>
          <w:color w:val="auto"/>
        </w:rPr>
      </w:pP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8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Marvell Semiconductor Germany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20"/>
        <w:spacing w:after="0" w:line="285" w:lineRule="auto"/>
        <w:rPr>
          <w:sz w:val="20"/>
          <w:szCs w:val="20"/>
          <w:color w:val="auto"/>
        </w:rPr>
      </w:pPr>
      <w:r>
        <w:rPr>
          <w:rFonts w:ascii="Arial" w:cs="Arial" w:eastAsia="Arial" w:hAnsi="Arial"/>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our financial results for the fourth fiscal quarter and fiscal year 2007, our expectations regarding the announcement of additional financial results for its fourth fiscal quarter and fiscal year 2007, our expectations regarding the filing of our Form 10-K for that fiscal year and our ability to deliver solid growth. Statements that refer to, or are based on projections, uncertain events or assumptions also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timing and outcome of the special committee’s review and the conclusions of the special committee resulting from that review, actions that may be taken or required as a result of the special committee’s review, and actions by the Securities and Exchange Commission or other regulatory agencies as a result of their review of our stock option practices, with respect to our stock option practices. In particular, Marvell may be required to make adjustments to its financial results for the second, third and fourth quarters of fiscal 2007 and for the full 2007 fiscal year, as well as its financial results previously reported for prior periods, as a result of the special committee’s review. Those adjustments could have a material adverse effect on our results of operations for those periods. When the review is complete and Marvell files its Form Form 10-K, the financial statements may differ from the results disclosed in this press release, not only as a result of any required adjustments resulting from the special committee review, but also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section titled “Risk Factors” in Marvell’s quarterly report on Form 10-Q for the fiscal quarter ended April 29, 2006, the section titled “Additional Risk Factors” in Marvell’s current report on Form 8-K filed on October 17, 2006, and other factors detailed from time to time in Marvell’s filings with the Securities and Exchange Commission. We undertake no obligation to revise or update publicly any forward-looking statements.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Marvell logo are trademarks of Marvell.  All other trademarks are the property of their respective owners.</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337" w:right="239" w:bottom="0" w:gutter="0" w:footer="0" w:header="0"/>
        </w:sectPr>
      </w:pPr>
    </w:p>
    <w:bookmarkStart w:id="3" w:name="page4"/>
    <w:bookmarkEnd w:id="3"/>
    <w:p>
      <w:pPr>
        <w:jc w:val="center"/>
        <w:spacing w:after="0"/>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44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2019-12-14T20:23:43Z</dcterms:created>
  <dcterms:modified xsi:type="dcterms:W3CDTF">2019-12-14T20:23:43Z</dcterms:modified>
</cp:coreProperties>
</file>