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8-K/A</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jc w:val="center"/>
        <w:ind w:right="-3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54"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Date of Report (Date of earliest event reported): November 8, 2006</w:t>
      </w:r>
    </w:p>
    <w:p>
      <w:pPr>
        <w:spacing w:after="0" w:line="198"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ind w:left="15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8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2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2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2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2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20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400" w:space="720"/>
            <w:col w:w="2540"/>
          </w:cols>
          <w:pgMar w:left="240" w:top="530" w:right="279" w:bottom="0" w:gutter="0" w:footer="0" w:header="0"/>
          <w:type w:val="continuous"/>
        </w:sectPr>
      </w:pPr>
    </w:p>
    <w:p>
      <w:pPr>
        <w:spacing w:after="0" w:line="6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30"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300" w:hanging="292"/>
        <w:spacing w:after="0"/>
        <w:tabs>
          <w:tab w:leader="none" w:pos="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300" w:hanging="292"/>
        <w:spacing w:after="0"/>
        <w:tabs>
          <w:tab w:leader="none" w:pos="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300" w:hanging="292"/>
        <w:spacing w:after="0"/>
        <w:tabs>
          <w:tab w:leader="none" w:pos="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300" w:hanging="292"/>
        <w:spacing w:after="0"/>
        <w:tabs>
          <w:tab w:leader="none" w:pos="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w:jc w:val="both"/>
        <w:ind w:right="120" w:firstLine="648"/>
        <w:spacing w:after="0" w:line="264" w:lineRule="auto"/>
        <w:rPr>
          <w:sz w:val="20"/>
          <w:szCs w:val="20"/>
          <w:color w:val="auto"/>
        </w:rPr>
      </w:pPr>
      <w:r>
        <w:rPr>
          <w:rFonts w:ascii="Arial" w:cs="Arial" w:eastAsia="Arial" w:hAnsi="Arial"/>
          <w:sz w:val="18"/>
          <w:szCs w:val="18"/>
          <w:color w:val="auto"/>
        </w:rPr>
        <w:t>This amendment to the Current Report on Form 8-K originally dated November 8, 2006, is being filed to update information regarding the filing of historical financial statements of the communications and application processor business (the “Business”) of Intel Corporation that was acquired by Marvell Technology Group Ltd. (the “Company”) and pro forma financial information relating to such acquisition.</w:t>
      </w:r>
    </w:p>
    <w:p>
      <w:pPr>
        <w:spacing w:after="0" w:line="177"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5" w:lineRule="exact"/>
        <w:rPr>
          <w:sz w:val="24"/>
          <w:szCs w:val="24"/>
          <w:color w:val="auto"/>
        </w:rPr>
      </w:pPr>
    </w:p>
    <w:p>
      <w:pPr>
        <w:ind w:left="1320" w:hanging="664"/>
        <w:spacing w:after="0"/>
        <w:tabs>
          <w:tab w:leader="none" w:pos="132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Financial Statements of Businesses Acquired</w:t>
      </w:r>
    </w:p>
    <w:p>
      <w:pPr>
        <w:spacing w:after="0" w:line="225" w:lineRule="exact"/>
        <w:rPr>
          <w:rFonts w:ascii="Arial" w:cs="Arial" w:eastAsia="Arial" w:hAnsi="Arial"/>
          <w:sz w:val="18"/>
          <w:szCs w:val="18"/>
          <w:b w:val="1"/>
          <w:bCs w:val="1"/>
          <w:color w:val="auto"/>
        </w:rPr>
      </w:pPr>
    </w:p>
    <w:p>
      <w:pPr>
        <w:ind w:left="1340" w:hanging="684"/>
        <w:spacing w:after="0"/>
        <w:tabs>
          <w:tab w:leader="none" w:pos="134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Pro Forma Financial Information</w:t>
      </w:r>
    </w:p>
    <w:p>
      <w:pPr>
        <w:spacing w:after="0" w:line="229" w:lineRule="exact"/>
        <w:rPr>
          <w:sz w:val="24"/>
          <w:szCs w:val="24"/>
          <w:color w:val="auto"/>
        </w:rPr>
      </w:pPr>
    </w:p>
    <w:p>
      <w:pPr>
        <w:ind w:right="100" w:firstLine="648"/>
        <w:spacing w:after="0" w:line="270" w:lineRule="auto"/>
        <w:rPr>
          <w:sz w:val="20"/>
          <w:szCs w:val="20"/>
          <w:color w:val="auto"/>
        </w:rPr>
      </w:pPr>
      <w:r>
        <w:rPr>
          <w:rFonts w:ascii="Arial" w:cs="Arial" w:eastAsia="Arial" w:hAnsi="Arial"/>
          <w:sz w:val="17"/>
          <w:szCs w:val="17"/>
          <w:color w:val="auto"/>
        </w:rPr>
        <w:t>Financial statements of the Business and pro forma financial information have not been included herein but are required by the Securities and Exchange Commission to be included in an amendment to this Current Report on Form 8-K to be filed not later than 71 calendar days after the date that this Current Report on Form 8-K is required to be filed. As previously announced by the Company, a special committee of the Company’s Board of Directors, with the assistance of independent legal counsel and outside accounting experts, has been conducting an internal review relating to the Company’s historical stock option practices and related accounting matters. The Company also announced that, based on the preliminary findings of the special committee, and upon the recommendation of management and the Audit Committee of the Board of Directors, the Board of Directors concluded on October 2, 2006 that the Company will need to restate historical financial statements to record additional non-cash charges for stock-based compensation expense related to past option grants. The Company has not yet been able to determine the amount of these charges, the resulting tax and accounting impact of these actions, or which specific reporting periods require restatement.</w:t>
      </w:r>
    </w:p>
    <w:p>
      <w:pPr>
        <w:spacing w:after="0" w:line="182" w:lineRule="exact"/>
        <w:rPr>
          <w:sz w:val="24"/>
          <w:szCs w:val="24"/>
          <w:color w:val="auto"/>
        </w:rPr>
      </w:pPr>
    </w:p>
    <w:p>
      <w:pPr>
        <w:ind w:right="20" w:firstLine="648"/>
        <w:spacing w:after="0" w:line="259" w:lineRule="auto"/>
        <w:rPr>
          <w:sz w:val="20"/>
          <w:szCs w:val="20"/>
          <w:color w:val="auto"/>
        </w:rPr>
      </w:pPr>
      <w:r>
        <w:rPr>
          <w:rFonts w:ascii="Arial" w:cs="Arial" w:eastAsia="Arial" w:hAnsi="Arial"/>
          <w:sz w:val="18"/>
          <w:szCs w:val="18"/>
          <w:color w:val="auto"/>
        </w:rPr>
        <w:t>The Company has not yet completed such restatement process, and accordingly will not be providing at this time the financial statements of the Business and the pro forma financial information required by this Item 9.01(a) and (b). The Company will further amend this Current Report on Form 8-K to include the financial statements of the Business and the pro forma financial information as soon as practicable after all relevant restated financial statements have been filed.</w:t>
      </w:r>
    </w:p>
    <w:p>
      <w:pPr>
        <w:sectPr>
          <w:pgSz w:w="11900" w:h="16838" w:orient="portrait"/>
          <w:cols w:equalWidth="0" w:num="1">
            <w:col w:w="11380"/>
          </w:cols>
          <w:pgMar w:left="240" w:top="530" w:right="279" w:bottom="0" w:gutter="0" w:footer="0" w:header="0"/>
          <w:type w:val="continuous"/>
        </w:sectPr>
      </w:pPr>
    </w:p>
    <w:bookmarkStart w:id="1" w:name="page2"/>
    <w:bookmarkEnd w:id="1"/>
    <w:p>
      <w:pPr>
        <w:ind w:left="1320" w:hanging="664"/>
        <w:spacing w:after="0"/>
        <w:tabs>
          <w:tab w:leader="none" w:pos="132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Shell Company Transactions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tbl>
      <w:tblPr>
        <w:tblLayout w:type="fixed"/>
        <w:tblInd w:w="660" w:type="dxa"/>
        <w:tblCellMar>
          <w:top w:w="0" w:type="dxa"/>
          <w:left w:w="0" w:type="dxa"/>
          <w:bottom w:w="0" w:type="dxa"/>
          <w:right w:w="0" w:type="dxa"/>
        </w:tblCellMar>
      </w:tblPr>
      <w:tr>
        <w:trPr>
          <w:trHeight w:val="234"/>
        </w:trPr>
        <w:tc>
          <w:tcPr>
            <w:tcW w:w="440" w:type="dxa"/>
            <w:vAlign w:val="bottom"/>
          </w:tcPr>
          <w:p>
            <w:pPr>
              <w:spacing w:after="0"/>
              <w:rPr>
                <w:sz w:val="20"/>
                <w:szCs w:val="20"/>
                <w:color w:val="auto"/>
              </w:rPr>
            </w:pPr>
            <w:r>
              <w:rPr>
                <w:rFonts w:ascii="Arial" w:cs="Arial" w:eastAsia="Arial" w:hAnsi="Arial"/>
                <w:sz w:val="18"/>
                <w:szCs w:val="18"/>
                <w:b w:val="1"/>
                <w:bCs w:val="1"/>
                <w:color w:val="auto"/>
              </w:rPr>
              <w:t>(d)</w:t>
            </w:r>
          </w:p>
        </w:tc>
        <w:tc>
          <w:tcPr>
            <w:tcW w:w="1620" w:type="dxa"/>
            <w:vAlign w:val="bottom"/>
            <w:gridSpan w:val="3"/>
          </w:tcPr>
          <w:p>
            <w:pPr>
              <w:ind w:left="240"/>
              <w:spacing w:after="0"/>
              <w:rPr>
                <w:sz w:val="20"/>
                <w:szCs w:val="20"/>
                <w:color w:val="auto"/>
              </w:rPr>
            </w:pPr>
            <w:r>
              <w:rPr>
                <w:rFonts w:ascii="Arial" w:cs="Arial" w:eastAsia="Arial" w:hAnsi="Arial"/>
                <w:sz w:val="18"/>
                <w:szCs w:val="18"/>
                <w:b w:val="1"/>
                <w:bCs w:val="1"/>
                <w:color w:val="auto"/>
              </w:rPr>
              <w:t>Exhibits</w:t>
            </w:r>
          </w:p>
        </w:tc>
        <w:tc>
          <w:tcPr>
            <w:tcW w:w="7180" w:type="dxa"/>
            <w:vAlign w:val="bottom"/>
          </w:tcPr>
          <w:p>
            <w:pPr>
              <w:spacing w:after="0"/>
              <w:rPr>
                <w:sz w:val="20"/>
                <w:szCs w:val="20"/>
                <w:color w:val="auto"/>
              </w:rPr>
            </w:pPr>
          </w:p>
        </w:tc>
      </w:tr>
      <w:tr>
        <w:trPr>
          <w:trHeight w:val="351"/>
        </w:trPr>
        <w:tc>
          <w:tcPr>
            <w:tcW w:w="4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0" w:type="dxa"/>
            <w:vAlign w:val="bottom"/>
            <w:gridSpan w:val="2"/>
          </w:tcPr>
          <w:p>
            <w:pPr>
              <w:ind w:left="140"/>
              <w:spacing w:after="0"/>
              <w:rPr>
                <w:sz w:val="20"/>
                <w:szCs w:val="20"/>
                <w:color w:val="auto"/>
              </w:rPr>
            </w:pPr>
            <w:r>
              <w:rPr>
                <w:rFonts w:ascii="Arial" w:cs="Arial" w:eastAsia="Arial" w:hAnsi="Arial"/>
                <w:sz w:val="14"/>
                <w:szCs w:val="14"/>
                <w:b w:val="1"/>
                <w:bCs w:val="1"/>
                <w:color w:val="auto"/>
              </w:rPr>
              <w:t>Exhibit No.</w:t>
            </w:r>
          </w:p>
        </w:tc>
        <w:tc>
          <w:tcPr>
            <w:tcW w:w="7180" w:type="dxa"/>
            <w:vAlign w:val="bottom"/>
          </w:tcPr>
          <w:p>
            <w:pPr>
              <w:ind w:left="3240"/>
              <w:spacing w:after="0"/>
              <w:rPr>
                <w:sz w:val="20"/>
                <w:szCs w:val="20"/>
                <w:color w:val="auto"/>
              </w:rPr>
            </w:pPr>
            <w:r>
              <w:rPr>
                <w:rFonts w:ascii="Arial" w:cs="Arial" w:eastAsia="Arial" w:hAnsi="Arial"/>
                <w:sz w:val="14"/>
                <w:szCs w:val="14"/>
                <w:b w:val="1"/>
                <w:bCs w:val="1"/>
                <w:color w:val="auto"/>
              </w:rPr>
              <w:t>Description</w:t>
            </w:r>
          </w:p>
        </w:tc>
      </w:tr>
      <w:tr>
        <w:trPr>
          <w:trHeight w:val="195"/>
        </w:trPr>
        <w:tc>
          <w:tcPr>
            <w:tcW w:w="4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98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87"/>
              </w:rPr>
              <w:t>2.1</w:t>
            </w:r>
          </w:p>
        </w:tc>
        <w:tc>
          <w:tcPr>
            <w:tcW w:w="220" w:type="dxa"/>
            <w:vAlign w:val="bottom"/>
          </w:tcPr>
          <w:p>
            <w:pPr>
              <w:spacing w:after="0"/>
              <w:rPr>
                <w:sz w:val="16"/>
                <w:szCs w:val="16"/>
                <w:color w:val="auto"/>
              </w:rPr>
            </w:pPr>
          </w:p>
        </w:tc>
        <w:tc>
          <w:tcPr>
            <w:tcW w:w="71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6"/>
              </w:rPr>
              <w:t>Asset Purchase Agreement dated as of June 26, 2006, by and between Intel Corporation and</w:t>
            </w:r>
          </w:p>
        </w:tc>
      </w:tr>
      <w:tr>
        <w:trPr>
          <w:trHeight w:val="230"/>
        </w:trPr>
        <w:tc>
          <w:tcPr>
            <w:tcW w:w="4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Marvell Technology Group Ltd.*</w:t>
            </w:r>
          </w:p>
        </w:tc>
      </w:tr>
      <w:tr>
        <w:trPr>
          <w:trHeight w:val="418"/>
        </w:trPr>
        <w:tc>
          <w:tcPr>
            <w:tcW w:w="440" w:type="dxa"/>
            <w:vAlign w:val="bottom"/>
          </w:tcPr>
          <w:p>
            <w:pPr>
              <w:spacing w:after="0"/>
              <w:rPr>
                <w:sz w:val="24"/>
                <w:szCs w:val="24"/>
                <w:color w:val="auto"/>
              </w:rPr>
            </w:pPr>
          </w:p>
        </w:tc>
        <w:tc>
          <w:tcPr>
            <w:tcW w:w="1400" w:type="dxa"/>
            <w:vAlign w:val="bottom"/>
            <w:gridSpan w:val="2"/>
          </w:tcPr>
          <w:p>
            <w:pPr>
              <w:jc w:val="center"/>
              <w:ind w:left="310"/>
              <w:spacing w:after="0"/>
              <w:rPr>
                <w:sz w:val="20"/>
                <w:szCs w:val="20"/>
                <w:color w:val="auto"/>
              </w:rPr>
            </w:pPr>
            <w:r>
              <w:rPr>
                <w:rFonts w:ascii="Arial" w:cs="Arial" w:eastAsia="Arial" w:hAnsi="Arial"/>
                <w:sz w:val="18"/>
                <w:szCs w:val="18"/>
                <w:color w:val="auto"/>
                <w:w w:val="91"/>
              </w:rPr>
              <w:t>10.1</w:t>
            </w:r>
          </w:p>
        </w:tc>
        <w:tc>
          <w:tcPr>
            <w:tcW w:w="220" w:type="dxa"/>
            <w:vAlign w:val="bottom"/>
          </w:tcPr>
          <w:p>
            <w:pPr>
              <w:spacing w:after="0"/>
              <w:rPr>
                <w:sz w:val="24"/>
                <w:szCs w:val="24"/>
                <w:color w:val="auto"/>
              </w:rPr>
            </w:pPr>
          </w:p>
        </w:tc>
        <w:tc>
          <w:tcPr>
            <w:tcW w:w="7180" w:type="dxa"/>
            <w:vAlign w:val="bottom"/>
          </w:tcPr>
          <w:p>
            <w:pPr>
              <w:spacing w:after="0"/>
              <w:rPr>
                <w:sz w:val="20"/>
                <w:szCs w:val="20"/>
                <w:color w:val="auto"/>
              </w:rPr>
            </w:pPr>
            <w:r>
              <w:rPr>
                <w:rFonts w:ascii="Arial" w:cs="Arial" w:eastAsia="Arial" w:hAnsi="Arial"/>
                <w:sz w:val="18"/>
                <w:szCs w:val="18"/>
                <w:color w:val="auto"/>
                <w:w w:val="96"/>
              </w:rPr>
              <w:t>Credit Agreement dated as of November 8, 2006, among Marvell Technology Group Ltd., the</w:t>
            </w:r>
          </w:p>
        </w:tc>
      </w:tr>
      <w:tr>
        <w:trPr>
          <w:trHeight w:val="216"/>
        </w:trPr>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w w:val="94"/>
              </w:rPr>
              <w:t>Lenders party thereto, Credit Suisse, Cayman Islands Branch, as Administrative Agent, LaSalle</w:t>
            </w:r>
          </w:p>
        </w:tc>
      </w:tr>
      <w:tr>
        <w:trPr>
          <w:trHeight w:val="216"/>
        </w:trPr>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National Association, as Syndication Agent, and KeyBank National Association and</w:t>
            </w:r>
          </w:p>
        </w:tc>
      </w:tr>
      <w:tr>
        <w:trPr>
          <w:trHeight w:val="230"/>
        </w:trPr>
        <w:tc>
          <w:tcPr>
            <w:tcW w:w="4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Commerzbank AG, as Co-Documentation Agents.*</w:t>
            </w:r>
          </w:p>
        </w:tc>
      </w:tr>
      <w:tr>
        <w:trPr>
          <w:trHeight w:val="418"/>
        </w:trPr>
        <w:tc>
          <w:tcPr>
            <w:tcW w:w="440" w:type="dxa"/>
            <w:vAlign w:val="bottom"/>
          </w:tcPr>
          <w:p>
            <w:pPr>
              <w:spacing w:after="0"/>
              <w:rPr>
                <w:sz w:val="24"/>
                <w:szCs w:val="24"/>
                <w:color w:val="auto"/>
              </w:rPr>
            </w:pPr>
          </w:p>
        </w:tc>
        <w:tc>
          <w:tcPr>
            <w:tcW w:w="1400" w:type="dxa"/>
            <w:vAlign w:val="bottom"/>
            <w:gridSpan w:val="2"/>
          </w:tcPr>
          <w:p>
            <w:pPr>
              <w:jc w:val="center"/>
              <w:ind w:left="310"/>
              <w:spacing w:after="0"/>
              <w:rPr>
                <w:sz w:val="20"/>
                <w:szCs w:val="20"/>
                <w:color w:val="auto"/>
              </w:rPr>
            </w:pPr>
            <w:r>
              <w:rPr>
                <w:rFonts w:ascii="Arial" w:cs="Arial" w:eastAsia="Arial" w:hAnsi="Arial"/>
                <w:sz w:val="18"/>
                <w:szCs w:val="18"/>
                <w:color w:val="auto"/>
                <w:w w:val="91"/>
              </w:rPr>
              <w:t>10.2</w:t>
            </w:r>
          </w:p>
        </w:tc>
        <w:tc>
          <w:tcPr>
            <w:tcW w:w="220" w:type="dxa"/>
            <w:vAlign w:val="bottom"/>
          </w:tcPr>
          <w:p>
            <w:pPr>
              <w:spacing w:after="0"/>
              <w:rPr>
                <w:sz w:val="24"/>
                <w:szCs w:val="24"/>
                <w:color w:val="auto"/>
              </w:rPr>
            </w:pPr>
          </w:p>
        </w:tc>
        <w:tc>
          <w:tcPr>
            <w:tcW w:w="7180" w:type="dxa"/>
            <w:vAlign w:val="bottom"/>
          </w:tcPr>
          <w:p>
            <w:pPr>
              <w:spacing w:after="0"/>
              <w:rPr>
                <w:sz w:val="20"/>
                <w:szCs w:val="20"/>
                <w:color w:val="auto"/>
              </w:rPr>
            </w:pPr>
            <w:r>
              <w:rPr>
                <w:rFonts w:ascii="Arial" w:cs="Arial" w:eastAsia="Arial" w:hAnsi="Arial"/>
                <w:sz w:val="18"/>
                <w:szCs w:val="18"/>
                <w:color w:val="auto"/>
                <w:w w:val="95"/>
              </w:rPr>
              <w:t>US Pledge Agreement dated as of November 8, 2006, among Marvell Technology Group Ltd.,</w:t>
            </w:r>
          </w:p>
        </w:tc>
      </w:tr>
      <w:tr>
        <w:trPr>
          <w:trHeight w:val="230"/>
        </w:trPr>
        <w:tc>
          <w:tcPr>
            <w:tcW w:w="4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180" w:type="dxa"/>
            <w:vAlign w:val="bottom"/>
          </w:tcPr>
          <w:p>
            <w:pPr>
              <w:spacing w:after="0"/>
              <w:rPr>
                <w:sz w:val="20"/>
                <w:szCs w:val="20"/>
                <w:color w:val="auto"/>
              </w:rPr>
            </w:pPr>
            <w:r>
              <w:rPr>
                <w:rFonts w:ascii="Arial" w:cs="Arial" w:eastAsia="Arial" w:hAnsi="Arial"/>
                <w:sz w:val="18"/>
                <w:szCs w:val="18"/>
                <w:color w:val="auto"/>
                <w:w w:val="94"/>
              </w:rPr>
              <w:t>Marvell Technology, Inc. and Credit Suisse, Cayman Islands Branch, as Administrative Agent.*</w:t>
            </w:r>
          </w:p>
        </w:tc>
      </w:tr>
      <w:tr>
        <w:trPr>
          <w:trHeight w:val="418"/>
        </w:trPr>
        <w:tc>
          <w:tcPr>
            <w:tcW w:w="440" w:type="dxa"/>
            <w:vAlign w:val="bottom"/>
          </w:tcPr>
          <w:p>
            <w:pPr>
              <w:spacing w:after="0"/>
              <w:rPr>
                <w:sz w:val="24"/>
                <w:szCs w:val="24"/>
                <w:color w:val="auto"/>
              </w:rPr>
            </w:pPr>
          </w:p>
        </w:tc>
        <w:tc>
          <w:tcPr>
            <w:tcW w:w="1400" w:type="dxa"/>
            <w:vAlign w:val="bottom"/>
            <w:gridSpan w:val="2"/>
          </w:tcPr>
          <w:p>
            <w:pPr>
              <w:jc w:val="center"/>
              <w:ind w:left="310"/>
              <w:spacing w:after="0"/>
              <w:rPr>
                <w:sz w:val="20"/>
                <w:szCs w:val="20"/>
                <w:color w:val="auto"/>
              </w:rPr>
            </w:pPr>
            <w:r>
              <w:rPr>
                <w:rFonts w:ascii="Arial" w:cs="Arial" w:eastAsia="Arial" w:hAnsi="Arial"/>
                <w:sz w:val="18"/>
                <w:szCs w:val="18"/>
                <w:color w:val="auto"/>
                <w:w w:val="91"/>
              </w:rPr>
              <w:t>10.3</w:t>
            </w:r>
          </w:p>
        </w:tc>
        <w:tc>
          <w:tcPr>
            <w:tcW w:w="220" w:type="dxa"/>
            <w:vAlign w:val="bottom"/>
          </w:tcPr>
          <w:p>
            <w:pPr>
              <w:spacing w:after="0"/>
              <w:rPr>
                <w:sz w:val="24"/>
                <w:szCs w:val="24"/>
                <w:color w:val="auto"/>
              </w:rPr>
            </w:pPr>
          </w:p>
        </w:tc>
        <w:tc>
          <w:tcPr>
            <w:tcW w:w="7180" w:type="dxa"/>
            <w:vAlign w:val="bottom"/>
          </w:tcPr>
          <w:p>
            <w:pPr>
              <w:spacing w:after="0"/>
              <w:rPr>
                <w:sz w:val="20"/>
                <w:szCs w:val="20"/>
                <w:color w:val="auto"/>
              </w:rPr>
            </w:pPr>
            <w:r>
              <w:rPr>
                <w:rFonts w:ascii="Arial" w:cs="Arial" w:eastAsia="Arial" w:hAnsi="Arial"/>
                <w:sz w:val="18"/>
                <w:szCs w:val="18"/>
                <w:color w:val="auto"/>
                <w:w w:val="94"/>
              </w:rPr>
              <w:t>Bermuda Pledge Agreement dated as of November 8, 2006, among Marvell Technology Group</w:t>
            </w:r>
          </w:p>
        </w:tc>
      </w:tr>
      <w:tr>
        <w:trPr>
          <w:trHeight w:val="216"/>
        </w:trPr>
        <w:tc>
          <w:tcPr>
            <w:tcW w:w="4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180" w:type="dxa"/>
            <w:vAlign w:val="bottom"/>
          </w:tcPr>
          <w:p>
            <w:pPr>
              <w:spacing w:after="0"/>
              <w:rPr>
                <w:sz w:val="20"/>
                <w:szCs w:val="20"/>
                <w:color w:val="auto"/>
              </w:rPr>
            </w:pPr>
            <w:r>
              <w:rPr>
                <w:rFonts w:ascii="Arial" w:cs="Arial" w:eastAsia="Arial" w:hAnsi="Arial"/>
                <w:sz w:val="18"/>
                <w:szCs w:val="18"/>
                <w:color w:val="auto"/>
                <w:w w:val="97"/>
              </w:rPr>
              <w:t>Ltd., Marvell International Ltd. and Credit Suisse, Cayman Islands Branch, as Administrative</w:t>
            </w:r>
          </w:p>
        </w:tc>
      </w:tr>
      <w:tr>
        <w:trPr>
          <w:trHeight w:val="230"/>
        </w:trPr>
        <w:tc>
          <w:tcPr>
            <w:tcW w:w="4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Agent.*</w:t>
            </w:r>
          </w:p>
        </w:tc>
      </w:tr>
      <w:tr>
        <w:trPr>
          <w:trHeight w:val="418"/>
        </w:trPr>
        <w:tc>
          <w:tcPr>
            <w:tcW w:w="440" w:type="dxa"/>
            <w:vAlign w:val="bottom"/>
          </w:tcPr>
          <w:p>
            <w:pPr>
              <w:spacing w:after="0"/>
              <w:rPr>
                <w:sz w:val="24"/>
                <w:szCs w:val="24"/>
                <w:color w:val="auto"/>
              </w:rPr>
            </w:pPr>
          </w:p>
        </w:tc>
        <w:tc>
          <w:tcPr>
            <w:tcW w:w="1400" w:type="dxa"/>
            <w:vAlign w:val="bottom"/>
            <w:gridSpan w:val="2"/>
          </w:tcPr>
          <w:p>
            <w:pPr>
              <w:jc w:val="center"/>
              <w:ind w:left="310"/>
              <w:spacing w:after="0"/>
              <w:rPr>
                <w:sz w:val="20"/>
                <w:szCs w:val="20"/>
                <w:color w:val="auto"/>
              </w:rPr>
            </w:pPr>
            <w:r>
              <w:rPr>
                <w:rFonts w:ascii="Arial" w:cs="Arial" w:eastAsia="Arial" w:hAnsi="Arial"/>
                <w:sz w:val="18"/>
                <w:szCs w:val="18"/>
                <w:color w:val="auto"/>
                <w:w w:val="91"/>
              </w:rPr>
              <w:t>10.4</w:t>
            </w:r>
          </w:p>
        </w:tc>
        <w:tc>
          <w:tcPr>
            <w:tcW w:w="220" w:type="dxa"/>
            <w:vAlign w:val="bottom"/>
          </w:tcPr>
          <w:p>
            <w:pPr>
              <w:spacing w:after="0"/>
              <w:rPr>
                <w:sz w:val="24"/>
                <w:szCs w:val="24"/>
                <w:color w:val="auto"/>
              </w:rPr>
            </w:pPr>
          </w:p>
        </w:tc>
        <w:tc>
          <w:tcPr>
            <w:tcW w:w="7180" w:type="dxa"/>
            <w:vAlign w:val="bottom"/>
          </w:tcPr>
          <w:p>
            <w:pPr>
              <w:spacing w:after="0"/>
              <w:rPr>
                <w:sz w:val="20"/>
                <w:szCs w:val="20"/>
                <w:color w:val="auto"/>
              </w:rPr>
            </w:pPr>
            <w:r>
              <w:rPr>
                <w:rFonts w:ascii="Arial" w:cs="Arial" w:eastAsia="Arial" w:hAnsi="Arial"/>
                <w:sz w:val="18"/>
                <w:szCs w:val="18"/>
                <w:color w:val="auto"/>
                <w:w w:val="91"/>
              </w:rPr>
              <w:t>Share Charge dated as of November 8, 2006 between Marvell International Ltd. and Credit Suisse,</w:t>
            </w:r>
          </w:p>
        </w:tc>
      </w:tr>
      <w:tr>
        <w:trPr>
          <w:trHeight w:val="230"/>
        </w:trPr>
        <w:tc>
          <w:tcPr>
            <w:tcW w:w="4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180" w:type="dxa"/>
            <w:vAlign w:val="bottom"/>
          </w:tcPr>
          <w:p>
            <w:pPr>
              <w:spacing w:after="0"/>
              <w:rPr>
                <w:sz w:val="20"/>
                <w:szCs w:val="20"/>
                <w:color w:val="auto"/>
              </w:rPr>
            </w:pPr>
            <w:r>
              <w:rPr>
                <w:rFonts w:ascii="Arial" w:cs="Arial" w:eastAsia="Arial" w:hAnsi="Arial"/>
                <w:sz w:val="18"/>
                <w:szCs w:val="18"/>
                <w:color w:val="auto"/>
              </w:rPr>
              <w:t>Cayman Islands Branch, as Administrative Agent.*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138938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95" w:lineRule="exact"/>
        <w:rPr>
          <w:sz w:val="20"/>
          <w:szCs w:val="20"/>
          <w:color w:val="auto"/>
        </w:rPr>
      </w:pPr>
    </w:p>
    <w:p>
      <w:pPr>
        <w:ind w:left="360" w:hanging="352"/>
        <w:spacing w:after="0"/>
        <w:tabs>
          <w:tab w:leader="none" w:pos="360" w:val="left"/>
        </w:tabs>
        <w:numPr>
          <w:ilvl w:val="0"/>
          <w:numId w:val="4"/>
        </w:numPr>
        <w:rPr>
          <w:rFonts w:ascii="Arial" w:cs="Arial" w:eastAsia="Arial" w:hAnsi="Arial"/>
          <w:sz w:val="18"/>
          <w:szCs w:val="18"/>
          <w:b w:val="1"/>
          <w:bCs w:val="1"/>
          <w:color w:val="auto"/>
        </w:rPr>
      </w:pPr>
      <w:r>
        <w:rPr>
          <w:rFonts w:ascii="Arial" w:cs="Arial" w:eastAsia="Arial" w:hAnsi="Arial"/>
          <w:sz w:val="18"/>
          <w:szCs w:val="18"/>
          <w:color w:val="auto"/>
        </w:rPr>
        <w:t>Filed previously.</w:t>
      </w:r>
    </w:p>
    <w:p>
      <w:pPr>
        <w:spacing w:after="0" w:line="200" w:lineRule="exact"/>
        <w:rPr>
          <w:sz w:val="20"/>
          <w:szCs w:val="20"/>
          <w:color w:val="auto"/>
        </w:rPr>
      </w:pPr>
    </w:p>
    <w:p>
      <w:pPr>
        <w:spacing w:after="0" w:line="241" w:lineRule="exact"/>
        <w:rPr>
          <w:sz w:val="20"/>
          <w:szCs w:val="20"/>
          <w:color w:val="auto"/>
        </w:rPr>
      </w:pPr>
    </w:p>
    <w:p>
      <w:pPr>
        <w:jc w:val="center"/>
        <w:ind w:right="-49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9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January 24, 2007</w:t>
      </w:r>
    </w:p>
    <w:p>
      <w:pPr>
        <w:spacing w:after="0" w:line="225"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940"/>
        <w:spacing w:after="0"/>
        <w:tabs>
          <w:tab w:leader="none" w:pos="638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p>
      <w:pPr>
        <w:jc w:val="center"/>
        <w:ind w:left="638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4061460</wp:posOffset>
            </wp:positionH>
            <wp:positionV relativeFrom="paragraph">
              <wp:posOffset>-130810</wp:posOffset>
            </wp:positionV>
            <wp:extent cx="319024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190240" cy="8890"/>
                    </a:xfrm>
                    <a:prstGeom prst="rect">
                      <a:avLst/>
                    </a:prstGeom>
                    <a:noFill/>
                  </pic:spPr>
                </pic:pic>
              </a:graphicData>
            </a:graphic>
          </wp:anchor>
        </w:drawing>
      </w:r>
    </w:p>
    <w:p>
      <w:pPr>
        <w:spacing w:after="0" w:line="3" w:lineRule="exact"/>
        <w:rPr>
          <w:sz w:val="20"/>
          <w:szCs w:val="20"/>
          <w:color w:val="auto"/>
        </w:rPr>
      </w:pPr>
    </w:p>
    <w:p>
      <w:pPr>
        <w:jc w:val="center"/>
        <w:ind w:left="638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638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81" w:lineRule="exact"/>
        <w:rPr>
          <w:sz w:val="20"/>
          <w:szCs w:val="20"/>
          <w:color w:val="auto"/>
        </w:rPr>
      </w:pPr>
    </w:p>
    <w:p>
      <w:pPr>
        <w:jc w:val="center"/>
        <w:ind w:right="-4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940"/>
      </w:cols>
      <w:pgMar w:left="240" w:top="121" w:right="7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o"/>
      <w:numFmt w:val="bullet"/>
      <w:start w:val="1"/>
    </w:lvl>
  </w:abstractNum>
  <w:abstractNum w:abstractNumId="1">
    <w:nsid w:val="19495CFF"/>
    <w:multiLevelType w:val="hybridMultilevel"/>
    <w:lvl w:ilvl="0">
      <w:lvlJc w:val="left"/>
      <w:lvlText w:val="(%1)"/>
      <w:numFmt w:val="lowerLetter"/>
      <w:start w:val="1"/>
    </w:lvl>
  </w:abstractNum>
  <w:abstractNum w:abstractNumId="2">
    <w:nsid w:val="2AE8944A"/>
    <w:multiLevelType w:val="hybridMultilevel"/>
    <w:lvl w:ilvl="0">
      <w:lvlJc w:val="left"/>
      <w:lvlText w:val="(%1)"/>
      <w:numFmt w:val="lowerLetter"/>
      <w:start w:val="3"/>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2019-12-14T20:28:06Z</dcterms:created>
  <dcterms:modified xsi:type="dcterms:W3CDTF">2019-12-14T20:28:06Z</dcterms:modified>
</cp:coreProperties>
</file>