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drawing>
          <wp:anchor simplePos="0" relativeHeight="251657728" behindDoc="1" locked="0" layoutInCell="0" allowOverlap="1">
            <wp:simplePos x="0" y="0"/>
            <wp:positionH relativeFrom="page">
              <wp:posOffset>157480</wp:posOffset>
            </wp:positionH>
            <wp:positionV relativeFrom="page">
              <wp:posOffset>157480</wp:posOffset>
            </wp:positionV>
            <wp:extent cx="7246620" cy="260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page">
              <wp:posOffset>157480</wp:posOffset>
            </wp:positionH>
            <wp:positionV relativeFrom="page">
              <wp:posOffset>200660</wp:posOffset>
            </wp:positionV>
            <wp:extent cx="7246620" cy="260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46620" cy="26035"/>
                    </a:xfrm>
                    <a:prstGeom prst="rect">
                      <a:avLst/>
                    </a:prstGeom>
                    <a:noFill/>
                  </pic:spPr>
                </pic:pic>
              </a:graphicData>
            </a:graphic>
          </wp:anchor>
        </w:drawing>
        <w:t>UNITED STATES</w:t>
      </w:r>
    </w:p>
    <w:p>
      <w:pPr>
        <w:spacing w:after="0" w:line="33"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SECURITIES AND EXCHANGE COMMISSION</w:t>
      </w:r>
    </w:p>
    <w:p>
      <w:pPr>
        <w:spacing w:after="0" w:line="4" w:lineRule="exact"/>
        <w:rPr>
          <w:sz w:val="24"/>
          <w:szCs w:val="24"/>
          <w:color w:val="auto"/>
        </w:rPr>
      </w:pPr>
    </w:p>
    <w:p>
      <w:pPr>
        <w:jc w:val="center"/>
        <w:spacing w:after="0"/>
        <w:rPr>
          <w:sz w:val="20"/>
          <w:szCs w:val="20"/>
          <w:color w:val="auto"/>
        </w:rPr>
      </w:pPr>
      <w:r>
        <w:rPr>
          <w:rFonts w:ascii="Arial" w:cs="Arial" w:eastAsia="Arial" w:hAnsi="Arial"/>
          <w:sz w:val="18"/>
          <w:szCs w:val="18"/>
          <w:b w:val="1"/>
          <w:bCs w:val="1"/>
          <w:color w:val="auto"/>
        </w:rPr>
        <w:t>WASHINGTON, D.C. 20549</w:t>
      </w:r>
    </w:p>
    <w:p>
      <w:pPr>
        <w:spacing w:after="0" w:line="182" w:lineRule="exact"/>
        <w:rPr>
          <w:sz w:val="24"/>
          <w:szCs w:val="24"/>
          <w:color w:val="auto"/>
        </w:rPr>
      </w:pPr>
    </w:p>
    <w:p>
      <w:pPr>
        <w:jc w:val="center"/>
        <w:spacing w:after="0"/>
        <w:rPr>
          <w:sz w:val="20"/>
          <w:szCs w:val="20"/>
          <w:color w:val="auto"/>
        </w:rPr>
      </w:pPr>
      <w:r>
        <w:rPr>
          <w:rFonts w:ascii="Arial" w:cs="Arial" w:eastAsia="Arial" w:hAnsi="Arial"/>
          <w:sz w:val="32"/>
          <w:szCs w:val="32"/>
          <w:b w:val="1"/>
          <w:bCs w:val="1"/>
          <w:color w:val="auto"/>
        </w:rPr>
        <w:t>FORM 8-K</w:t>
      </w:r>
    </w:p>
    <w:p>
      <w:pPr>
        <w:spacing w:after="0" w:line="226" w:lineRule="exact"/>
        <w:rPr>
          <w:sz w:val="24"/>
          <w:szCs w:val="24"/>
          <w:color w:val="auto"/>
        </w:rPr>
      </w:pPr>
    </w:p>
    <w:p>
      <w:pPr>
        <w:jc w:val="center"/>
        <w:spacing w:after="0"/>
        <w:rPr>
          <w:sz w:val="20"/>
          <w:szCs w:val="20"/>
          <w:color w:val="auto"/>
        </w:rPr>
      </w:pPr>
      <w:r>
        <w:rPr>
          <w:rFonts w:ascii="Arial" w:cs="Arial" w:eastAsia="Arial" w:hAnsi="Arial"/>
          <w:sz w:val="22"/>
          <w:szCs w:val="22"/>
          <w:b w:val="1"/>
          <w:bCs w:val="1"/>
          <w:color w:val="auto"/>
        </w:rPr>
        <w:t>CURRENT REPORT</w:t>
      </w:r>
    </w:p>
    <w:p>
      <w:pPr>
        <w:spacing w:after="0" w:line="206" w:lineRule="exact"/>
        <w:rPr>
          <w:sz w:val="24"/>
          <w:szCs w:val="24"/>
          <w:color w:val="auto"/>
        </w:rPr>
      </w:pPr>
    </w:p>
    <w:p>
      <w:pPr>
        <w:jc w:val="center"/>
        <w:spacing w:after="0"/>
        <w:rPr>
          <w:sz w:val="20"/>
          <w:szCs w:val="20"/>
          <w:color w:val="auto"/>
        </w:rPr>
      </w:pPr>
      <w:r>
        <w:rPr>
          <w:rFonts w:ascii="Arial" w:cs="Arial" w:eastAsia="Arial" w:hAnsi="Arial"/>
          <w:sz w:val="19"/>
          <w:szCs w:val="19"/>
          <w:b w:val="1"/>
          <w:bCs w:val="1"/>
          <w:color w:val="auto"/>
        </w:rPr>
        <w:t>Pursuant to Section 13 or 15(d) of the Securities Exchange Act of 1934</w:t>
      </w:r>
    </w:p>
    <w:p>
      <w:pPr>
        <w:spacing w:after="0" w:line="254"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Date of Report (Date of earliest event reported): December 28, 2006</w:t>
      </w:r>
    </w:p>
    <w:p>
      <w:pPr>
        <w:spacing w:after="0" w:line="198" w:lineRule="exact"/>
        <w:rPr>
          <w:sz w:val="24"/>
          <w:szCs w:val="24"/>
          <w:color w:val="auto"/>
        </w:rPr>
      </w:pPr>
    </w:p>
    <w:p>
      <w:pPr>
        <w:jc w:val="center"/>
        <w:ind w:right="20"/>
        <w:spacing w:after="0"/>
        <w:rPr>
          <w:sz w:val="20"/>
          <w:szCs w:val="20"/>
          <w:color w:val="auto"/>
        </w:rPr>
      </w:pPr>
      <w:r>
        <w:rPr>
          <w:rFonts w:ascii="Arial" w:cs="Arial" w:eastAsia="Arial" w:hAnsi="Arial"/>
          <w:sz w:val="32"/>
          <w:szCs w:val="32"/>
          <w:b w:val="1"/>
          <w:bCs w:val="1"/>
          <w:color w:val="auto"/>
        </w:rPr>
        <w:t>MARVELL TECHNOLOGY GROUP LTD.</w:t>
      </w:r>
    </w:p>
    <w:p>
      <w:pPr>
        <w:spacing w:after="0" w:line="40"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(Exact name of registrant as specified in its charter)</w:t>
      </w:r>
    </w:p>
    <w:p>
      <w:pPr>
        <w:sectPr>
          <w:pgSz w:w="11900" w:h="16838" w:orient="portrait"/>
          <w:cols w:equalWidth="0" w:num="1">
            <w:col w:w="11420"/>
          </w:cols>
          <w:pgMar w:left="240" w:top="530" w:right="239" w:bottom="32" w:gutter="0" w:footer="0" w:header="0"/>
        </w:sectPr>
      </w:pPr>
    </w:p>
    <w:p>
      <w:pPr>
        <w:spacing w:after="0" w:line="205" w:lineRule="exact"/>
        <w:rPr>
          <w:sz w:val="24"/>
          <w:szCs w:val="24"/>
          <w:color w:val="auto"/>
        </w:rPr>
      </w:pPr>
    </w:p>
    <w:p>
      <w:pPr>
        <w:ind w:left="1540"/>
        <w:spacing w:after="0"/>
        <w:rPr>
          <w:sz w:val="20"/>
          <w:szCs w:val="20"/>
          <w:color w:val="auto"/>
        </w:rPr>
      </w:pPr>
      <w:r>
        <w:rPr>
          <w:rFonts w:ascii="Arial" w:cs="Arial" w:eastAsia="Arial" w:hAnsi="Arial"/>
          <w:sz w:val="18"/>
          <w:szCs w:val="18"/>
          <w:b w:val="1"/>
          <w:bCs w:val="1"/>
          <w:color w:val="auto"/>
        </w:rPr>
        <w:t>Bermuda</w:t>
      </w:r>
    </w:p>
    <w:p>
      <w:pPr>
        <w:spacing w:after="0" w:line="27" w:lineRule="exact"/>
        <w:rPr>
          <w:sz w:val="24"/>
          <w:szCs w:val="24"/>
          <w:color w:val="auto"/>
        </w:rPr>
      </w:pPr>
    </w:p>
    <w:p>
      <w:pPr>
        <w:ind w:left="840"/>
        <w:spacing w:after="0"/>
        <w:rPr>
          <w:sz w:val="20"/>
          <w:szCs w:val="20"/>
          <w:color w:val="auto"/>
        </w:rPr>
      </w:pPr>
      <w:r>
        <w:rPr>
          <w:rFonts w:ascii="Arial" w:cs="Arial" w:eastAsia="Arial" w:hAnsi="Arial"/>
          <w:sz w:val="16"/>
          <w:szCs w:val="16"/>
          <w:color w:val="auto"/>
        </w:rPr>
        <w:t>(State or Other Jurisdiction of</w:t>
      </w:r>
    </w:p>
    <w:p>
      <w:pPr>
        <w:spacing w:after="0" w:line="32" w:lineRule="exact"/>
        <w:rPr>
          <w:sz w:val="24"/>
          <w:szCs w:val="24"/>
          <w:color w:val="auto"/>
        </w:rPr>
      </w:pPr>
    </w:p>
    <w:p>
      <w:pPr>
        <w:ind w:left="1380"/>
        <w:spacing w:after="0"/>
        <w:rPr>
          <w:sz w:val="20"/>
          <w:szCs w:val="20"/>
          <w:color w:val="auto"/>
        </w:rPr>
      </w:pPr>
      <w:r>
        <w:rPr>
          <w:rFonts w:ascii="Arial" w:cs="Arial" w:eastAsia="Arial" w:hAnsi="Arial"/>
          <w:sz w:val="18"/>
          <w:szCs w:val="18"/>
          <w:color w:val="auto"/>
        </w:rPr>
        <w:t>Incorporation)</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420"/>
        <w:spacing w:after="0"/>
        <w:rPr>
          <w:sz w:val="20"/>
          <w:szCs w:val="20"/>
          <w:color w:val="auto"/>
        </w:rPr>
      </w:pPr>
      <w:r>
        <w:rPr>
          <w:rFonts w:ascii="Arial" w:cs="Arial" w:eastAsia="Arial" w:hAnsi="Arial"/>
          <w:sz w:val="18"/>
          <w:szCs w:val="18"/>
          <w:b w:val="1"/>
          <w:bCs w:val="1"/>
          <w:color w:val="auto"/>
        </w:rPr>
        <w:t>0-30877</w:t>
      </w:r>
    </w:p>
    <w:p>
      <w:pPr>
        <w:spacing w:after="0" w:line="27" w:lineRule="exact"/>
        <w:rPr>
          <w:sz w:val="24"/>
          <w:szCs w:val="24"/>
          <w:color w:val="auto"/>
        </w:rPr>
      </w:pPr>
    </w:p>
    <w:p>
      <w:pPr>
        <w:jc w:val="center"/>
        <w:ind w:right="1420"/>
        <w:spacing w:after="0"/>
        <w:rPr>
          <w:sz w:val="20"/>
          <w:szCs w:val="20"/>
          <w:color w:val="auto"/>
        </w:rPr>
      </w:pPr>
      <w:r>
        <w:rPr>
          <w:rFonts w:ascii="Arial" w:cs="Arial" w:eastAsia="Arial" w:hAnsi="Arial"/>
          <w:sz w:val="16"/>
          <w:szCs w:val="16"/>
          <w:color w:val="auto"/>
        </w:rPr>
        <w:t>(Commission File Number)</w:t>
      </w:r>
    </w:p>
    <w:p>
      <w:pPr>
        <w:spacing w:after="0" w:line="20" w:lineRule="exact"/>
        <w:rPr>
          <w:sz w:val="24"/>
          <w:szCs w:val="24"/>
          <w:color w:val="auto"/>
        </w:rPr>
      </w:pPr>
      <w:r>
        <w:rPr>
          <w:sz w:val="24"/>
          <w:szCs w:val="24"/>
          <w:color w:val="auto"/>
        </w:rPr>
        <w:br w:type="column"/>
      </w:r>
    </w:p>
    <w:p>
      <w:pPr>
        <w:spacing w:after="0" w:line="185" w:lineRule="exact"/>
        <w:rPr>
          <w:sz w:val="24"/>
          <w:szCs w:val="24"/>
          <w:color w:val="auto"/>
        </w:rPr>
      </w:pPr>
    </w:p>
    <w:p>
      <w:pPr>
        <w:jc w:val="center"/>
        <w:ind w:right="1240"/>
        <w:spacing w:after="0"/>
        <w:rPr>
          <w:sz w:val="20"/>
          <w:szCs w:val="20"/>
          <w:color w:val="auto"/>
        </w:rPr>
      </w:pPr>
      <w:r>
        <w:rPr>
          <w:rFonts w:ascii="Arial" w:cs="Arial" w:eastAsia="Arial" w:hAnsi="Arial"/>
          <w:sz w:val="18"/>
          <w:szCs w:val="18"/>
          <w:b w:val="1"/>
          <w:bCs w:val="1"/>
          <w:color w:val="auto"/>
        </w:rPr>
        <w:t>77-0481679</w:t>
      </w:r>
    </w:p>
    <w:p>
      <w:pPr>
        <w:spacing w:after="0" w:line="27" w:lineRule="exact"/>
        <w:rPr>
          <w:sz w:val="24"/>
          <w:szCs w:val="24"/>
          <w:color w:val="auto"/>
        </w:rPr>
      </w:pPr>
    </w:p>
    <w:p>
      <w:pPr>
        <w:jc w:val="center"/>
        <w:ind w:right="1240"/>
        <w:spacing w:after="0"/>
        <w:rPr>
          <w:sz w:val="20"/>
          <w:szCs w:val="20"/>
          <w:color w:val="auto"/>
        </w:rPr>
      </w:pPr>
      <w:r>
        <w:rPr>
          <w:rFonts w:ascii="Arial" w:cs="Arial" w:eastAsia="Arial" w:hAnsi="Arial"/>
          <w:sz w:val="18"/>
          <w:szCs w:val="18"/>
          <w:color w:val="auto"/>
        </w:rPr>
        <w:t>(I.R.S. Employer</w:t>
      </w:r>
    </w:p>
    <w:p>
      <w:pPr>
        <w:spacing w:after="0" w:line="9" w:lineRule="exact"/>
        <w:rPr>
          <w:sz w:val="24"/>
          <w:szCs w:val="24"/>
          <w:color w:val="auto"/>
        </w:rPr>
      </w:pPr>
    </w:p>
    <w:p>
      <w:pPr>
        <w:jc w:val="center"/>
        <w:ind w:right="1240"/>
        <w:spacing w:after="0"/>
        <w:rPr>
          <w:sz w:val="20"/>
          <w:szCs w:val="20"/>
          <w:color w:val="auto"/>
        </w:rPr>
      </w:pPr>
      <w:r>
        <w:rPr>
          <w:rFonts w:ascii="Arial" w:cs="Arial" w:eastAsia="Arial" w:hAnsi="Arial"/>
          <w:sz w:val="17"/>
          <w:szCs w:val="17"/>
          <w:color w:val="auto"/>
        </w:rPr>
        <w:t>Identification No.)</w:t>
      </w:r>
    </w:p>
    <w:p>
      <w:pPr>
        <w:spacing w:after="0" w:line="211" w:lineRule="exact"/>
        <w:rPr>
          <w:sz w:val="24"/>
          <w:szCs w:val="24"/>
          <w:color w:val="auto"/>
        </w:rPr>
      </w:pPr>
    </w:p>
    <w:p>
      <w:pPr>
        <w:sectPr>
          <w:pgSz w:w="11900" w:h="16838" w:orient="portrait"/>
          <w:cols w:equalWidth="0" w:num="3">
            <w:col w:w="4000" w:space="720"/>
            <w:col w:w="3400" w:space="720"/>
            <w:col w:w="2580"/>
          </w:cols>
          <w:pgMar w:left="240" w:top="530" w:right="239" w:bottom="32" w:gutter="0" w:footer="0" w:header="0"/>
          <w:type w:val="continuous"/>
        </w:sectPr>
      </w:pPr>
    </w:p>
    <w:p>
      <w:pPr>
        <w:spacing w:after="0" w:line="61"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Canon’s Court</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22 Victoria Street</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Hamilton HM 12</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Bermuda</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(Address of principal executive offices)</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(441) 296-6395</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(Registrant’s telephone number,</w:t>
      </w:r>
    </w:p>
    <w:p>
      <w:pPr>
        <w:spacing w:after="0" w:line="9" w:lineRule="exact"/>
        <w:rPr>
          <w:sz w:val="24"/>
          <w:szCs w:val="24"/>
          <w:color w:val="auto"/>
        </w:rPr>
      </w:pPr>
    </w:p>
    <w:p>
      <w:pPr>
        <w:jc w:val="center"/>
        <w:ind w:right="-19"/>
        <w:spacing w:after="0"/>
        <w:rPr>
          <w:sz w:val="20"/>
          <w:szCs w:val="20"/>
          <w:color w:val="auto"/>
        </w:rPr>
      </w:pPr>
      <w:r>
        <w:rPr>
          <w:rFonts w:ascii="Arial" w:cs="Arial" w:eastAsia="Arial" w:hAnsi="Arial"/>
          <w:sz w:val="18"/>
          <w:szCs w:val="18"/>
          <w:color w:val="auto"/>
        </w:rPr>
        <w:t>including area code)</w:t>
      </w:r>
    </w:p>
    <w:p>
      <w:pPr>
        <w:spacing w:after="0" w:line="207" w:lineRule="exact"/>
        <w:rPr>
          <w:sz w:val="24"/>
          <w:szCs w:val="24"/>
          <w:color w:val="auto"/>
        </w:rPr>
      </w:pPr>
    </w:p>
    <w:p>
      <w:pPr>
        <w:jc w:val="center"/>
        <w:ind w:right="-19"/>
        <w:spacing w:after="0"/>
        <w:rPr>
          <w:sz w:val="20"/>
          <w:szCs w:val="20"/>
          <w:color w:val="auto"/>
        </w:rPr>
      </w:pPr>
      <w:r>
        <w:rPr>
          <w:rFonts w:ascii="Arial" w:cs="Arial" w:eastAsia="Arial" w:hAnsi="Arial"/>
          <w:sz w:val="18"/>
          <w:szCs w:val="18"/>
          <w:b w:val="1"/>
          <w:bCs w:val="1"/>
          <w:color w:val="auto"/>
        </w:rPr>
        <w:t>N/A</w:t>
      </w:r>
    </w:p>
    <w:p>
      <w:pPr>
        <w:spacing w:after="0" w:line="27" w:lineRule="exact"/>
        <w:rPr>
          <w:sz w:val="24"/>
          <w:szCs w:val="24"/>
          <w:color w:val="auto"/>
        </w:rPr>
      </w:pPr>
    </w:p>
    <w:p>
      <w:pPr>
        <w:jc w:val="center"/>
        <w:ind w:right="-19"/>
        <w:spacing w:after="0"/>
        <w:rPr>
          <w:sz w:val="20"/>
          <w:szCs w:val="20"/>
          <w:color w:val="auto"/>
        </w:rPr>
      </w:pPr>
      <w:r>
        <w:rPr>
          <w:rFonts w:ascii="Arial" w:cs="Arial" w:eastAsia="Arial" w:hAnsi="Arial"/>
          <w:sz w:val="16"/>
          <w:szCs w:val="16"/>
          <w:color w:val="auto"/>
        </w:rPr>
        <w:t>(Former name or former address, if changed since last report.)</w:t>
      </w:r>
    </w:p>
    <w:p>
      <w:pPr>
        <w:sectPr>
          <w:pgSz w:w="11900" w:h="16838" w:orient="portrait"/>
          <w:cols w:equalWidth="0" w:num="1">
            <w:col w:w="11420"/>
          </w:cols>
          <w:pgMar w:left="240" w:top="530" w:right="239" w:bottom="32" w:gutter="0" w:footer="0" w:header="0"/>
          <w:type w:val="continuous"/>
        </w:sectPr>
      </w:pPr>
    </w:p>
    <w:p>
      <w:pPr>
        <w:spacing w:after="0" w:line="234" w:lineRule="exact"/>
        <w:rPr>
          <w:sz w:val="24"/>
          <w:szCs w:val="24"/>
          <w:color w:val="auto"/>
        </w:rPr>
      </w:pPr>
    </w:p>
    <w:p>
      <w:pPr>
        <w:ind w:right="40"/>
        <w:spacing w:after="0" w:line="277" w:lineRule="auto"/>
        <w:rPr>
          <w:sz w:val="20"/>
          <w:szCs w:val="20"/>
          <w:color w:val="auto"/>
        </w:rPr>
      </w:pPr>
      <w:r>
        <w:rPr>
          <w:rFonts w:ascii="Arial" w:cs="Arial" w:eastAsia="Arial" w:hAnsi="Arial"/>
          <w:sz w:val="18"/>
          <w:szCs w:val="18"/>
          <w:color w:val="auto"/>
        </w:rPr>
        <w:t>Check the appropriate box below if the Form 8-K filing is intended to simultaneously satisfy the filing obligations of the registrant under any of the following provisions (see General Instruction A.2. below):</w:t>
      </w:r>
    </w:p>
    <w:p>
      <w:pPr>
        <w:spacing w:after="0" w:line="170" w:lineRule="exact"/>
        <w:rPr>
          <w:sz w:val="24"/>
          <w:szCs w:val="24"/>
          <w:color w:val="auto"/>
        </w:rPr>
      </w:pPr>
    </w:p>
    <w:p>
      <w:pPr>
        <w:ind w:left="300" w:hanging="292"/>
        <w:spacing w:after="0"/>
        <w:tabs>
          <w:tab w:leader="none" w:pos="300" w:val="left"/>
        </w:tabs>
        <w:numPr>
          <w:ilvl w:val="0"/>
          <w:numId w:val="1"/>
        </w:numPr>
        <w:rPr>
          <w:rFonts w:ascii="Arial" w:cs="Arial" w:eastAsia="Arial" w:hAnsi="Arial"/>
          <w:sz w:val="18"/>
          <w:szCs w:val="18"/>
          <w:color w:val="auto"/>
        </w:rPr>
      </w:pPr>
      <w:r>
        <w:rPr>
          <w:rFonts w:ascii="Arial" w:cs="Arial" w:eastAsia="Arial" w:hAnsi="Arial"/>
          <w:sz w:val="18"/>
          <w:szCs w:val="18"/>
          <w:color w:val="auto"/>
        </w:rPr>
        <w:t>Written communications pursuant to Rule 425 under the Securities Act (17 CFR 230.425)</w:t>
      </w:r>
    </w:p>
    <w:p>
      <w:pPr>
        <w:spacing w:after="0" w:line="225" w:lineRule="exact"/>
        <w:rPr>
          <w:rFonts w:ascii="Arial" w:cs="Arial" w:eastAsia="Arial" w:hAnsi="Arial"/>
          <w:sz w:val="18"/>
          <w:szCs w:val="18"/>
          <w:color w:val="auto"/>
        </w:rPr>
      </w:pPr>
    </w:p>
    <w:p>
      <w:pPr>
        <w:ind w:left="300" w:hanging="292"/>
        <w:spacing w:after="0"/>
        <w:tabs>
          <w:tab w:leader="none" w:pos="300" w:val="left"/>
        </w:tabs>
        <w:numPr>
          <w:ilvl w:val="0"/>
          <w:numId w:val="1"/>
        </w:numPr>
        <w:rPr>
          <w:rFonts w:ascii="Arial" w:cs="Arial" w:eastAsia="Arial" w:hAnsi="Arial"/>
          <w:sz w:val="18"/>
          <w:szCs w:val="18"/>
          <w:color w:val="auto"/>
        </w:rPr>
      </w:pPr>
      <w:r>
        <w:rPr>
          <w:rFonts w:ascii="Arial" w:cs="Arial" w:eastAsia="Arial" w:hAnsi="Arial"/>
          <w:sz w:val="18"/>
          <w:szCs w:val="18"/>
          <w:color w:val="auto"/>
        </w:rPr>
        <w:t>Soliciting material pursuant to Rule 14a-12 under the Exchange Act (17 CFR 240.14a-12)</w:t>
      </w:r>
    </w:p>
    <w:p>
      <w:pPr>
        <w:spacing w:after="0" w:line="225" w:lineRule="exact"/>
        <w:rPr>
          <w:rFonts w:ascii="Arial" w:cs="Arial" w:eastAsia="Arial" w:hAnsi="Arial"/>
          <w:sz w:val="18"/>
          <w:szCs w:val="18"/>
          <w:color w:val="auto"/>
        </w:rPr>
      </w:pPr>
    </w:p>
    <w:p>
      <w:pPr>
        <w:ind w:left="300" w:hanging="292"/>
        <w:spacing w:after="0"/>
        <w:tabs>
          <w:tab w:leader="none" w:pos="30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14d-2(b) under the Exchange Act (17 CFR 240.14d-2(b))</w:t>
      </w:r>
    </w:p>
    <w:p>
      <w:pPr>
        <w:spacing w:after="0" w:line="225" w:lineRule="exact"/>
        <w:rPr>
          <w:rFonts w:ascii="Arial" w:cs="Arial" w:eastAsia="Arial" w:hAnsi="Arial"/>
          <w:sz w:val="18"/>
          <w:szCs w:val="18"/>
          <w:color w:val="auto"/>
        </w:rPr>
      </w:pPr>
    </w:p>
    <w:p>
      <w:pPr>
        <w:ind w:left="300" w:hanging="292"/>
        <w:spacing w:after="0"/>
        <w:tabs>
          <w:tab w:leader="none" w:pos="300" w:val="left"/>
        </w:tabs>
        <w:numPr>
          <w:ilvl w:val="0"/>
          <w:numId w:val="1"/>
        </w:numPr>
        <w:rPr>
          <w:rFonts w:ascii="Arial" w:cs="Arial" w:eastAsia="Arial" w:hAnsi="Arial"/>
          <w:sz w:val="18"/>
          <w:szCs w:val="18"/>
          <w:color w:val="auto"/>
        </w:rPr>
      </w:pPr>
      <w:r>
        <w:rPr>
          <w:rFonts w:ascii="Arial" w:cs="Arial" w:eastAsia="Arial" w:hAnsi="Arial"/>
          <w:sz w:val="18"/>
          <w:szCs w:val="18"/>
          <w:color w:val="auto"/>
        </w:rPr>
        <w:t>Pre-commencement communications pursuant to Rule 13e-4(c) under the Exchange Act (17 CFR 240-13e-4(c))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5080</wp:posOffset>
            </wp:positionH>
            <wp:positionV relativeFrom="paragraph">
              <wp:posOffset>152400</wp:posOffset>
            </wp:positionV>
            <wp:extent cx="7246620" cy="26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5080</wp:posOffset>
            </wp:positionH>
            <wp:positionV relativeFrom="paragraph">
              <wp:posOffset>194945</wp:posOffset>
            </wp:positionV>
            <wp:extent cx="7246620" cy="260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7246620" cy="26035"/>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441325</wp:posOffset>
            </wp:positionV>
            <wp:extent cx="7267575" cy="298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2" w:lineRule="exact"/>
        <w:rPr>
          <w:sz w:val="24"/>
          <w:szCs w:val="24"/>
          <w:color w:val="auto"/>
        </w:rPr>
      </w:pPr>
    </w:p>
    <w:p>
      <w:pPr>
        <w:spacing w:after="0"/>
        <w:tabs>
          <w:tab w:leader="none" w:pos="1320" w:val="left"/>
        </w:tabs>
        <w:rPr>
          <w:sz w:val="20"/>
          <w:szCs w:val="20"/>
          <w:color w:val="auto"/>
        </w:rPr>
      </w:pPr>
      <w:r>
        <w:rPr>
          <w:rFonts w:ascii="Arial" w:cs="Arial" w:eastAsia="Arial" w:hAnsi="Arial"/>
          <w:sz w:val="18"/>
          <w:szCs w:val="18"/>
          <w:b w:val="1"/>
          <w:bCs w:val="1"/>
          <w:color w:val="auto"/>
        </w:rPr>
        <w:t>Item 8.01</w:t>
      </w:r>
      <w:r>
        <w:rPr>
          <w:sz w:val="20"/>
          <w:szCs w:val="20"/>
          <w:color w:val="auto"/>
        </w:rPr>
        <w:tab/>
      </w:r>
      <w:r>
        <w:rPr>
          <w:rFonts w:ascii="Arial" w:cs="Arial" w:eastAsia="Arial" w:hAnsi="Arial"/>
          <w:sz w:val="16"/>
          <w:szCs w:val="16"/>
          <w:b w:val="1"/>
          <w:bCs w:val="1"/>
          <w:color w:val="auto"/>
        </w:rPr>
        <w:t>Other Events.</w:t>
      </w:r>
    </w:p>
    <w:p>
      <w:pPr>
        <w:spacing w:after="0" w:line="229" w:lineRule="exact"/>
        <w:rPr>
          <w:sz w:val="24"/>
          <w:szCs w:val="24"/>
          <w:color w:val="auto"/>
        </w:rPr>
      </w:pPr>
    </w:p>
    <w:p>
      <w:pPr>
        <w:ind w:firstLine="648"/>
        <w:spacing w:after="0" w:line="271" w:lineRule="auto"/>
        <w:rPr>
          <w:sz w:val="20"/>
          <w:szCs w:val="20"/>
          <w:color w:val="auto"/>
        </w:rPr>
      </w:pPr>
      <w:r>
        <w:rPr>
          <w:rFonts w:ascii="Arial" w:cs="Arial" w:eastAsia="Arial" w:hAnsi="Arial"/>
          <w:sz w:val="17"/>
          <w:szCs w:val="17"/>
          <w:color w:val="auto"/>
        </w:rPr>
        <w:t>As previously reported, Marvell Technology Group Ltd. (the “Company”) received notices from The Nasdaq Stock Market stating that the Company is not in compliance with Nasdaq Marketplace Rule 4310(c)(14) because the Company has not timely filed its Reports on Form 10-Q for the fiscal quarters ended July 29, 2006 and October 28, 2006. The Company has received a written notice that the Nasdaq Listing Qualifications Panel (the “Panel”) has granted the Company’s request for continued listing on The Nasdaq Stock Market, subject to the conditions that (1) on or about March 7, 2007, the Company must submit additional information regarding the Company’s internal review of its historical stock option practices and related accounting matters and (2) on or before March 7, 2007, the Company must file its quarterly reports on Form 10-Q for the quarters ended July 29, 2006 and October 28, 2006 and any required restatements of its prior financial statements. The Company has requested that the Nasdaq Listing and Hearing Review Council review the Panel’s decision. There can be no assurance that the Company’s shares will remain listed on The Nasdaq Stock Market.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3175</wp:posOffset>
            </wp:positionH>
            <wp:positionV relativeFrom="paragraph">
              <wp:posOffset>343535</wp:posOffset>
            </wp:positionV>
            <wp:extent cx="7267575" cy="298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8" w:lineRule="exact"/>
        <w:rPr>
          <w:sz w:val="24"/>
          <w:szCs w:val="24"/>
          <w:color w:val="auto"/>
        </w:rPr>
      </w:pPr>
    </w:p>
    <w:p>
      <w:pPr>
        <w:spacing w:after="0"/>
        <w:rPr>
          <w:sz w:val="20"/>
          <w:szCs w:val="20"/>
          <w:color w:val="auto"/>
        </w:rPr>
      </w:pPr>
      <w:r>
        <w:rPr>
          <w:rFonts w:ascii="Arial" w:cs="Arial" w:eastAsia="Arial" w:hAnsi="Arial"/>
          <w:sz w:val="18"/>
          <w:szCs w:val="18"/>
          <w:b w:val="1"/>
          <w:bCs w:val="1"/>
          <w:color w:val="auto"/>
        </w:rPr>
        <w:t>SIGNATURE</w:t>
      </w:r>
    </w:p>
    <w:p>
      <w:pPr>
        <w:spacing w:after="0" w:line="229" w:lineRule="exact"/>
        <w:rPr>
          <w:sz w:val="24"/>
          <w:szCs w:val="24"/>
          <w:color w:val="auto"/>
        </w:rPr>
      </w:pPr>
    </w:p>
    <w:p>
      <w:pPr>
        <w:ind w:right="480" w:firstLine="648"/>
        <w:spacing w:after="0" w:line="277" w:lineRule="auto"/>
        <w:rPr>
          <w:sz w:val="20"/>
          <w:szCs w:val="20"/>
          <w:color w:val="auto"/>
        </w:rPr>
      </w:pPr>
      <w:r>
        <w:rPr>
          <w:rFonts w:ascii="Arial" w:cs="Arial" w:eastAsia="Arial" w:hAnsi="Arial"/>
          <w:sz w:val="18"/>
          <w:szCs w:val="18"/>
          <w:color w:val="auto"/>
        </w:rPr>
        <w:t>Pursuant to the requirements of the Securities Exchange Act of 1934, the registrant has duly caused this report to be signed on its behalf by the undersigned hereunto duly authorized.</w:t>
      </w:r>
    </w:p>
    <w:p>
      <w:pPr>
        <w:spacing w:after="0" w:line="170" w:lineRule="exact"/>
        <w:rPr>
          <w:sz w:val="24"/>
          <w:szCs w:val="24"/>
          <w:color w:val="auto"/>
        </w:rPr>
      </w:pPr>
    </w:p>
    <w:p>
      <w:pPr>
        <w:ind w:left="660"/>
        <w:spacing w:after="0"/>
        <w:rPr>
          <w:sz w:val="20"/>
          <w:szCs w:val="20"/>
          <w:color w:val="auto"/>
        </w:rPr>
      </w:pPr>
      <w:r>
        <w:rPr>
          <w:rFonts w:ascii="Arial" w:cs="Arial" w:eastAsia="Arial" w:hAnsi="Arial"/>
          <w:sz w:val="18"/>
          <w:szCs w:val="18"/>
          <w:color w:val="auto"/>
        </w:rPr>
        <w:t>Dated: January 19, 2007</w:t>
      </w:r>
    </w:p>
    <w:p>
      <w:pPr>
        <w:spacing w:after="0" w:line="225" w:lineRule="exact"/>
        <w:rPr>
          <w:sz w:val="24"/>
          <w:szCs w:val="24"/>
          <w:color w:val="auto"/>
        </w:rPr>
      </w:pPr>
    </w:p>
    <w:p>
      <w:pPr>
        <w:ind w:left="6400"/>
        <w:spacing w:after="0"/>
        <w:rPr>
          <w:sz w:val="20"/>
          <w:szCs w:val="20"/>
          <w:color w:val="auto"/>
        </w:rPr>
      </w:pPr>
      <w:r>
        <w:rPr>
          <w:rFonts w:ascii="Arial" w:cs="Arial" w:eastAsia="Arial" w:hAnsi="Arial"/>
          <w:sz w:val="18"/>
          <w:szCs w:val="18"/>
          <w:color w:val="auto"/>
        </w:rPr>
        <w:t>MARVELL TECHNOLOGY GROUP LTD.</w:t>
      </w:r>
    </w:p>
    <w:p>
      <w:pPr>
        <w:sectPr>
          <w:pgSz w:w="11900" w:h="16838" w:orient="portrait"/>
          <w:cols w:equalWidth="0" w:num="1">
            <w:col w:w="11420"/>
          </w:cols>
          <w:pgMar w:left="240" w:top="530" w:right="239" w:bottom="32" w:gutter="0" w:footer="0" w:header="0"/>
          <w:type w:val="continuous"/>
        </w:sectPr>
      </w:pPr>
    </w:p>
    <w:bookmarkStart w:id="1" w:name="page2"/>
    <w:bookmarkEnd w:id="1"/>
    <w:p>
      <w:pPr>
        <w:ind w:left="5200"/>
        <w:spacing w:after="0"/>
        <w:tabs>
          <w:tab w:leader="none" w:pos="5640" w:val="left"/>
        </w:tabs>
        <w:rPr>
          <w:sz w:val="20"/>
          <w:szCs w:val="20"/>
          <w:color w:val="auto"/>
        </w:rPr>
      </w:pPr>
      <w:r>
        <w:rPr>
          <w:rFonts w:ascii="Arial" w:cs="Arial" w:eastAsia="Arial" w:hAnsi="Arial"/>
          <w:sz w:val="18"/>
          <w:szCs w:val="18"/>
          <w:color w:val="auto"/>
        </w:rPr>
        <w:t>By:</w:t>
        <w:tab/>
        <w:t>/s/ George A. Hervey</w:t>
      </w:r>
    </w:p>
    <w:p>
      <w:pPr>
        <w:spacing w:after="0" w:line="23"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George A. Hervey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3599815</wp:posOffset>
            </wp:positionH>
            <wp:positionV relativeFrom="paragraph">
              <wp:posOffset>-130810</wp:posOffset>
            </wp:positionV>
            <wp:extent cx="2889885"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2889885" cy="8890"/>
                    </a:xfrm>
                    <a:prstGeom prst="rect">
                      <a:avLst/>
                    </a:prstGeom>
                    <a:noFill/>
                  </pic:spPr>
                </pic:pic>
              </a:graphicData>
            </a:graphic>
          </wp:anchor>
        </w:drawing>
      </w:r>
    </w:p>
    <w:p>
      <w:pPr>
        <w:spacing w:after="0" w:line="3" w:lineRule="exact"/>
        <w:rPr>
          <w:sz w:val="20"/>
          <w:szCs w:val="20"/>
          <w:color w:val="auto"/>
        </w:rPr>
      </w:pPr>
    </w:p>
    <w:p>
      <w:pPr>
        <w:jc w:val="center"/>
        <w:ind w:left="6860"/>
        <w:spacing w:after="0"/>
        <w:rPr>
          <w:sz w:val="20"/>
          <w:szCs w:val="20"/>
          <w:color w:val="auto"/>
        </w:rPr>
      </w:pPr>
      <w:r>
        <w:rPr>
          <w:rFonts w:ascii="Arial" w:cs="Arial" w:eastAsia="Arial" w:hAnsi="Arial"/>
          <w:sz w:val="16"/>
          <w:szCs w:val="16"/>
          <w:color w:val="auto"/>
        </w:rPr>
        <w:t>Vice President of Finance and</w:t>
      </w:r>
    </w:p>
    <w:p>
      <w:pPr>
        <w:spacing w:after="0" w:line="32" w:lineRule="exact"/>
        <w:rPr>
          <w:sz w:val="20"/>
          <w:szCs w:val="20"/>
          <w:color w:val="auto"/>
        </w:rPr>
      </w:pPr>
    </w:p>
    <w:p>
      <w:pPr>
        <w:jc w:val="center"/>
        <w:ind w:left="6860"/>
        <w:spacing w:after="0"/>
        <w:rPr>
          <w:sz w:val="20"/>
          <w:szCs w:val="20"/>
          <w:color w:val="auto"/>
        </w:rPr>
      </w:pPr>
      <w:r>
        <w:rPr>
          <w:rFonts w:ascii="Arial" w:cs="Arial" w:eastAsia="Arial" w:hAnsi="Arial"/>
          <w:sz w:val="18"/>
          <w:szCs w:val="18"/>
          <w:color w:val="auto"/>
        </w:rPr>
        <w:t>Chief Financial Officer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-758190</wp:posOffset>
            </wp:positionH>
            <wp:positionV relativeFrom="paragraph">
              <wp:posOffset>398145</wp:posOffset>
            </wp:positionV>
            <wp:extent cx="7267575" cy="298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67575" cy="29845"/>
                    </a:xfrm>
                    <a:prstGeom prst="rect">
                      <a:avLst/>
                    </a:prstGeom>
                    <a:noFill/>
                  </pic:spPr>
                </pic:pic>
              </a:graphicData>
            </a:graphic>
          </wp:anchor>
        </w:drawing>
      </w:r>
    </w:p>
    <w:sectPr>
      <w:pgSz w:w="11900" w:h="16838" w:orient="portrait"/>
      <w:cols w:equalWidth="0" w:num="1">
        <w:col w:w="9020"/>
      </w:cols>
      <w:pgMar w:left="1440" w:top="125" w:right="1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o"/>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2019-12-14T20:24:39Z</dcterms:created>
  <dcterms:modified xsi:type="dcterms:W3CDTF">2019-12-14T20:24:39Z</dcterms:modified>
</cp:coreProperties>
</file>