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2938145</wp:posOffset>
            </wp:positionH>
            <wp:positionV relativeFrom="paragraph">
              <wp:posOffset>210820</wp:posOffset>
            </wp:positionV>
            <wp:extent cx="138938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53"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233" w:lineRule="exact"/>
        <w:rPr>
          <w:sz w:val="24"/>
          <w:szCs w:val="24"/>
          <w:color w:val="auto"/>
        </w:rPr>
      </w:pPr>
    </w:p>
    <w:p>
      <w:pPr>
        <w:jc w:val="center"/>
        <w:ind w:right="-3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February 8,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747" w:right="27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40"/>
        <w:spacing w:after="0"/>
        <w:rPr>
          <w:sz w:val="20"/>
          <w:szCs w:val="20"/>
          <w:color w:val="auto"/>
        </w:rPr>
      </w:pPr>
      <w:r>
        <w:rPr>
          <w:rFonts w:ascii="Arial" w:cs="Arial" w:eastAsia="Arial" w:hAnsi="Arial"/>
          <w:sz w:val="16"/>
          <w:szCs w:val="16"/>
          <w:color w:val="auto"/>
        </w:rPr>
        <w:t>(State or Other Jurisdiction</w:t>
      </w:r>
    </w:p>
    <w:p>
      <w:pPr>
        <w:spacing w:after="0" w:line="32" w:lineRule="exact"/>
        <w:rPr>
          <w:sz w:val="24"/>
          <w:szCs w:val="24"/>
          <w:color w:val="auto"/>
        </w:rPr>
      </w:pPr>
    </w:p>
    <w:p>
      <w:pPr>
        <w:ind w:left="1200"/>
        <w:spacing w:after="0"/>
        <w:rPr>
          <w:sz w:val="20"/>
          <w:szCs w:val="20"/>
          <w:color w:val="auto"/>
        </w:rPr>
      </w:pPr>
      <w:r>
        <w:rPr>
          <w:rFonts w:ascii="Arial" w:cs="Arial" w:eastAsia="Arial" w:hAnsi="Arial"/>
          <w:sz w:val="18"/>
          <w:szCs w:val="18"/>
          <w:color w:val="auto"/>
        </w:rPr>
        <w:t>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40"/>
          </w:cols>
          <w:pgMar w:left="240" w:top="747"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747"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4"/>
          <w:szCs w:val="24"/>
          <w:color w:val="auto"/>
        </w:rPr>
      </w:pPr>
    </w:p>
    <w:p>
      <w:pPr>
        <w:ind w:right="120"/>
        <w:spacing w:after="0" w:line="259" w:lineRule="auto"/>
        <w:rPr>
          <w:sz w:val="20"/>
          <w:szCs w:val="20"/>
          <w:color w:val="auto"/>
        </w:rPr>
      </w:pPr>
      <w:r>
        <w:rPr>
          <w:rFonts w:ascii="Arial" w:cs="Arial" w:eastAsia="Arial" w:hAnsi="Arial"/>
          <w:sz w:val="18"/>
          <w:szCs w:val="18"/>
          <w:color w:val="auto"/>
        </w:rPr>
        <w:t>On February 8, 2007, Marvell Technology Group Ltd. (the “Company”) received a letter from The Nasdaq Stock Market stating that the Nasdaq Listing and Hearing Review Council (the “Listing Council”) has called for review the December 28, 2006 decision of the Nasdaq Listing Qualifications Panel (the “Panel”) regarding the Company and has also determined to stay the December 28, 2006 decision and any future Panel determinations to suspend the Company’s securities from trading, pending further action by the Listing Council.</w:t>
      </w:r>
    </w:p>
    <w:p>
      <w:pPr>
        <w:spacing w:after="0" w:line="187" w:lineRule="exact"/>
        <w:rPr>
          <w:sz w:val="24"/>
          <w:szCs w:val="24"/>
          <w:color w:val="auto"/>
        </w:rPr>
      </w:pPr>
    </w:p>
    <w:p>
      <w:pPr>
        <w:ind w:right="100"/>
        <w:spacing w:after="0" w:line="259" w:lineRule="auto"/>
        <w:rPr>
          <w:sz w:val="20"/>
          <w:szCs w:val="20"/>
          <w:color w:val="auto"/>
        </w:rPr>
      </w:pPr>
      <w:r>
        <w:rPr>
          <w:rFonts w:ascii="Arial" w:cs="Arial" w:eastAsia="Arial" w:hAnsi="Arial"/>
          <w:sz w:val="18"/>
          <w:szCs w:val="18"/>
          <w:color w:val="auto"/>
        </w:rPr>
        <w:t>As previously disclosed, the Panel’s December 28, 2006 decision conditioned the Company’s continued listing on The Nasdaq Stock Market on the Company’s (1) submission on or about March 7, 2007 of additional information regarding the Company’s internal review of its historical stock option practices and related accounting matters and (2) filing on or before March 7, 2007 of its quarterly reports on Form 10-Q for the quarters ended July 29, 2006 and October 28, 2006 and any required restatements of its prior financial statements.</w:t>
      </w:r>
    </w:p>
    <w:p>
      <w:pPr>
        <w:spacing w:after="0" w:line="187" w:lineRule="exact"/>
        <w:rPr>
          <w:sz w:val="24"/>
          <w:szCs w:val="24"/>
          <w:color w:val="auto"/>
        </w:rPr>
      </w:pPr>
    </w:p>
    <w:p>
      <w:pPr>
        <w:ind w:right="440"/>
        <w:spacing w:after="0" w:line="277" w:lineRule="auto"/>
        <w:rPr>
          <w:sz w:val="20"/>
          <w:szCs w:val="20"/>
          <w:color w:val="auto"/>
        </w:rPr>
      </w:pPr>
      <w:r>
        <w:rPr>
          <w:rFonts w:ascii="Arial" w:cs="Arial" w:eastAsia="Arial" w:hAnsi="Arial"/>
          <w:sz w:val="18"/>
          <w:szCs w:val="18"/>
          <w:color w:val="auto"/>
        </w:rPr>
        <w:t>During the stay, the Company’s shares will remain listed on The Nasdaq Stock Market. The Listing Council has informed the Company that it has until March 30, 2007 to submit any additional information that it wishes the Listing Council to consider in its review.</w:t>
      </w:r>
    </w:p>
    <w:p>
      <w:pPr>
        <w:spacing w:after="0" w:line="170"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There can be no assurance that the Company will be able to comply with any requirements that may result from such further Listing Council action or that the Company’s shares will remain listed on The Nasdaq Stock Market.</w:t>
      </w:r>
    </w:p>
    <w:p>
      <w:pPr>
        <w:spacing w:after="0" w:line="38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747" w:right="27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9, 2007</w:t>
      </w:r>
    </w:p>
    <w:p>
      <w:pPr>
        <w:spacing w:after="0" w:line="225" w:lineRule="exact"/>
        <w:rPr>
          <w:sz w:val="20"/>
          <w:szCs w:val="20"/>
          <w:color w:val="auto"/>
        </w:rPr>
      </w:pPr>
    </w:p>
    <w:p>
      <w:pPr>
        <w:ind w:left="68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6800"/>
        <w:spacing w:after="0"/>
        <w:rPr>
          <w:sz w:val="20"/>
          <w:szCs w:val="20"/>
          <w:color w:val="auto"/>
        </w:rPr>
      </w:pPr>
      <w:r>
        <w:rPr>
          <w:rFonts w:ascii="Arial" w:cs="Arial" w:eastAsia="Arial" w:hAnsi="Arial"/>
          <w:sz w:val="18"/>
          <w:szCs w:val="18"/>
          <w:color w:val="auto"/>
        </w:rPr>
        <w:t>By: /s/ George A. Hervey</w:t>
      </w:r>
    </w:p>
    <w:p>
      <w:pPr>
        <w:spacing w:after="0" w:line="23" w:lineRule="exact"/>
        <w:rPr>
          <w:sz w:val="20"/>
          <w:szCs w:val="20"/>
          <w:color w:val="auto"/>
        </w:rPr>
      </w:pPr>
    </w:p>
    <w:p>
      <w:pPr>
        <w:ind w:left="862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jc w:val="center"/>
        <w:ind w:left="714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714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4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940"/>
      </w:cols>
      <w:pgMar w:left="240" w:top="864" w:right="7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2019-12-12T01:11:01Z</dcterms:created>
  <dcterms:modified xsi:type="dcterms:W3CDTF">2019-12-12T01:11:01Z</dcterms:modified>
</cp:coreProperties>
</file>