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DOCUMENT TYPE SC 13G/A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TEXT</w:t>
      </w:r>
    </w:p>
    <w:p>
      <w:pPr>
        <w:spacing w:after="0" w:line="38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Washington, D.C. 20549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SCHEDULE 13G</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Under the Securities Exchange Act of 1934</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Amendment # 2</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Name of Issuer: MARVELL TECHNOLOGY GROUP LTD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_____________________________________________________</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Title of Class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of Securities: 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Number: G5876H105</w:t>
      </w:r>
    </w:p>
    <w:p>
      <w:pPr>
        <w:spacing w:after="0" w:line="197" w:lineRule="exact"/>
        <w:rPr>
          <w:sz w:val="24"/>
          <w:szCs w:val="24"/>
          <w:color w:val="auto"/>
        </w:rPr>
      </w:pPr>
    </w:p>
    <w:p>
      <w:pPr>
        <w:ind w:right="4659" w:firstLine="8"/>
        <w:spacing w:after="0" w:line="500" w:lineRule="auto"/>
        <w:tabs>
          <w:tab w:leader="none" w:pos="292"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AND I.R.S. IDENTIFICATION NO. OF REPORTING PERSON Prudential Financial, Inc. 22-3703799</w:t>
      </w:r>
    </w:p>
    <w:p>
      <w:pPr>
        <w:spacing w:after="0" w:line="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2.) MEMBER OF A GROUP: (a) N/A</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N/A</w:t>
      </w:r>
    </w:p>
    <w:p>
      <w:pPr>
        <w:spacing w:after="0" w:line="197" w:lineRule="exact"/>
        <w:rPr>
          <w:sz w:val="24"/>
          <w:szCs w:val="24"/>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SEC USE ONLY:</w:t>
      </w:r>
    </w:p>
    <w:p>
      <w:pPr>
        <w:spacing w:after="0" w:line="200" w:lineRule="exact"/>
        <w:rPr>
          <w:rFonts w:ascii="Courier New" w:cs="Courier New" w:eastAsia="Courier New" w:hAnsi="Courier New"/>
          <w:sz w:val="16"/>
          <w:szCs w:val="16"/>
          <w:color w:val="auto"/>
        </w:rPr>
      </w:pPr>
    </w:p>
    <w:p>
      <w:pPr>
        <w:spacing w:after="0" w:line="375"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PLACE OF ORGANIZATION: 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REPORTING PERSON WITH:</w:t>
      </w:r>
    </w:p>
    <w:p>
      <w:pPr>
        <w:spacing w:after="0" w:line="197" w:lineRule="exact"/>
        <w:rPr>
          <w:sz w:val="24"/>
          <w:szCs w:val="24"/>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Voting Power: 2,712,400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Voting Power: 24,131,207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Sole Dispositive Power: 2,712,400 See Exhibit A</w:t>
      </w:r>
    </w:p>
    <w:p>
      <w:pPr>
        <w:spacing w:after="0" w:line="7"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Shared Dispositive Power: 33,192,662 See Exhibit A</w:t>
      </w:r>
    </w:p>
    <w:p>
      <w:pPr>
        <w:spacing w:after="0" w:line="196" w:lineRule="exact"/>
        <w:rPr>
          <w:rFonts w:ascii="Courier New" w:cs="Courier New" w:eastAsia="Courier New" w:hAnsi="Courier New"/>
          <w:sz w:val="16"/>
          <w:szCs w:val="16"/>
          <w:color w:val="auto"/>
        </w:rPr>
      </w:pPr>
    </w:p>
    <w:p>
      <w:pPr>
        <w:ind w:left="300" w:hanging="292"/>
        <w:spacing w:after="0"/>
        <w:tabs>
          <w:tab w:leader="none" w:pos="30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BENEFICIALLY OWNED:</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35,905,062 See Exhibit A</w:t>
      </w:r>
    </w:p>
    <w:p>
      <w:pPr>
        <w:spacing w:after="0" w:line="197" w:lineRule="exact"/>
        <w:rPr>
          <w:sz w:val="24"/>
          <w:szCs w:val="24"/>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AGGREGATE AMOUNT IN ROW (9) EXCLUDES SHARES: Not Applicable</w:t>
      </w:r>
    </w:p>
    <w:p>
      <w:pPr>
        <w:spacing w:after="0" w:line="196" w:lineRule="exact"/>
        <w:rPr>
          <w:rFonts w:ascii="Courier New" w:cs="Courier New" w:eastAsia="Courier New" w:hAnsi="Courier New"/>
          <w:sz w:val="16"/>
          <w:szCs w:val="16"/>
          <w:color w:val="auto"/>
        </w:rPr>
      </w:pPr>
    </w:p>
    <w:p>
      <w:pPr>
        <w:ind w:left="400" w:hanging="392"/>
        <w:spacing w:after="0"/>
        <w:tabs>
          <w:tab w:leader="none" w:pos="40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PERCENT OF CLASS REPRESENTED BY AMOUNT IN ROW (9):</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6.1 See Exhibit A</w:t>
      </w:r>
    </w:p>
    <w:p>
      <w:pPr>
        <w:spacing w:after="0" w:line="197" w:lineRule="exact"/>
        <w:rPr>
          <w:sz w:val="24"/>
          <w:szCs w:val="24"/>
          <w:color w:val="auto"/>
        </w:rPr>
      </w:pPr>
    </w:p>
    <w:p>
      <w:pPr>
        <w:ind w:right="7099" w:firstLine="8"/>
        <w:spacing w:after="0" w:line="500" w:lineRule="auto"/>
        <w:tabs>
          <w:tab w:leader="none" w:pos="389"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TYPE OF REPORTING PERSON: HC ITEM 1(a). NAME OF ISSUER: MARVELL TECHNOLOGY GROUP LTD</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1(b). ADDRESS OF ISSUER'S EXECUTIVE OFFICES:</w:t>
      </w:r>
    </w:p>
    <w:p>
      <w:pPr>
        <w:spacing w:after="0" w:line="196" w:lineRule="exact"/>
        <w:rPr>
          <w:rFonts w:ascii="Courier New" w:cs="Courier New" w:eastAsia="Courier New" w:hAnsi="Courier New"/>
          <w:sz w:val="16"/>
          <w:szCs w:val="16"/>
          <w:color w:val="auto"/>
        </w:rPr>
      </w:pPr>
    </w:p>
    <w:p>
      <w:pPr>
        <w:ind w:right="1839"/>
        <w:spacing w:after="0" w:line="50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MARVELL TECHNOLOGY GROUP LTD Canon's Court 22 Victoria Street Hamilton, HM 12, Bermuda ITEM 2(a). NAME OF PERSON FILING:</w:t>
      </w:r>
    </w:p>
    <w:p>
      <w:pPr>
        <w:spacing w:after="0" w:line="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Prudential Financial, Inc.</w:t>
      </w:r>
    </w:p>
    <w:p>
      <w:pPr>
        <w:spacing w:after="0" w:line="196"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ITEM 2(b). ADDRESS OF PRINCIPAL BUSINESS OFFICE:</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751 Broad Street</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Newark, New Jersey 07102-3777</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2(c). CITIZENSHIP: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New Jersey</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2(d). TITLE OF CLASS OF SECURITIES:</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2(e). CUSIP NUMBER:</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G5876H105</w:t>
      </w:r>
    </w:p>
    <w:p>
      <w:pPr>
        <w:spacing w:after="0" w:line="197" w:lineRule="exact"/>
        <w:rPr>
          <w:sz w:val="24"/>
          <w:szCs w:val="24"/>
          <w:color w:val="auto"/>
        </w:rPr>
      </w:pPr>
    </w:p>
    <w:p>
      <w:pPr>
        <w:ind w:right="3299"/>
        <w:spacing w:after="0" w:line="251" w:lineRule="auto"/>
        <w:rPr>
          <w:sz w:val="20"/>
          <w:szCs w:val="20"/>
          <w:color w:val="auto"/>
        </w:rPr>
      </w:pPr>
      <w:r>
        <w:rPr>
          <w:rFonts w:ascii="Courier New" w:cs="Courier New" w:eastAsia="Courier New" w:hAnsi="Courier New"/>
          <w:sz w:val="16"/>
          <w:szCs w:val="16"/>
          <w:color w:val="auto"/>
        </w:rPr>
        <w:t>ITEM 3. The Person filing this statement is a Parent Holding Company as defined in Section 240.13d-1(b)(1)(ii)(G) of the Securities Exchange Act of 1934.</w:t>
      </w:r>
    </w:p>
    <w:p>
      <w:pPr>
        <w:spacing w:after="0" w:line="18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4. OWNERSHIP:</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(a) Number of Shares</w:t>
      </w:r>
    </w:p>
    <w:p>
      <w:pPr>
        <w:spacing w:after="0" w:line="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Beneficially Owned: 35,905,062 See Exhibit A</w:t>
      </w:r>
    </w:p>
    <w:p>
      <w:pPr>
        <w:spacing w:after="0" w:line="19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(b) Percent of Class: 6.1</w:t>
      </w:r>
    </w:p>
    <w:p>
      <w:pPr>
        <w:sectPr>
          <w:pgSz w:w="11900" w:h="16890" w:orient="portrait"/>
          <w:cols w:equalWidth="0" w:num="1">
            <w:col w:w="10219"/>
          </w:cols>
          <w:pgMar w:left="240" w:top="248"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6"/>
          <w:szCs w:val="16"/>
          <w:color w:val="auto"/>
        </w:rPr>
        <w:t>(c) Powers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No. Of Shares</w:t>
      </w:r>
    </w:p>
    <w:p>
      <w:pPr>
        <w:spacing w:after="0" w:line="197" w:lineRule="exact"/>
        <w:rPr>
          <w:sz w:val="20"/>
          <w:szCs w:val="20"/>
          <w:color w:val="auto"/>
        </w:rPr>
      </w:pPr>
    </w:p>
    <w:p>
      <w:pPr>
        <w:sectPr>
          <w:pgSz w:w="11900" w:h="16838" w:orient="portrait"/>
          <w:cols w:equalWidth="0" w:num="2">
            <w:col w:w="1820" w:space="720"/>
            <w:col w:w="7679"/>
          </w:cols>
          <w:pgMar w:left="240" w:top="680" w:right="1440" w:bottom="0" w:gutter="0" w:footer="0" w:header="0"/>
        </w:sectPr>
      </w:pPr>
    </w:p>
    <w:p>
      <w:pPr>
        <w:ind w:left="3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ectPr>
          <w:pgSz w:w="11900" w:h="16838" w:orient="portrait"/>
          <w:cols w:equalWidth="0" w:num="2">
            <w:col w:w="1720" w:space="720"/>
            <w:col w:w="777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Sole power to vote 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2,712,400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060" w:space="380"/>
            <w:col w:w="880" w:space="180"/>
            <w:col w:w="671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vote or</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24,131,207</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240" w:space="300"/>
            <w:col w:w="960" w:space="200"/>
            <w:col w:w="651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to direct the vote</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tabs>
          <w:tab w:leader="none" w:pos="2520" w:val="left"/>
        </w:tabs>
        <w:rPr>
          <w:sz w:val="20"/>
          <w:szCs w:val="20"/>
          <w:color w:val="auto"/>
        </w:rPr>
      </w:pPr>
      <w:r>
        <w:rPr>
          <w:rFonts w:ascii="Courier New" w:cs="Courier New" w:eastAsia="Courier New" w:hAnsi="Courier New"/>
          <w:sz w:val="16"/>
          <w:szCs w:val="16"/>
          <w:color w:val="auto"/>
        </w:rPr>
        <w:t>Sole power to dispose or</w:t>
        <w:tab/>
        <w:t>2,712,400 See Exhibit 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direct disposition</w:t>
      </w:r>
    </w:p>
    <w:p>
      <w:pPr>
        <w:sectPr>
          <w:pgSz w:w="11900" w:h="16838" w:orient="portrait"/>
          <w:cols w:equalWidth="0" w:num="1">
            <w:col w:w="10219"/>
          </w:cols>
          <w:pgMar w:left="240" w:top="680" w:right="1440" w:bottom="0" w:gutter="0" w:footer="0" w:header="0"/>
          <w:type w:val="continuous"/>
        </w:sectPr>
      </w:pP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Shared power to dispose</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33,192,662</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8" w:lineRule="exact"/>
        <w:rPr>
          <w:sz w:val="20"/>
          <w:szCs w:val="20"/>
          <w:color w:val="auto"/>
        </w:rPr>
      </w:pPr>
    </w:p>
    <w:p>
      <w:pPr>
        <w:sectPr>
          <w:pgSz w:w="11900" w:h="16838" w:orient="portrait"/>
          <w:cols w:equalWidth="0" w:num="3">
            <w:col w:w="2240" w:space="300"/>
            <w:col w:w="960" w:space="200"/>
            <w:col w:w="6519"/>
          </w:cols>
          <w:pgMar w:left="240" w:top="680" w:right="1440" w:bottom="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or to direct disposition</w:t>
      </w:r>
    </w:p>
    <w:p>
      <w:pPr>
        <w:sectPr>
          <w:pgSz w:w="11900" w:h="16838" w:orient="portrait"/>
          <w:cols w:equalWidth="0" w:num="1">
            <w:col w:w="10219"/>
          </w:cols>
          <w:pgMar w:left="240" w:top="680" w:right="1440" w:bottom="0" w:gutter="0" w:footer="0" w:header="0"/>
          <w:type w:val="continuous"/>
        </w:sectPr>
      </w:pP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5% OR LESS OF A CLASS: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 OF MORE THAN 5% ON BEHALF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ANOTHER PERSON:</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 AND CLASSIFICATION OF THE</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 WHICH ACQUIRED THE SECURITY BEING</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REPORTED ON BY THE ULTIMATE PARENT COMPANY:</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See Exhibit A</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MEMBERS OF THE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9. NOTICE OF DISSOLUTION OF GROUP:</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10. CERTIFICATION:</w:t>
      </w:r>
    </w:p>
    <w:p>
      <w:pPr>
        <w:spacing w:after="0" w:line="359" w:lineRule="exact"/>
        <w:rPr>
          <w:sz w:val="20"/>
          <w:szCs w:val="20"/>
          <w:color w:val="auto"/>
        </w:rPr>
      </w:pPr>
    </w:p>
    <w:p>
      <w:pPr>
        <w:ind w:right="2539"/>
        <w:spacing w:after="0" w:line="250" w:lineRule="auto"/>
        <w:rPr>
          <w:sz w:val="20"/>
          <w:szCs w:val="20"/>
          <w:color w:val="auto"/>
        </w:rPr>
      </w:pPr>
      <w:r>
        <w:rPr>
          <w:rFonts w:ascii="Courier New" w:cs="Courier New" w:eastAsia="Courier New" w:hAnsi="Courier New"/>
          <w:sz w:val="16"/>
          <w:szCs w:val="16"/>
          <w:color w:val="auto"/>
        </w:rPr>
        <w:t>By signing below, Prudential Financial, Inc. certifies that, to the best of its knowledge and belief, the securities referred to above were acquired</w:t>
      </w:r>
    </w:p>
    <w:p>
      <w:pPr>
        <w:spacing w:after="0" w:line="1" w:lineRule="exact"/>
        <w:rPr>
          <w:sz w:val="20"/>
          <w:szCs w:val="20"/>
          <w:color w:val="auto"/>
        </w:rPr>
      </w:pPr>
    </w:p>
    <w:p>
      <w:pPr>
        <w:ind w:right="2719"/>
        <w:spacing w:after="0" w:line="250" w:lineRule="auto"/>
        <w:rPr>
          <w:sz w:val="20"/>
          <w:szCs w:val="20"/>
          <w:color w:val="auto"/>
        </w:rPr>
      </w:pPr>
      <w:r>
        <w:rPr>
          <w:rFonts w:ascii="Courier New" w:cs="Courier New" w:eastAsia="Courier New" w:hAnsi="Courier New"/>
          <w:sz w:val="16"/>
          <w:szCs w:val="16"/>
          <w:color w:val="auto"/>
        </w:rPr>
        <w:t>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0" w:lineRule="exact"/>
        <w:rPr>
          <w:sz w:val="20"/>
          <w:szCs w:val="20"/>
          <w:color w:val="auto"/>
        </w:rPr>
      </w:pPr>
    </w:p>
    <w:p>
      <w:pPr>
        <w:spacing w:after="0" w:line="315" w:lineRule="exact"/>
        <w:rPr>
          <w:sz w:val="20"/>
          <w:szCs w:val="20"/>
          <w:color w:val="auto"/>
        </w:rPr>
      </w:pPr>
    </w:p>
    <w:p>
      <w:pPr>
        <w:ind w:right="2239"/>
        <w:spacing w:after="0" w:line="251" w:lineRule="auto"/>
        <w:rPr>
          <w:sz w:val="20"/>
          <w:szCs w:val="20"/>
          <w:color w:val="auto"/>
        </w:rPr>
      </w:pPr>
      <w:r>
        <w:rPr>
          <w:rFonts w:ascii="Courier New" w:cs="Courier New" w:eastAsia="Courier New" w:hAnsi="Courier New"/>
          <w:sz w:val="16"/>
          <w:szCs w:val="16"/>
          <w:color w:val="auto"/>
        </w:rPr>
        <w:t>The filing of this statement should not be construed as an admission that Prudential Financial, Inc. is, for purposes of Sections 13 or 16 of the Securities Exchange Act of 1934, the beneficial owner of such shares.</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w:t>
      </w:r>
    </w:p>
    <w:p>
      <w:pPr>
        <w:spacing w:after="0" w:line="197" w:lineRule="exact"/>
        <w:rPr>
          <w:sz w:val="20"/>
          <w:szCs w:val="20"/>
          <w:color w:val="auto"/>
        </w:rPr>
      </w:pPr>
    </w:p>
    <w:p>
      <w:pPr>
        <w:ind w:right="2919"/>
        <w:spacing w:after="0" w:line="251" w:lineRule="auto"/>
        <w:rPr>
          <w:sz w:val="20"/>
          <w:szCs w:val="20"/>
          <w:color w:val="auto"/>
        </w:rPr>
      </w:pPr>
      <w:r>
        <w:rPr>
          <w:rFonts w:ascii="Courier New" w:cs="Courier New" w:eastAsia="Courier New" w:hAnsi="Courier New"/>
          <w:sz w:val="16"/>
          <w:szCs w:val="16"/>
          <w:color w:val="auto"/>
        </w:rPr>
        <w:t>After reasonable inquiry and to the best of its knowledge and belief, Prudential Financial, Inc. certifies that the information set forth in this statement is true, complete and correct.</w:t>
      </w:r>
    </w:p>
    <w:p>
      <w:pPr>
        <w:spacing w:after="0" w:line="18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PRUDENTIAL FINANCIAL, INC.</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Frank Adamo</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Second Vice President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02/09/2007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of: 12/31/2006</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6. OWNERSHIP:</w:t>
      </w:r>
    </w:p>
    <w:p>
      <w:pPr>
        <w:spacing w:after="0" w:line="359" w:lineRule="exact"/>
        <w:rPr>
          <w:sz w:val="20"/>
          <w:szCs w:val="20"/>
          <w:color w:val="auto"/>
        </w:rPr>
      </w:pPr>
    </w:p>
    <w:p>
      <w:pPr>
        <w:ind w:right="3119"/>
        <w:spacing w:after="0" w:line="250" w:lineRule="auto"/>
        <w:rPr>
          <w:sz w:val="20"/>
          <w:szCs w:val="20"/>
          <w:color w:val="auto"/>
        </w:rPr>
      </w:pPr>
      <w:r>
        <w:rPr>
          <w:rFonts w:ascii="Courier New" w:cs="Courier New" w:eastAsia="Courier New" w:hAnsi="Courier New"/>
          <w:sz w:val="16"/>
          <w:szCs w:val="16"/>
          <w:color w:val="auto"/>
        </w:rPr>
        <w:t>Prudential Financial, Inc. may be deemed the beneficial owner of securities beneficially owned by the Item 7 listed entities and may have direct or indirect voting and/or investment discretion over 35,905,062 shares which are held for it's own benefit or for the benefit of its clients by its separate accounts, externally managed accounts, registered investment companies, subsidiaries and/or other affiliates. Prudential</w:t>
      </w:r>
    </w:p>
    <w:p>
      <w:pPr>
        <w:sectPr>
          <w:pgSz w:w="11900" w:h="16838" w:orient="portrait"/>
          <w:cols w:equalWidth="0" w:num="1">
            <w:col w:w="10219"/>
          </w:cols>
          <w:pgMar w:left="240" w:top="680" w:right="1440" w:bottom="0" w:gutter="0" w:footer="0" w:header="0"/>
          <w:type w:val="continuous"/>
        </w:sectPr>
      </w:pPr>
    </w:p>
    <w:bookmarkStart w:id="2" w:name="page3"/>
    <w:bookmarkEnd w:id="2"/>
    <w:p>
      <w:pPr>
        <w:ind w:right="4180"/>
        <w:spacing w:after="0" w:line="252" w:lineRule="auto"/>
        <w:rPr>
          <w:sz w:val="20"/>
          <w:szCs w:val="20"/>
          <w:color w:val="auto"/>
        </w:rPr>
      </w:pPr>
      <w:r>
        <w:rPr>
          <w:rFonts w:ascii="Courier New" w:cs="Courier New" w:eastAsia="Courier New" w:hAnsi="Courier New"/>
          <w:sz w:val="16"/>
          <w:szCs w:val="16"/>
          <w:color w:val="auto"/>
        </w:rPr>
        <w:t>Financial, Inc. is reporting the combined holdings of these entities for the purpose of administrative convenience.</w:t>
      </w:r>
    </w:p>
    <w:p>
      <w:pPr>
        <w:spacing w:after="0" w:line="187" w:lineRule="exact"/>
        <w:rPr>
          <w:sz w:val="20"/>
          <w:szCs w:val="20"/>
          <w:color w:val="auto"/>
        </w:rPr>
      </w:pPr>
    </w:p>
    <w:p>
      <w:pPr>
        <w:ind w:right="4280"/>
        <w:spacing w:after="0" w:line="250" w:lineRule="auto"/>
        <w:rPr>
          <w:sz w:val="20"/>
          <w:szCs w:val="20"/>
          <w:color w:val="auto"/>
        </w:rPr>
      </w:pPr>
      <w:r>
        <w:rPr>
          <w:rFonts w:ascii="Courier New" w:cs="Courier New" w:eastAsia="Courier New" w:hAnsi="Courier New"/>
          <w:sz w:val="16"/>
          <w:szCs w:val="16"/>
          <w:color w:val="auto"/>
        </w:rPr>
        <w:t>These shares were acquired in the ordinary course of business, and not with the purpose or effect of changing or influencing control of the Issuer. The filing of this statement should not be construed as an admission that Prudential Financial, Inc. is, for the purposes of Sections 13 or 16 of the Securities Exchange Act of 1934, the beneficial owner of these shares.</w:t>
      </w:r>
    </w:p>
    <w:p>
      <w:pPr>
        <w:spacing w:after="0" w:line="200" w:lineRule="exact"/>
        <w:rPr>
          <w:sz w:val="20"/>
          <w:szCs w:val="20"/>
          <w:color w:val="auto"/>
        </w:rPr>
      </w:pPr>
    </w:p>
    <w:p>
      <w:pPr>
        <w:spacing w:after="0" w:line="34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7. IDENTIFICATION/CLASSIFICATION:</w:t>
      </w:r>
    </w:p>
    <w:p>
      <w:pPr>
        <w:spacing w:after="0" w:line="197" w:lineRule="exact"/>
        <w:rPr>
          <w:sz w:val="20"/>
          <w:szCs w:val="20"/>
          <w:color w:val="auto"/>
        </w:rPr>
      </w:pPr>
    </w:p>
    <w:p>
      <w:pPr>
        <w:spacing w:after="0" w:line="252" w:lineRule="auto"/>
        <w:rPr>
          <w:sz w:val="20"/>
          <w:szCs w:val="20"/>
          <w:color w:val="auto"/>
        </w:rPr>
      </w:pPr>
      <w:r>
        <w:rPr>
          <w:rFonts w:ascii="Courier New" w:cs="Courier New" w:eastAsia="Courier New" w:hAnsi="Courier New"/>
          <w:sz w:val="16"/>
          <w:szCs w:val="16"/>
          <w:color w:val="auto"/>
        </w:rPr>
        <w:t>Prudential Financial, Inc. is a Parent Holding Company and the direct or indirect parent of the following Registered Investment Advisers and Broker Dealers:</w:t>
      </w:r>
    </w:p>
    <w:p>
      <w:pPr>
        <w:sectPr>
          <w:pgSz w:w="11900" w:h="16838" w:orient="portrait"/>
          <w:cols w:equalWidth="0" w:num="1">
            <w:col w:w="11280"/>
          </w:cols>
          <w:pgMar w:left="240" w:top="140"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The Prudential Insurance Company of America</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Jennison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Pramerica Asset Management,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Private Placement Investors, L.P.</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PRUCO Securities,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Investment Management Services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Equity Group,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Investment Services, Inc.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American Skandia Marketing, Inc.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Quantitative Management Associates LLC</w:t>
      </w:r>
    </w:p>
    <w:p>
      <w:pPr>
        <w:spacing w:after="0" w:line="8" w:lineRule="exact"/>
        <w:rPr>
          <w:sz w:val="20"/>
          <w:szCs w:val="20"/>
          <w:color w:val="auto"/>
        </w:rPr>
      </w:pPr>
    </w:p>
    <w:p>
      <w:pPr>
        <w:ind w:left="1080"/>
        <w:spacing w:after="0"/>
        <w:rPr>
          <w:sz w:val="20"/>
          <w:szCs w:val="20"/>
          <w:color w:val="auto"/>
        </w:rPr>
      </w:pPr>
      <w:r>
        <w:rPr>
          <w:rFonts w:ascii="Courier New" w:cs="Courier New" w:eastAsia="Courier New" w:hAnsi="Courier New"/>
          <w:sz w:val="16"/>
          <w:szCs w:val="16"/>
          <w:b w:val="1"/>
          <w:bCs w:val="1"/>
          <w:color w:val="auto"/>
        </w:rPr>
        <w:t>Prudential International Investments Advisers, LLC</w:t>
      </w:r>
    </w:p>
    <w:p>
      <w:pPr>
        <w:spacing w:after="0" w:line="8" w:lineRule="exact"/>
        <w:rPr>
          <w:sz w:val="20"/>
          <w:szCs w:val="20"/>
          <w:color w:val="auto"/>
        </w:rPr>
      </w:pPr>
    </w:p>
    <w:p>
      <w:pPr>
        <w:ind w:left="980"/>
        <w:spacing w:after="0"/>
        <w:rPr>
          <w:sz w:val="20"/>
          <w:szCs w:val="20"/>
          <w:color w:val="auto"/>
        </w:rPr>
      </w:pPr>
      <w:r>
        <w:rPr>
          <w:rFonts w:ascii="Courier New" w:cs="Courier New" w:eastAsia="Courier New" w:hAnsi="Courier New"/>
          <w:sz w:val="16"/>
          <w:szCs w:val="16"/>
          <w:b w:val="1"/>
          <w:bCs w:val="1"/>
          <w:color w:val="auto"/>
        </w:rPr>
        <w:t>Global Portfolio Strategies, Inc.</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 Global Securities, LLC</w:t>
      </w:r>
      <w:r>
        <w:rPr>
          <w:sz w:val="20"/>
          <w:szCs w:val="20"/>
          <w:color w:val="auto"/>
        </w:rPr>
        <w:tab/>
      </w:r>
      <w:r>
        <w:rPr>
          <w:rFonts w:ascii="Courier New" w:cs="Courier New" w:eastAsia="Courier New" w:hAnsi="Courier New"/>
          <w:sz w:val="15"/>
          <w:szCs w:val="15"/>
          <w:b w:val="1"/>
          <w:bCs w:val="1"/>
          <w:color w:val="auto"/>
        </w:rPr>
        <w:t>BD</w:t>
      </w:r>
    </w:p>
    <w:p>
      <w:pPr>
        <w:spacing w:after="0" w:line="8" w:lineRule="exact"/>
        <w:rPr>
          <w:sz w:val="20"/>
          <w:szCs w:val="20"/>
          <w:color w:val="auto"/>
        </w:rPr>
      </w:pPr>
    </w:p>
    <w:p>
      <w:pPr>
        <w:ind w:left="980"/>
        <w:spacing w:after="0"/>
        <w:tabs>
          <w:tab w:leader="none" w:pos="5440" w:val="left"/>
        </w:tabs>
        <w:rPr>
          <w:sz w:val="20"/>
          <w:szCs w:val="20"/>
          <w:color w:val="auto"/>
        </w:rPr>
      </w:pPr>
      <w:r>
        <w:rPr>
          <w:rFonts w:ascii="Courier New" w:cs="Courier New" w:eastAsia="Courier New" w:hAnsi="Courier New"/>
          <w:sz w:val="16"/>
          <w:szCs w:val="16"/>
          <w:b w:val="1"/>
          <w:bCs w:val="1"/>
          <w:color w:val="auto"/>
        </w:rPr>
        <w:t>Prudential Financial Derivatives, LLC</w:t>
      </w:r>
      <w:r>
        <w:rPr>
          <w:sz w:val="20"/>
          <w:szCs w:val="20"/>
          <w:color w:val="auto"/>
        </w:rPr>
        <w:tab/>
      </w:r>
      <w:r>
        <w:rPr>
          <w:rFonts w:ascii="Courier New" w:cs="Courier New" w:eastAsia="Courier New" w:hAnsi="Courier New"/>
          <w:sz w:val="15"/>
          <w:szCs w:val="15"/>
          <w:b w:val="1"/>
          <w:bCs w:val="1"/>
          <w:color w:val="auto"/>
        </w:rPr>
        <w:t>BD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IC,IA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IA,PN</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IA,BD</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BD</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6"/>
          <w:szCs w:val="16"/>
          <w:b w:val="1"/>
          <w:bCs w:val="1"/>
          <w:color w:val="auto"/>
        </w:rPr>
        <w:t>IA</w:t>
      </w:r>
    </w:p>
    <w:p>
      <w:pPr>
        <w:spacing w:after="0" w:line="8" w:lineRule="exact"/>
        <w:rPr>
          <w:sz w:val="20"/>
          <w:szCs w:val="20"/>
          <w:color w:val="auto"/>
        </w:rPr>
      </w:pPr>
    </w:p>
    <w:p>
      <w:pPr>
        <w:ind w:left="100"/>
        <w:spacing w:after="0"/>
        <w:rPr>
          <w:sz w:val="20"/>
          <w:szCs w:val="20"/>
          <w:color w:val="auto"/>
        </w:rPr>
      </w:pPr>
      <w:r>
        <w:rPr>
          <w:rFonts w:ascii="Courier New" w:cs="Courier New" w:eastAsia="Courier New" w:hAnsi="Courier New"/>
          <w:sz w:val="16"/>
          <w:szCs w:val="16"/>
          <w:b w:val="1"/>
          <w:bCs w:val="1"/>
          <w:color w:val="auto"/>
        </w:rPr>
        <w:t>IA</w:t>
      </w:r>
    </w:p>
    <w:sectPr>
      <w:pgSz w:w="11900" w:h="16838" w:orient="portrait"/>
      <w:cols w:equalWidth="0" w:num="2">
        <w:col w:w="5940" w:space="200"/>
        <w:col w:w="5140"/>
      </w:cols>
      <w:pgMar w:left="240" w:top="140" w:right="37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abstractNum>
  <w:abstractNum w:abstractNumId="1">
    <w:nsid w:val="2AE8944A"/>
    <w:multiLevelType w:val="hybridMultilevel"/>
    <w:lvl w:ilvl="0">
      <w:lvlJc w:val="left"/>
      <w:lvlText w:val="%1)"/>
      <w:numFmt w:val="decimal"/>
      <w:start w:val="3"/>
    </w:lvl>
  </w:abstractNum>
  <w:abstractNum w:abstractNumId="2">
    <w:nsid w:val="625558EC"/>
    <w:multiLevelType w:val="hybridMultilevel"/>
    <w:lvl w:ilvl="0">
      <w:lvlJc w:val="left"/>
      <w:lvlText w:val="%1)"/>
      <w:numFmt w:val="decimal"/>
      <w:start w:val="5"/>
    </w:lvl>
  </w:abstractNum>
  <w:abstractNum w:abstractNumId="3">
    <w:nsid w:val="238E1F29"/>
    <w:multiLevelType w:val="hybridMultilevel"/>
    <w:lvl w:ilvl="0">
      <w:lvlJc w:val="left"/>
      <w:lvlText w:val="%1)"/>
      <w:numFmt w:val="decimal"/>
      <w:start w:val="10"/>
    </w:lvl>
  </w:abstractNum>
  <w:abstractNum w:abstractNumId="4">
    <w:nsid w:val="46E87CCD"/>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2019-12-12T01:11:25Z</dcterms:created>
  <dcterms:modified xsi:type="dcterms:W3CDTF">2019-12-12T01:11:25Z</dcterms:modified>
</cp:coreProperties>
</file>