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16"/>
        </w:trPr>
        <w:tc>
          <w:tcPr>
            <w:tcW w:w="2980" w:type="dxa"/>
            <w:vAlign w:val="bottom"/>
          </w:tcPr>
          <w:p>
            <w:pPr>
              <w:spacing w:after="0"/>
              <w:rPr>
                <w:sz w:val="18"/>
                <w:szCs w:val="18"/>
                <w:color w:val="auto"/>
              </w:rPr>
            </w:pPr>
          </w:p>
        </w:tc>
        <w:tc>
          <w:tcPr>
            <w:tcW w:w="1620" w:type="dxa"/>
            <w:vAlign w:val="bottom"/>
          </w:tcPr>
          <w:p>
            <w:pPr>
              <w:spacing w:after="0"/>
              <w:rPr>
                <w:sz w:val="18"/>
                <w:szCs w:val="18"/>
                <w:color w:val="auto"/>
              </w:rPr>
            </w:pPr>
          </w:p>
        </w:tc>
        <w:tc>
          <w:tcPr>
            <w:tcW w:w="3040" w:type="dxa"/>
            <w:vAlign w:val="bottom"/>
          </w:tcPr>
          <w:p>
            <w:pPr>
              <w:jc w:val="center"/>
              <w:ind w:right="747"/>
              <w:spacing w:after="0"/>
              <w:rPr>
                <w:sz w:val="20"/>
                <w:szCs w:val="20"/>
                <w:color w:val="auto"/>
              </w:rPr>
            </w:pPr>
            <w:r>
              <w:rPr>
                <w:rFonts w:ascii="Times New Roman" w:cs="Times New Roman" w:eastAsia="Times New Roman" w:hAnsi="Times New Roman"/>
                <w:sz w:val="18"/>
                <w:szCs w:val="18"/>
                <w:b w:val="1"/>
                <w:bCs w:val="1"/>
                <w:color w:val="auto"/>
                <w:w w:val="97"/>
              </w:rPr>
              <w:t>UNITED STATES</w:t>
            </w:r>
          </w:p>
        </w:tc>
        <w:tc>
          <w:tcPr>
            <w:tcW w:w="940" w:type="dxa"/>
            <w:vAlign w:val="bottom"/>
            <w:tcBorders>
              <w:right w:val="single" w:sz="8" w:color="auto"/>
            </w:tcBorders>
          </w:tcPr>
          <w:p>
            <w:pPr>
              <w:spacing w:after="0"/>
              <w:rPr>
                <w:sz w:val="18"/>
                <w:szCs w:val="18"/>
                <w:color w:val="auto"/>
              </w:rPr>
            </w:pPr>
          </w:p>
        </w:tc>
        <w:tc>
          <w:tcPr>
            <w:tcW w:w="380" w:type="dxa"/>
            <w:vAlign w:val="bottom"/>
            <w:tcBorders>
              <w:top w:val="single" w:sz="8" w:color="auto"/>
              <w:bottom w:val="single" w:sz="8" w:color="auto"/>
            </w:tcBorders>
          </w:tcPr>
          <w:p>
            <w:pPr>
              <w:spacing w:after="0"/>
              <w:rPr>
                <w:sz w:val="18"/>
                <w:szCs w:val="18"/>
                <w:color w:val="auto"/>
              </w:rPr>
            </w:pPr>
          </w:p>
        </w:tc>
        <w:tc>
          <w:tcPr>
            <w:tcW w:w="2460" w:type="dxa"/>
            <w:vAlign w:val="bottom"/>
            <w:tcBorders>
              <w:top w:val="single" w:sz="8" w:color="auto"/>
              <w:bottom w:val="single" w:sz="8" w:color="auto"/>
              <w:right w:val="single" w:sz="8" w:color="auto"/>
            </w:tcBorders>
          </w:tcPr>
          <w:p>
            <w:pPr>
              <w:jc w:val="center"/>
              <w:ind w:right="353"/>
              <w:spacing w:after="0"/>
              <w:rPr>
                <w:sz w:val="20"/>
                <w:szCs w:val="20"/>
                <w:color w:val="auto"/>
              </w:rPr>
            </w:pPr>
            <w:r>
              <w:rPr>
                <w:rFonts w:ascii="Times New Roman" w:cs="Times New Roman" w:eastAsia="Times New Roman" w:hAnsi="Times New Roman"/>
                <w:sz w:val="14"/>
                <w:szCs w:val="14"/>
                <w:color w:val="auto"/>
              </w:rPr>
              <w:t>OMB APPROVAL</w:t>
            </w:r>
          </w:p>
        </w:tc>
        <w:tc>
          <w:tcPr>
            <w:tcW w:w="0" w:type="dxa"/>
            <w:vAlign w:val="bottom"/>
          </w:tcPr>
          <w:p>
            <w:pPr>
              <w:spacing w:after="0"/>
              <w:rPr>
                <w:sz w:val="1"/>
                <w:szCs w:val="1"/>
                <w:color w:val="auto"/>
              </w:rPr>
            </w:pPr>
          </w:p>
        </w:tc>
      </w:tr>
      <w:tr>
        <w:trPr>
          <w:trHeight w:val="173"/>
        </w:trPr>
        <w:tc>
          <w:tcPr>
            <w:tcW w:w="2980" w:type="dxa"/>
            <w:vAlign w:val="bottom"/>
          </w:tcPr>
          <w:p>
            <w:pPr>
              <w:spacing w:after="0"/>
              <w:rPr>
                <w:sz w:val="15"/>
                <w:szCs w:val="15"/>
                <w:color w:val="auto"/>
              </w:rPr>
            </w:pPr>
          </w:p>
        </w:tc>
        <w:tc>
          <w:tcPr>
            <w:tcW w:w="4660" w:type="dxa"/>
            <w:vAlign w:val="bottom"/>
            <w:gridSpan w:val="2"/>
          </w:tcPr>
          <w:p>
            <w:pPr>
              <w:jc w:val="center"/>
              <w:ind w:left="690"/>
              <w:spacing w:after="0" w:line="174" w:lineRule="exact"/>
              <w:rPr>
                <w:sz w:val="20"/>
                <w:szCs w:val="20"/>
                <w:color w:val="auto"/>
              </w:rPr>
            </w:pPr>
            <w:r>
              <w:rPr>
                <w:rFonts w:ascii="Times New Roman" w:cs="Times New Roman" w:eastAsia="Times New Roman" w:hAnsi="Times New Roman"/>
                <w:sz w:val="18"/>
                <w:szCs w:val="18"/>
                <w:b w:val="1"/>
                <w:bCs w:val="1"/>
                <w:color w:val="auto"/>
              </w:rPr>
              <w:t>SECURITIES AND EXCHANGE COMMISSION</w:t>
            </w:r>
          </w:p>
        </w:tc>
        <w:tc>
          <w:tcPr>
            <w:tcW w:w="940" w:type="dxa"/>
            <w:vAlign w:val="bottom"/>
            <w:tcBorders>
              <w:right w:val="single" w:sz="8" w:color="auto"/>
            </w:tcBorders>
          </w:tcPr>
          <w:p>
            <w:pPr>
              <w:spacing w:after="0"/>
              <w:rPr>
                <w:sz w:val="15"/>
                <w:szCs w:val="15"/>
                <w:color w:val="auto"/>
              </w:rPr>
            </w:pPr>
          </w:p>
        </w:tc>
        <w:tc>
          <w:tcPr>
            <w:tcW w:w="2840" w:type="dxa"/>
            <w:vAlign w:val="bottom"/>
            <w:tcBorders>
              <w:right w:val="single" w:sz="8" w:color="auto"/>
            </w:tcBorders>
            <w:gridSpan w:val="2"/>
          </w:tcPr>
          <w:p>
            <w:pPr>
              <w:spacing w:after="0"/>
              <w:rPr>
                <w:sz w:val="20"/>
                <w:szCs w:val="20"/>
                <w:color w:val="auto"/>
              </w:rPr>
            </w:pPr>
            <w:r>
              <w:rPr>
                <w:rFonts w:ascii="Times New Roman" w:cs="Times New Roman" w:eastAsia="Times New Roman" w:hAnsi="Times New Roman"/>
                <w:sz w:val="14"/>
                <w:szCs w:val="14"/>
                <w:color w:val="auto"/>
              </w:rPr>
              <w:t>OMB Number: 3235-0058</w:t>
            </w:r>
          </w:p>
        </w:tc>
        <w:tc>
          <w:tcPr>
            <w:tcW w:w="0" w:type="dxa"/>
            <w:vAlign w:val="bottom"/>
          </w:tcPr>
          <w:p>
            <w:pPr>
              <w:spacing w:after="0"/>
              <w:rPr>
                <w:sz w:val="1"/>
                <w:szCs w:val="1"/>
                <w:color w:val="auto"/>
              </w:rPr>
            </w:pPr>
          </w:p>
        </w:tc>
      </w:tr>
      <w:tr>
        <w:trPr>
          <w:trHeight w:val="188"/>
        </w:trPr>
        <w:tc>
          <w:tcPr>
            <w:tcW w:w="2980" w:type="dxa"/>
            <w:vAlign w:val="bottom"/>
          </w:tcPr>
          <w:p>
            <w:pPr>
              <w:spacing w:after="0"/>
              <w:rPr>
                <w:sz w:val="16"/>
                <w:szCs w:val="16"/>
                <w:color w:val="auto"/>
              </w:rPr>
            </w:pPr>
          </w:p>
        </w:tc>
        <w:tc>
          <w:tcPr>
            <w:tcW w:w="1620" w:type="dxa"/>
            <w:vAlign w:val="bottom"/>
          </w:tcPr>
          <w:p>
            <w:pPr>
              <w:spacing w:after="0"/>
              <w:rPr>
                <w:sz w:val="16"/>
                <w:szCs w:val="16"/>
                <w:color w:val="auto"/>
              </w:rPr>
            </w:pPr>
          </w:p>
        </w:tc>
        <w:tc>
          <w:tcPr>
            <w:tcW w:w="3040" w:type="dxa"/>
            <w:vAlign w:val="bottom"/>
            <w:vMerge w:val="restart"/>
          </w:tcPr>
          <w:p>
            <w:pPr>
              <w:jc w:val="center"/>
              <w:ind w:right="747"/>
              <w:spacing w:after="0"/>
              <w:rPr>
                <w:sz w:val="20"/>
                <w:szCs w:val="20"/>
                <w:color w:val="auto"/>
              </w:rPr>
            </w:pPr>
            <w:r>
              <w:rPr>
                <w:rFonts w:ascii="Times New Roman" w:cs="Times New Roman" w:eastAsia="Times New Roman" w:hAnsi="Times New Roman"/>
                <w:sz w:val="18"/>
                <w:szCs w:val="18"/>
                <w:b w:val="1"/>
                <w:bCs w:val="1"/>
                <w:color w:val="auto"/>
                <w:w w:val="98"/>
              </w:rPr>
              <w:t>Washington, D.C. 20549</w:t>
            </w:r>
          </w:p>
        </w:tc>
        <w:tc>
          <w:tcPr>
            <w:tcW w:w="940" w:type="dxa"/>
            <w:vAlign w:val="bottom"/>
            <w:tcBorders>
              <w:right w:val="single" w:sz="8" w:color="auto"/>
            </w:tcBorders>
          </w:tcPr>
          <w:p>
            <w:pPr>
              <w:spacing w:after="0"/>
              <w:rPr>
                <w:sz w:val="16"/>
                <w:szCs w:val="16"/>
                <w:color w:val="auto"/>
              </w:rPr>
            </w:pPr>
          </w:p>
        </w:tc>
        <w:tc>
          <w:tcPr>
            <w:tcW w:w="2840" w:type="dxa"/>
            <w:vAlign w:val="bottom"/>
            <w:tcBorders>
              <w:right w:val="single" w:sz="8" w:color="auto"/>
            </w:tcBorders>
            <w:gridSpan w:val="2"/>
          </w:tcPr>
          <w:p>
            <w:pPr>
              <w:spacing w:after="0"/>
              <w:rPr>
                <w:sz w:val="20"/>
                <w:szCs w:val="20"/>
                <w:color w:val="auto"/>
              </w:rPr>
            </w:pPr>
            <w:r>
              <w:rPr>
                <w:rFonts w:ascii="Times New Roman" w:cs="Times New Roman" w:eastAsia="Times New Roman" w:hAnsi="Times New Roman"/>
                <w:sz w:val="14"/>
                <w:szCs w:val="14"/>
                <w:color w:val="auto"/>
              </w:rPr>
              <w:t>Expires: April 30, 2009</w:t>
            </w:r>
          </w:p>
        </w:tc>
        <w:tc>
          <w:tcPr>
            <w:tcW w:w="0" w:type="dxa"/>
            <w:vAlign w:val="bottom"/>
          </w:tcPr>
          <w:p>
            <w:pPr>
              <w:spacing w:after="0"/>
              <w:rPr>
                <w:sz w:val="1"/>
                <w:szCs w:val="1"/>
                <w:color w:val="auto"/>
              </w:rPr>
            </w:pPr>
          </w:p>
        </w:tc>
      </w:tr>
      <w:tr>
        <w:trPr>
          <w:trHeight w:val="176"/>
        </w:trPr>
        <w:tc>
          <w:tcPr>
            <w:tcW w:w="298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3040" w:type="dxa"/>
            <w:vAlign w:val="bottom"/>
            <w:vMerge w:val="continue"/>
          </w:tcPr>
          <w:p>
            <w:pPr>
              <w:spacing w:after="0"/>
              <w:rPr>
                <w:sz w:val="15"/>
                <w:szCs w:val="15"/>
                <w:color w:val="auto"/>
              </w:rPr>
            </w:pPr>
          </w:p>
        </w:tc>
        <w:tc>
          <w:tcPr>
            <w:tcW w:w="940" w:type="dxa"/>
            <w:vAlign w:val="bottom"/>
            <w:tcBorders>
              <w:right w:val="single" w:sz="8" w:color="auto"/>
            </w:tcBorders>
          </w:tcPr>
          <w:p>
            <w:pPr>
              <w:spacing w:after="0"/>
              <w:rPr>
                <w:sz w:val="15"/>
                <w:szCs w:val="15"/>
                <w:color w:val="auto"/>
              </w:rPr>
            </w:pPr>
          </w:p>
        </w:tc>
        <w:tc>
          <w:tcPr>
            <w:tcW w:w="2840" w:type="dxa"/>
            <w:vAlign w:val="bottom"/>
            <w:tcBorders>
              <w:right w:val="single" w:sz="8" w:color="auto"/>
            </w:tcBorders>
            <w:gridSpan w:val="2"/>
          </w:tcPr>
          <w:p>
            <w:pPr>
              <w:spacing w:after="0"/>
              <w:rPr>
                <w:sz w:val="20"/>
                <w:szCs w:val="20"/>
                <w:color w:val="auto"/>
              </w:rPr>
            </w:pPr>
            <w:r>
              <w:rPr>
                <w:rFonts w:ascii="Times New Roman" w:cs="Times New Roman" w:eastAsia="Times New Roman" w:hAnsi="Times New Roman"/>
                <w:sz w:val="14"/>
                <w:szCs w:val="14"/>
                <w:color w:val="auto"/>
              </w:rPr>
              <w:t>Estimated average burden</w:t>
            </w:r>
          </w:p>
        </w:tc>
        <w:tc>
          <w:tcPr>
            <w:tcW w:w="0" w:type="dxa"/>
            <w:vAlign w:val="bottom"/>
          </w:tcPr>
          <w:p>
            <w:pPr>
              <w:spacing w:after="0"/>
              <w:rPr>
                <w:sz w:val="1"/>
                <w:szCs w:val="1"/>
                <w:color w:val="auto"/>
              </w:rPr>
            </w:pPr>
          </w:p>
        </w:tc>
      </w:tr>
      <w:tr>
        <w:trPr>
          <w:trHeight w:val="171"/>
        </w:trPr>
        <w:tc>
          <w:tcPr>
            <w:tcW w:w="298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3040" w:type="dxa"/>
            <w:vAlign w:val="bottom"/>
            <w:vMerge w:val="restart"/>
          </w:tcPr>
          <w:p>
            <w:pPr>
              <w:jc w:val="center"/>
              <w:ind w:right="747"/>
              <w:spacing w:after="0" w:line="185" w:lineRule="exact"/>
              <w:rPr>
                <w:sz w:val="20"/>
                <w:szCs w:val="20"/>
                <w:color w:val="auto"/>
              </w:rPr>
            </w:pPr>
            <w:r>
              <w:rPr>
                <w:rFonts w:ascii="Times New Roman" w:cs="Times New Roman" w:eastAsia="Times New Roman" w:hAnsi="Times New Roman"/>
                <w:sz w:val="21"/>
                <w:szCs w:val="21"/>
                <w:b w:val="1"/>
                <w:bCs w:val="1"/>
                <w:color w:val="auto"/>
              </w:rPr>
              <w:t>FORM 12b-25</w:t>
            </w:r>
          </w:p>
        </w:tc>
        <w:tc>
          <w:tcPr>
            <w:tcW w:w="940" w:type="dxa"/>
            <w:vAlign w:val="bottom"/>
            <w:tcBorders>
              <w:right w:val="single" w:sz="8" w:color="auto"/>
            </w:tcBorders>
          </w:tcPr>
          <w:p>
            <w:pPr>
              <w:spacing w:after="0"/>
              <w:rPr>
                <w:sz w:val="14"/>
                <w:szCs w:val="14"/>
                <w:color w:val="auto"/>
              </w:rPr>
            </w:pPr>
          </w:p>
        </w:tc>
        <w:tc>
          <w:tcPr>
            <w:tcW w:w="2840" w:type="dxa"/>
            <w:vAlign w:val="bottom"/>
            <w:tcBorders>
              <w:right w:val="single" w:sz="8" w:color="auto"/>
            </w:tcBorders>
            <w:gridSpan w:val="2"/>
          </w:tcPr>
          <w:p>
            <w:pPr>
              <w:spacing w:after="0"/>
              <w:rPr>
                <w:sz w:val="20"/>
                <w:szCs w:val="20"/>
                <w:color w:val="auto"/>
              </w:rPr>
            </w:pPr>
            <w:r>
              <w:rPr>
                <w:rFonts w:ascii="Times New Roman" w:cs="Times New Roman" w:eastAsia="Times New Roman" w:hAnsi="Times New Roman"/>
                <w:sz w:val="14"/>
                <w:szCs w:val="14"/>
                <w:color w:val="auto"/>
              </w:rPr>
              <w:t>hours per response . . . 2.50</w:t>
            </w:r>
          </w:p>
        </w:tc>
        <w:tc>
          <w:tcPr>
            <w:tcW w:w="0" w:type="dxa"/>
            <w:vAlign w:val="bottom"/>
          </w:tcPr>
          <w:p>
            <w:pPr>
              <w:spacing w:after="0"/>
              <w:rPr>
                <w:sz w:val="1"/>
                <w:szCs w:val="1"/>
                <w:color w:val="auto"/>
              </w:rPr>
            </w:pPr>
          </w:p>
        </w:tc>
      </w:tr>
      <w:tr>
        <w:trPr>
          <w:trHeight w:val="14"/>
        </w:trPr>
        <w:tc>
          <w:tcPr>
            <w:tcW w:w="298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3040" w:type="dxa"/>
            <w:vAlign w:val="bottom"/>
            <w:vMerge w:val="continue"/>
          </w:tcPr>
          <w:p>
            <w:pPr>
              <w:spacing w:after="0" w:line="20" w:lineRule="exact"/>
              <w:rPr>
                <w:sz w:val="1"/>
                <w:szCs w:val="1"/>
                <w:color w:val="auto"/>
              </w:rPr>
            </w:pPr>
          </w:p>
        </w:tc>
        <w:tc>
          <w:tcPr>
            <w:tcW w:w="940" w:type="dxa"/>
            <w:vAlign w:val="bottom"/>
            <w:tcBorders>
              <w:right w:val="single" w:sz="8" w:color="auto"/>
            </w:tcBorders>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460" w:type="dxa"/>
            <w:vAlign w:val="bottom"/>
            <w:tcBorders>
              <w:right w:val="single" w:sz="8" w:color="auto"/>
            </w:tcBorders>
            <w:shd w:val="clear" w:color="auto" w:fill="000000"/>
          </w:tcPr>
          <w:p>
            <w:pPr>
              <w:jc w:val="right"/>
              <w:ind w:right="1053"/>
              <w:spacing w:after="0"/>
              <w:rPr>
                <w:sz w:val="20"/>
                <w:szCs w:val="20"/>
                <w:color w:val="auto"/>
              </w:rPr>
            </w:pPr>
            <w:r>
              <w:rPr>
                <w:rFonts w:ascii="Times New Roman" w:cs="Times New Roman" w:eastAsia="Times New Roman" w:hAnsi="Times New Roman"/>
                <w:sz w:val="1"/>
                <w:szCs w:val="1"/>
                <w:color w:val="auto"/>
              </w:rPr>
              <w:t>000-30877</w:t>
            </w:r>
          </w:p>
        </w:tc>
        <w:tc>
          <w:tcPr>
            <w:tcW w:w="0" w:type="dxa"/>
            <w:vAlign w:val="bottom"/>
          </w:tcPr>
          <w:p>
            <w:pPr>
              <w:spacing w:after="0" w:line="20" w:lineRule="exact"/>
              <w:rPr>
                <w:sz w:val="1"/>
                <w:szCs w:val="1"/>
                <w:color w:val="auto"/>
              </w:rPr>
            </w:pPr>
          </w:p>
        </w:tc>
      </w:tr>
      <w:tr>
        <w:trPr>
          <w:trHeight w:val="188"/>
        </w:trPr>
        <w:tc>
          <w:tcPr>
            <w:tcW w:w="2980" w:type="dxa"/>
            <w:vAlign w:val="bottom"/>
          </w:tcPr>
          <w:p>
            <w:pPr>
              <w:spacing w:after="0"/>
              <w:rPr>
                <w:sz w:val="16"/>
                <w:szCs w:val="16"/>
                <w:color w:val="auto"/>
              </w:rPr>
            </w:pPr>
          </w:p>
        </w:tc>
        <w:tc>
          <w:tcPr>
            <w:tcW w:w="1620" w:type="dxa"/>
            <w:vAlign w:val="bottom"/>
          </w:tcPr>
          <w:p>
            <w:pPr>
              <w:spacing w:after="0"/>
              <w:rPr>
                <w:sz w:val="16"/>
                <w:szCs w:val="16"/>
                <w:color w:val="auto"/>
              </w:rPr>
            </w:pPr>
          </w:p>
        </w:tc>
        <w:tc>
          <w:tcPr>
            <w:tcW w:w="3040" w:type="dxa"/>
            <w:vAlign w:val="bottom"/>
          </w:tcPr>
          <w:p>
            <w:pPr>
              <w:spacing w:after="0"/>
              <w:rPr>
                <w:sz w:val="16"/>
                <w:szCs w:val="16"/>
                <w:color w:val="auto"/>
              </w:rPr>
            </w:pPr>
          </w:p>
        </w:tc>
        <w:tc>
          <w:tcPr>
            <w:tcW w:w="940" w:type="dxa"/>
            <w:vAlign w:val="bottom"/>
            <w:tcBorders>
              <w:right w:val="single" w:sz="8" w:color="auto"/>
            </w:tcBorders>
          </w:tcPr>
          <w:p>
            <w:pPr>
              <w:spacing w:after="0"/>
              <w:rPr>
                <w:sz w:val="16"/>
                <w:szCs w:val="16"/>
                <w:color w:val="auto"/>
              </w:rPr>
            </w:pPr>
          </w:p>
        </w:tc>
        <w:tc>
          <w:tcPr>
            <w:tcW w:w="380" w:type="dxa"/>
            <w:vAlign w:val="bottom"/>
          </w:tcPr>
          <w:p>
            <w:pPr>
              <w:spacing w:after="0"/>
              <w:rPr>
                <w:sz w:val="16"/>
                <w:szCs w:val="16"/>
                <w:color w:val="auto"/>
              </w:rPr>
            </w:pPr>
          </w:p>
        </w:tc>
        <w:tc>
          <w:tcPr>
            <w:tcW w:w="2460" w:type="dxa"/>
            <w:vAlign w:val="bottom"/>
            <w:tcBorders>
              <w:right w:val="single" w:sz="8" w:color="auto"/>
            </w:tcBorders>
          </w:tcPr>
          <w:p>
            <w:pPr>
              <w:jc w:val="center"/>
              <w:ind w:right="333"/>
              <w:spacing w:after="0"/>
              <w:rPr>
                <w:sz w:val="20"/>
                <w:szCs w:val="20"/>
                <w:color w:val="auto"/>
              </w:rPr>
            </w:pPr>
            <w:r>
              <w:rPr>
                <w:rFonts w:ascii="Times New Roman" w:cs="Times New Roman" w:eastAsia="Times New Roman" w:hAnsi="Times New Roman"/>
                <w:sz w:val="14"/>
                <w:szCs w:val="14"/>
                <w:color w:val="auto"/>
              </w:rPr>
              <w:t>SEC FILE NUMBER</w:t>
            </w:r>
          </w:p>
        </w:tc>
        <w:tc>
          <w:tcPr>
            <w:tcW w:w="0" w:type="dxa"/>
            <w:vAlign w:val="bottom"/>
          </w:tcPr>
          <w:p>
            <w:pPr>
              <w:spacing w:after="0"/>
              <w:rPr>
                <w:sz w:val="1"/>
                <w:szCs w:val="1"/>
                <w:color w:val="auto"/>
              </w:rPr>
            </w:pPr>
          </w:p>
        </w:tc>
      </w:tr>
      <w:tr>
        <w:trPr>
          <w:trHeight w:val="136"/>
        </w:trPr>
        <w:tc>
          <w:tcPr>
            <w:tcW w:w="2980" w:type="dxa"/>
            <w:vAlign w:val="bottom"/>
          </w:tcPr>
          <w:p>
            <w:pPr>
              <w:spacing w:after="0"/>
              <w:rPr>
                <w:sz w:val="11"/>
                <w:szCs w:val="11"/>
                <w:color w:val="auto"/>
              </w:rPr>
            </w:pPr>
          </w:p>
        </w:tc>
        <w:tc>
          <w:tcPr>
            <w:tcW w:w="1620" w:type="dxa"/>
            <w:vAlign w:val="bottom"/>
          </w:tcPr>
          <w:p>
            <w:pPr>
              <w:spacing w:after="0"/>
              <w:rPr>
                <w:sz w:val="11"/>
                <w:szCs w:val="11"/>
                <w:color w:val="auto"/>
              </w:rPr>
            </w:pPr>
          </w:p>
        </w:tc>
        <w:tc>
          <w:tcPr>
            <w:tcW w:w="3040" w:type="dxa"/>
            <w:vAlign w:val="bottom"/>
          </w:tcPr>
          <w:p>
            <w:pPr>
              <w:spacing w:after="0"/>
              <w:rPr>
                <w:sz w:val="11"/>
                <w:szCs w:val="11"/>
                <w:color w:val="auto"/>
              </w:rPr>
            </w:pPr>
          </w:p>
        </w:tc>
        <w:tc>
          <w:tcPr>
            <w:tcW w:w="940" w:type="dxa"/>
            <w:vAlign w:val="bottom"/>
            <w:tcBorders>
              <w:right w:val="single" w:sz="8" w:color="auto"/>
            </w:tcBorders>
          </w:tcPr>
          <w:p>
            <w:pPr>
              <w:spacing w:after="0"/>
              <w:rPr>
                <w:sz w:val="11"/>
                <w:szCs w:val="11"/>
                <w:color w:val="auto"/>
              </w:rPr>
            </w:pPr>
          </w:p>
        </w:tc>
        <w:tc>
          <w:tcPr>
            <w:tcW w:w="380" w:type="dxa"/>
            <w:vAlign w:val="bottom"/>
            <w:tcBorders>
              <w:bottom w:val="single" w:sz="8" w:color="auto"/>
            </w:tcBorders>
          </w:tcPr>
          <w:p>
            <w:pPr>
              <w:spacing w:after="0"/>
              <w:rPr>
                <w:sz w:val="11"/>
                <w:szCs w:val="11"/>
                <w:color w:val="auto"/>
              </w:rPr>
            </w:pPr>
          </w:p>
        </w:tc>
        <w:tc>
          <w:tcPr>
            <w:tcW w:w="2460" w:type="dxa"/>
            <w:vAlign w:val="bottom"/>
            <w:tcBorders>
              <w:bottom w:val="single" w:sz="8" w:color="auto"/>
              <w:right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124"/>
        </w:trPr>
        <w:tc>
          <w:tcPr>
            <w:tcW w:w="2980" w:type="dxa"/>
            <w:vAlign w:val="bottom"/>
          </w:tcPr>
          <w:p>
            <w:pPr>
              <w:spacing w:after="0"/>
              <w:rPr>
                <w:sz w:val="10"/>
                <w:szCs w:val="10"/>
                <w:color w:val="auto"/>
              </w:rPr>
            </w:pPr>
          </w:p>
        </w:tc>
        <w:tc>
          <w:tcPr>
            <w:tcW w:w="4660" w:type="dxa"/>
            <w:vAlign w:val="bottom"/>
            <w:gridSpan w:val="2"/>
            <w:vMerge w:val="restart"/>
          </w:tcPr>
          <w:p>
            <w:pPr>
              <w:jc w:val="center"/>
              <w:ind w:left="690"/>
              <w:spacing w:after="0"/>
              <w:rPr>
                <w:sz w:val="20"/>
                <w:szCs w:val="20"/>
                <w:color w:val="auto"/>
              </w:rPr>
            </w:pPr>
            <w:r>
              <w:rPr>
                <w:rFonts w:ascii="Times New Roman" w:cs="Times New Roman" w:eastAsia="Times New Roman" w:hAnsi="Times New Roman"/>
                <w:sz w:val="18"/>
                <w:szCs w:val="18"/>
                <w:b w:val="1"/>
                <w:bCs w:val="1"/>
                <w:color w:val="auto"/>
                <w:w w:val="98"/>
              </w:rPr>
              <w:t>NOTIFICATION OF LATE FILING</w:t>
            </w:r>
          </w:p>
        </w:tc>
        <w:tc>
          <w:tcPr>
            <w:tcW w:w="940" w:type="dxa"/>
            <w:vAlign w:val="bottom"/>
            <w:tcBorders>
              <w:right w:val="single" w:sz="8" w:color="auto"/>
            </w:tcBorders>
          </w:tcPr>
          <w:p>
            <w:pPr>
              <w:spacing w:after="0"/>
              <w:rPr>
                <w:sz w:val="10"/>
                <w:szCs w:val="10"/>
                <w:color w:val="auto"/>
              </w:rPr>
            </w:pPr>
          </w:p>
        </w:tc>
        <w:tc>
          <w:tcPr>
            <w:tcW w:w="380" w:type="dxa"/>
            <w:vAlign w:val="bottom"/>
          </w:tcPr>
          <w:p>
            <w:pPr>
              <w:spacing w:after="0"/>
              <w:rPr>
                <w:sz w:val="10"/>
                <w:szCs w:val="10"/>
                <w:color w:val="auto"/>
              </w:rPr>
            </w:pPr>
          </w:p>
        </w:tc>
        <w:tc>
          <w:tcPr>
            <w:tcW w:w="2460" w:type="dxa"/>
            <w:vAlign w:val="bottom"/>
            <w:tcBorders>
              <w:right w:val="single" w:sz="8" w:color="auto"/>
            </w:tcBorders>
          </w:tcPr>
          <w:p>
            <w:pPr>
              <w:jc w:val="center"/>
              <w:ind w:right="333"/>
              <w:spacing w:after="0" w:line="124" w:lineRule="exact"/>
              <w:rPr>
                <w:sz w:val="20"/>
                <w:szCs w:val="20"/>
                <w:color w:val="auto"/>
              </w:rPr>
            </w:pPr>
            <w:r>
              <w:rPr>
                <w:rFonts w:ascii="Times New Roman" w:cs="Times New Roman" w:eastAsia="Times New Roman" w:hAnsi="Times New Roman"/>
                <w:sz w:val="14"/>
                <w:szCs w:val="14"/>
                <w:color w:val="auto"/>
              </w:rPr>
              <w:t>CUSIP NUMBER</w:t>
            </w:r>
          </w:p>
        </w:tc>
        <w:tc>
          <w:tcPr>
            <w:tcW w:w="0" w:type="dxa"/>
            <w:vAlign w:val="bottom"/>
          </w:tcPr>
          <w:p>
            <w:pPr>
              <w:spacing w:after="0"/>
              <w:rPr>
                <w:sz w:val="1"/>
                <w:szCs w:val="1"/>
                <w:color w:val="auto"/>
              </w:rPr>
            </w:pPr>
          </w:p>
        </w:tc>
      </w:tr>
      <w:tr>
        <w:trPr>
          <w:trHeight w:val="234"/>
        </w:trPr>
        <w:tc>
          <w:tcPr>
            <w:tcW w:w="2980" w:type="dxa"/>
            <w:vAlign w:val="bottom"/>
          </w:tcPr>
          <w:p>
            <w:pPr>
              <w:spacing w:after="0"/>
              <w:rPr>
                <w:sz w:val="20"/>
                <w:szCs w:val="20"/>
                <w:color w:val="auto"/>
              </w:rPr>
            </w:pPr>
          </w:p>
        </w:tc>
        <w:tc>
          <w:tcPr>
            <w:tcW w:w="4660" w:type="dxa"/>
            <w:vAlign w:val="bottom"/>
            <w:gridSpan w:val="2"/>
            <w:vMerge w:val="continue"/>
          </w:tcPr>
          <w:p>
            <w:pPr>
              <w:spacing w:after="0"/>
              <w:rPr>
                <w:sz w:val="20"/>
                <w:szCs w:val="20"/>
                <w:color w:val="auto"/>
              </w:rPr>
            </w:pPr>
          </w:p>
        </w:tc>
        <w:tc>
          <w:tcPr>
            <w:tcW w:w="940" w:type="dxa"/>
            <w:vAlign w:val="bottom"/>
            <w:tcBorders>
              <w:right w:val="single" w:sz="8" w:color="auto"/>
            </w:tcBorders>
          </w:tcPr>
          <w:p>
            <w:pPr>
              <w:spacing w:after="0"/>
              <w:rPr>
                <w:sz w:val="20"/>
                <w:szCs w:val="20"/>
                <w:color w:val="auto"/>
              </w:rPr>
            </w:pPr>
          </w:p>
        </w:tc>
        <w:tc>
          <w:tcPr>
            <w:tcW w:w="380" w:type="dxa"/>
            <w:vAlign w:val="bottom"/>
            <w:tcBorders>
              <w:bottom w:val="single" w:sz="8" w:color="auto"/>
            </w:tcBorders>
          </w:tcPr>
          <w:p>
            <w:pPr>
              <w:spacing w:after="0"/>
              <w:rPr>
                <w:sz w:val="20"/>
                <w:szCs w:val="20"/>
                <w:color w:val="auto"/>
              </w:rPr>
            </w:pPr>
          </w:p>
        </w:tc>
        <w:tc>
          <w:tcPr>
            <w:tcW w:w="2460" w:type="dxa"/>
            <w:vAlign w:val="bottom"/>
            <w:tcBorders>
              <w:bottom w:val="single" w:sz="8" w:color="auto"/>
              <w:right w:val="single" w:sz="8" w:color="auto"/>
            </w:tcBorders>
          </w:tcPr>
          <w:p>
            <w:pPr>
              <w:jc w:val="center"/>
              <w:ind w:right="353"/>
              <w:spacing w:after="0"/>
              <w:rPr>
                <w:sz w:val="20"/>
                <w:szCs w:val="20"/>
                <w:color w:val="auto"/>
              </w:rPr>
            </w:pPr>
            <w:r>
              <w:rPr>
                <w:rFonts w:ascii="Times New Roman" w:cs="Times New Roman" w:eastAsia="Times New Roman" w:hAnsi="Times New Roman"/>
                <w:sz w:val="18"/>
                <w:szCs w:val="18"/>
                <w:color w:val="auto"/>
                <w:w w:val="98"/>
              </w:rPr>
              <w:t>G5876H105</w:t>
            </w:r>
          </w:p>
        </w:tc>
        <w:tc>
          <w:tcPr>
            <w:tcW w:w="0" w:type="dxa"/>
            <w:vAlign w:val="bottom"/>
          </w:tcPr>
          <w:p>
            <w:pPr>
              <w:spacing w:after="0"/>
              <w:rPr>
                <w:sz w:val="1"/>
                <w:szCs w:val="1"/>
                <w:color w:val="auto"/>
              </w:rPr>
            </w:pPr>
          </w:p>
        </w:tc>
      </w:tr>
      <w:tr>
        <w:trPr>
          <w:trHeight w:val="461"/>
        </w:trPr>
        <w:tc>
          <w:tcPr>
            <w:tcW w:w="298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w w:val="99"/>
              </w:rPr>
              <w:t>(Check one):</w:t>
            </w:r>
            <w:r>
              <w:rPr>
                <w:rFonts w:ascii="Times New Roman" w:cs="Times New Roman" w:eastAsia="Times New Roman" w:hAnsi="Times New Roman"/>
                <w:sz w:val="18"/>
                <w:szCs w:val="18"/>
                <w:color w:val="auto"/>
                <w:w w:val="99"/>
              </w:rPr>
              <w:t>o Form 10-K</w:t>
            </w:r>
          </w:p>
        </w:tc>
        <w:tc>
          <w:tcPr>
            <w:tcW w:w="16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o Form 20-F</w:t>
            </w:r>
          </w:p>
        </w:tc>
        <w:tc>
          <w:tcPr>
            <w:tcW w:w="3040" w:type="dxa"/>
            <w:vAlign w:val="bottom"/>
          </w:tcPr>
          <w:p>
            <w:pPr>
              <w:ind w:left="1020"/>
              <w:spacing w:after="0"/>
              <w:rPr>
                <w:sz w:val="20"/>
                <w:szCs w:val="20"/>
                <w:color w:val="auto"/>
              </w:rPr>
            </w:pPr>
            <w:r>
              <w:rPr>
                <w:rFonts w:ascii="Times New Roman" w:cs="Times New Roman" w:eastAsia="Times New Roman" w:hAnsi="Times New Roman"/>
                <w:sz w:val="18"/>
                <w:szCs w:val="18"/>
                <w:color w:val="auto"/>
              </w:rPr>
              <w:t>o Form 11-K</w:t>
            </w:r>
          </w:p>
        </w:tc>
        <w:tc>
          <w:tcPr>
            <w:tcW w:w="1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x Form 10-Q</w:t>
            </w:r>
          </w:p>
        </w:tc>
        <w:tc>
          <w:tcPr>
            <w:tcW w:w="2460" w:type="dxa"/>
            <w:vAlign w:val="bottom"/>
          </w:tcPr>
          <w:p>
            <w:pPr>
              <w:ind w:left="700"/>
              <w:spacing w:after="0"/>
              <w:rPr>
                <w:sz w:val="20"/>
                <w:szCs w:val="20"/>
                <w:color w:val="auto"/>
              </w:rPr>
            </w:pPr>
            <w:r>
              <w:rPr>
                <w:rFonts w:ascii="Times New Roman" w:cs="Times New Roman" w:eastAsia="Times New Roman" w:hAnsi="Times New Roman"/>
                <w:sz w:val="18"/>
                <w:szCs w:val="18"/>
                <w:color w:val="auto"/>
              </w:rPr>
              <w:t>o Form 10-D</w:t>
            </w:r>
          </w:p>
        </w:tc>
        <w:tc>
          <w:tcPr>
            <w:tcW w:w="0" w:type="dxa"/>
            <w:vAlign w:val="bottom"/>
          </w:tcPr>
          <w:p>
            <w:pPr>
              <w:spacing w:after="0"/>
              <w:rPr>
                <w:sz w:val="1"/>
                <w:szCs w:val="1"/>
                <w:color w:val="auto"/>
              </w:rPr>
            </w:pPr>
          </w:p>
        </w:tc>
      </w:tr>
      <w:tr>
        <w:trPr>
          <w:trHeight w:val="234"/>
        </w:trPr>
        <w:tc>
          <w:tcPr>
            <w:tcW w:w="2980" w:type="dxa"/>
            <w:vAlign w:val="bottom"/>
          </w:tcPr>
          <w:p>
            <w:pPr>
              <w:ind w:left="1300"/>
              <w:spacing w:after="0"/>
              <w:rPr>
                <w:sz w:val="20"/>
                <w:szCs w:val="20"/>
                <w:color w:val="auto"/>
              </w:rPr>
            </w:pPr>
            <w:r>
              <w:rPr>
                <w:rFonts w:ascii="Times New Roman" w:cs="Times New Roman" w:eastAsia="Times New Roman" w:hAnsi="Times New Roman"/>
                <w:sz w:val="18"/>
                <w:szCs w:val="18"/>
                <w:color w:val="auto"/>
              </w:rPr>
              <w:t>o Form N-SAR</w:t>
            </w:r>
          </w:p>
        </w:tc>
        <w:tc>
          <w:tcPr>
            <w:tcW w:w="16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o Form N-CSR</w:t>
            </w:r>
          </w:p>
        </w:tc>
        <w:tc>
          <w:tcPr>
            <w:tcW w:w="304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2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2980" w:type="dxa"/>
            <w:vAlign w:val="bottom"/>
          </w:tcPr>
          <w:p>
            <w:pPr>
              <w:ind w:left="1300"/>
              <w:spacing w:after="0"/>
              <w:rPr>
                <w:sz w:val="20"/>
                <w:szCs w:val="20"/>
                <w:color w:val="auto"/>
              </w:rPr>
            </w:pPr>
            <w:r>
              <w:rPr>
                <w:rFonts w:ascii="Times New Roman" w:cs="Times New Roman" w:eastAsia="Times New Roman" w:hAnsi="Times New Roman"/>
                <w:sz w:val="18"/>
                <w:szCs w:val="18"/>
                <w:color w:val="auto"/>
              </w:rPr>
              <w:t>For Period Ended:</w:t>
            </w:r>
          </w:p>
        </w:tc>
        <w:tc>
          <w:tcPr>
            <w:tcW w:w="16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April 28, 2007</w:t>
            </w:r>
          </w:p>
        </w:tc>
        <w:tc>
          <w:tcPr>
            <w:tcW w:w="30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ind w:left="1300"/>
        <w:spacing w:after="0"/>
        <w:rPr>
          <w:sz w:val="20"/>
          <w:szCs w:val="20"/>
          <w:color w:val="auto"/>
        </w:rPr>
      </w:pPr>
      <w:r>
        <w:rPr>
          <w:rFonts w:ascii="Times New Roman" w:cs="Times New Roman" w:eastAsia="Times New Roman" w:hAnsi="Times New Roman"/>
          <w:sz w:val="18"/>
          <w:szCs w:val="18"/>
          <w:color w:val="auto"/>
        </w:rPr>
        <w:t>o Transition Report on Form 10-K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2114550</wp:posOffset>
            </wp:positionH>
            <wp:positionV relativeFrom="paragraph">
              <wp:posOffset>-130810</wp:posOffset>
            </wp:positionV>
            <wp:extent cx="513715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137150" cy="8890"/>
                    </a:xfrm>
                    <a:prstGeom prst="rect">
                      <a:avLst/>
                    </a:prstGeom>
                    <a:noFill/>
                  </pic:spPr>
                </pic:pic>
              </a:graphicData>
            </a:graphic>
          </wp:anchor>
        </w:drawing>
      </w:r>
    </w:p>
    <w:p>
      <w:pPr>
        <w:ind w:left="1300"/>
        <w:spacing w:after="0"/>
        <w:rPr>
          <w:sz w:val="20"/>
          <w:szCs w:val="20"/>
          <w:color w:val="auto"/>
        </w:rPr>
      </w:pPr>
      <w:r>
        <w:rPr>
          <w:rFonts w:ascii="Times New Roman" w:cs="Times New Roman" w:eastAsia="Times New Roman" w:hAnsi="Times New Roman"/>
          <w:sz w:val="18"/>
          <w:szCs w:val="18"/>
          <w:color w:val="auto"/>
        </w:rPr>
        <w:t>o Transition Report on Form 20-F</w:t>
      </w:r>
    </w:p>
    <w:p>
      <w:pPr>
        <w:spacing w:after="0" w:line="9" w:lineRule="exact"/>
        <w:rPr>
          <w:sz w:val="24"/>
          <w:szCs w:val="24"/>
          <w:color w:val="auto"/>
        </w:rPr>
      </w:pPr>
    </w:p>
    <w:p>
      <w:pPr>
        <w:ind w:left="1300"/>
        <w:spacing w:after="0"/>
        <w:rPr>
          <w:sz w:val="20"/>
          <w:szCs w:val="20"/>
          <w:color w:val="auto"/>
        </w:rPr>
      </w:pPr>
      <w:r>
        <w:rPr>
          <w:rFonts w:ascii="Times New Roman" w:cs="Times New Roman" w:eastAsia="Times New Roman" w:hAnsi="Times New Roman"/>
          <w:sz w:val="18"/>
          <w:szCs w:val="18"/>
          <w:color w:val="auto"/>
        </w:rPr>
        <w:t>o Transition Report on Form 11-K</w:t>
      </w:r>
    </w:p>
    <w:p>
      <w:pPr>
        <w:spacing w:after="0" w:line="9" w:lineRule="exact"/>
        <w:rPr>
          <w:sz w:val="24"/>
          <w:szCs w:val="24"/>
          <w:color w:val="auto"/>
        </w:rPr>
      </w:pPr>
    </w:p>
    <w:p>
      <w:pPr>
        <w:ind w:left="1300"/>
        <w:spacing w:after="0"/>
        <w:rPr>
          <w:sz w:val="20"/>
          <w:szCs w:val="20"/>
          <w:color w:val="auto"/>
        </w:rPr>
      </w:pPr>
      <w:r>
        <w:rPr>
          <w:rFonts w:ascii="Times New Roman" w:cs="Times New Roman" w:eastAsia="Times New Roman" w:hAnsi="Times New Roman"/>
          <w:sz w:val="18"/>
          <w:szCs w:val="18"/>
          <w:color w:val="auto"/>
        </w:rPr>
        <w:t>o Transition Report on Form 10-Q</w:t>
      </w:r>
    </w:p>
    <w:p>
      <w:pPr>
        <w:spacing w:after="0" w:line="9" w:lineRule="exact"/>
        <w:rPr>
          <w:sz w:val="24"/>
          <w:szCs w:val="24"/>
          <w:color w:val="auto"/>
        </w:rPr>
      </w:pPr>
    </w:p>
    <w:p>
      <w:pPr>
        <w:ind w:left="1300"/>
        <w:spacing w:after="0"/>
        <w:rPr>
          <w:sz w:val="20"/>
          <w:szCs w:val="20"/>
          <w:color w:val="auto"/>
        </w:rPr>
      </w:pPr>
      <w:r>
        <w:rPr>
          <w:rFonts w:ascii="Times New Roman" w:cs="Times New Roman" w:eastAsia="Times New Roman" w:hAnsi="Times New Roman"/>
          <w:sz w:val="18"/>
          <w:szCs w:val="18"/>
          <w:color w:val="auto"/>
        </w:rPr>
        <w:t>o Transition Report on Form N-SAR</w:t>
      </w:r>
    </w:p>
    <w:p>
      <w:pPr>
        <w:spacing w:after="0" w:line="9" w:lineRule="exact"/>
        <w:rPr>
          <w:sz w:val="24"/>
          <w:szCs w:val="24"/>
          <w:color w:val="auto"/>
        </w:rPr>
      </w:pPr>
    </w:p>
    <w:p>
      <w:pPr>
        <w:ind w:left="1300"/>
        <w:spacing w:after="0"/>
        <w:rPr>
          <w:sz w:val="20"/>
          <w:szCs w:val="20"/>
          <w:color w:val="auto"/>
        </w:rPr>
      </w:pPr>
      <w:r>
        <w:rPr>
          <w:rFonts w:ascii="Times New Roman" w:cs="Times New Roman" w:eastAsia="Times New Roman" w:hAnsi="Times New Roman"/>
          <w:sz w:val="18"/>
          <w:szCs w:val="18"/>
          <w:color w:val="auto"/>
        </w:rPr>
        <w:t>For the Transition Period Ended: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2989580</wp:posOffset>
            </wp:positionH>
            <wp:positionV relativeFrom="paragraph">
              <wp:posOffset>5715</wp:posOffset>
            </wp:positionV>
            <wp:extent cx="42621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4262120" cy="8890"/>
                    </a:xfrm>
                    <a:prstGeom prst="rect">
                      <a:avLst/>
                    </a:prstGeom>
                    <a:noFill/>
                  </pic:spPr>
                </pic:pic>
              </a:graphicData>
            </a:graphic>
          </wp:anchor>
        </w:drawing>
      </w:r>
    </w:p>
    <w:p>
      <w:pPr>
        <w:spacing w:after="0" w:line="26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i w:val="1"/>
          <w:iCs w:val="1"/>
          <w:color w:val="auto"/>
        </w:rPr>
        <w:t>Read Instructions (on back page) Before Preparing Form. Please Print or Type.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-126365</wp:posOffset>
            </wp:positionV>
            <wp:extent cx="7246620" cy="2914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91465"/>
                    </a:xfrm>
                    <a:prstGeom prst="rect">
                      <a:avLst/>
                    </a:prstGeom>
                    <a:noFill/>
                  </pic:spPr>
                </pic:pic>
              </a:graphicData>
            </a:graphic>
          </wp:anchor>
        </w:drawing>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Nothing in this form shall be construed to imply that the Commission has verified any information contained herein.</w:t>
      </w:r>
    </w:p>
    <w:p>
      <w:pPr>
        <w:spacing w:after="0" w:line="274"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If the notification relates to a portion of the filing checked above, identify the Item(s) to which the notification relates: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1"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PART I — REGISTRANT INFORMATION</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Full Name of Registrant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0"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Former Name if Applicable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-127635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1"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Canon’s Court 22 Victoria Street</w:t>
      </w:r>
    </w:p>
    <w:p>
      <w:pPr>
        <w:spacing w:after="0" w:line="31"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 xml:space="preserve">Address of Principal Executive Office </w:t>
      </w:r>
      <w:r>
        <w:rPr>
          <w:rFonts w:ascii="Times New Roman" w:cs="Times New Roman" w:eastAsia="Times New Roman" w:hAnsi="Times New Roman"/>
          <w:sz w:val="18"/>
          <w:szCs w:val="18"/>
          <w:i w:val="1"/>
          <w:iCs w:val="1"/>
          <w:color w:val="auto"/>
        </w:rPr>
        <w:t>(Street and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96"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Hamilton HM 12 Bermuda</w:t>
      </w:r>
    </w:p>
    <w:p>
      <w:pPr>
        <w:spacing w:after="0" w:line="31"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City, State and Zip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50"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PART II — RULES 12b-25(b) AND (c)</w:t>
      </w:r>
    </w:p>
    <w:p>
      <w:pPr>
        <w:spacing w:after="0" w:line="229" w:lineRule="exact"/>
        <w:rPr>
          <w:sz w:val="24"/>
          <w:szCs w:val="24"/>
          <w:color w:val="auto"/>
        </w:rPr>
      </w:pPr>
    </w:p>
    <w:p>
      <w:pPr>
        <w:ind w:right="100"/>
        <w:spacing w:after="0" w:line="282" w:lineRule="auto"/>
        <w:rPr>
          <w:sz w:val="20"/>
          <w:szCs w:val="20"/>
          <w:color w:val="auto"/>
        </w:rPr>
      </w:pPr>
      <w:r>
        <w:rPr>
          <w:rFonts w:ascii="Times New Roman" w:cs="Times New Roman" w:eastAsia="Times New Roman" w:hAnsi="Times New Roman"/>
          <w:sz w:val="18"/>
          <w:szCs w:val="18"/>
          <w:color w:val="auto"/>
        </w:rPr>
        <w:t>If the subject report could not be filed without unreasonable effort or expense and the registrant seeks relief pursuant to Rule 12b-25(b), the following should be completed. (Check box if appropriate)</w:t>
      </w:r>
    </w:p>
    <w:p>
      <w:pPr>
        <w:spacing w:after="0" w:line="162" w:lineRule="exact"/>
        <w:rPr>
          <w:sz w:val="24"/>
          <w:szCs w:val="24"/>
          <w:color w:val="auto"/>
        </w:rPr>
      </w:pPr>
    </w:p>
    <w:p>
      <w:pPr>
        <w:ind w:left="820" w:hanging="348"/>
        <w:spacing w:after="0"/>
        <w:tabs>
          <w:tab w:leader="none" w:pos="82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reason described in reasonable detail in Part III of this form could not be eliminated without unreasonable effort or expense</w:t>
      </w:r>
    </w:p>
    <w:p>
      <w:pPr>
        <w:spacing w:after="0" w:line="27" w:lineRule="exact"/>
        <w:rPr>
          <w:rFonts w:ascii="Times New Roman" w:cs="Times New Roman" w:eastAsia="Times New Roman" w:hAnsi="Times New Roman"/>
          <w:sz w:val="18"/>
          <w:szCs w:val="18"/>
          <w:color w:val="auto"/>
        </w:rPr>
      </w:pPr>
    </w:p>
    <w:p>
      <w:pPr>
        <w:ind w:left="820" w:hanging="348"/>
        <w:spacing w:after="0"/>
        <w:tabs>
          <w:tab w:leader="none" w:pos="82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subject annual report, semi-annual report, transition report on Form 10-K, Form 20-F, Form 11-K, Form N-SAR or Form N-CSR, or portion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262255</wp:posOffset>
            </wp:positionH>
            <wp:positionV relativeFrom="paragraph">
              <wp:posOffset>-267970</wp:posOffset>
            </wp:positionV>
            <wp:extent cx="8890" cy="8235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8890" cy="823595"/>
                    </a:xfrm>
                    <a:prstGeom prst="rect">
                      <a:avLst/>
                    </a:prstGeom>
                    <a:noFill/>
                  </pic:spPr>
                </pic:pic>
              </a:graphicData>
            </a:graphic>
          </wp:anchor>
        </w:drawing>
      </w:r>
    </w:p>
    <w:p>
      <w:pPr>
        <w:ind w:left="820" w:right="20" w:hanging="661"/>
        <w:spacing w:after="0" w:line="187" w:lineRule="auto"/>
        <w:tabs>
          <w:tab w:leader="none" w:pos="820" w:val="left"/>
        </w:tabs>
        <w:numPr>
          <w:ilvl w:val="0"/>
          <w:numId w:val="2"/>
        </w:numPr>
        <w:rPr>
          <w:rFonts w:ascii="Times New Roman" w:cs="Times New Roman" w:eastAsia="Times New Roman" w:hAnsi="Times New Roman"/>
          <w:sz w:val="36"/>
          <w:szCs w:val="36"/>
          <w:color w:val="auto"/>
          <w:vertAlign w:val="subscript"/>
        </w:rPr>
      </w:pPr>
      <w:r>
        <w:rPr>
          <w:rFonts w:ascii="Times New Roman" w:cs="Times New Roman" w:eastAsia="Times New Roman" w:hAnsi="Times New Roman"/>
          <w:sz w:val="18"/>
          <w:szCs w:val="18"/>
          <w:color w:val="auto"/>
        </w:rPr>
        <w:t>thereof, will be filed on or before the fifteenth calendar day following the prescribed due date; or the subject quarterly report or transition report on Form 10-Q or subject distribution report on Form 10-D, or portion thereof, will be filed on or before the fifth calendar day following the prescribed due date; and</w:t>
      </w:r>
    </w:p>
    <w:p>
      <w:pPr>
        <w:spacing w:after="0" w:line="3" w:lineRule="exact"/>
        <w:rPr>
          <w:rFonts w:ascii="Times New Roman" w:cs="Times New Roman" w:eastAsia="Times New Roman" w:hAnsi="Times New Roman"/>
          <w:sz w:val="36"/>
          <w:szCs w:val="36"/>
          <w:color w:val="auto"/>
          <w:vertAlign w:val="subscript"/>
        </w:rPr>
      </w:pPr>
    </w:p>
    <w:p>
      <w:pPr>
        <w:ind w:left="820" w:hanging="348"/>
        <w:spacing w:after="0"/>
        <w:tabs>
          <w:tab w:leader="none" w:pos="820" w:val="left"/>
        </w:tabs>
        <w:numPr>
          <w:ilvl w:val="1"/>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accountant’s statement or other exhibit required by Rule 12b-25(c) has been attached if applicable.</w:t>
      </w:r>
    </w:p>
    <w:p>
      <w:pPr>
        <w:spacing w:after="0" w:line="25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PART III — NARRATIVE</w:t>
      </w:r>
    </w:p>
    <w:p>
      <w:pPr>
        <w:spacing w:after="0" w:line="229" w:lineRule="exact"/>
        <w:rPr>
          <w:sz w:val="24"/>
          <w:szCs w:val="24"/>
          <w:color w:val="auto"/>
        </w:rPr>
      </w:pPr>
    </w:p>
    <w:p>
      <w:pPr>
        <w:ind w:right="440"/>
        <w:spacing w:after="0" w:line="282" w:lineRule="auto"/>
        <w:rPr>
          <w:sz w:val="20"/>
          <w:szCs w:val="20"/>
          <w:color w:val="auto"/>
        </w:rPr>
      </w:pPr>
      <w:r>
        <w:rPr>
          <w:rFonts w:ascii="Times New Roman" w:cs="Times New Roman" w:eastAsia="Times New Roman" w:hAnsi="Times New Roman"/>
          <w:sz w:val="18"/>
          <w:szCs w:val="18"/>
          <w:color w:val="auto"/>
        </w:rPr>
        <w:t>State below in reasonable detail why Forms 10-K, 20-F, 11-K, 10-Q, 10-D, N-SAR, N-CSR, or the transition report or portion thereof, could not be filed within the prescribed time period.</w:t>
      </w:r>
    </w:p>
    <w:p>
      <w:pPr>
        <w:spacing w:after="0" w:line="158" w:lineRule="exact"/>
        <w:rPr>
          <w:sz w:val="24"/>
          <w:szCs w:val="24"/>
          <w:color w:val="auto"/>
        </w:rPr>
      </w:pPr>
    </w:p>
    <w:tbl>
      <w:tblPr>
        <w:tblLayout w:type="fixed"/>
        <w:tblInd w:w="0" w:type="dxa"/>
        <w:tblCellMar>
          <w:top w:w="0" w:type="dxa"/>
          <w:left w:w="0" w:type="dxa"/>
          <w:bottom w:w="0" w:type="dxa"/>
          <w:right w:w="0" w:type="dxa"/>
        </w:tblCellMar>
      </w:tblPr>
      <w:tr>
        <w:trPr>
          <w:trHeight w:val="216"/>
        </w:trPr>
        <w:tc>
          <w:tcPr>
            <w:tcW w:w="1660" w:type="dxa"/>
            <w:vAlign w:val="bottom"/>
          </w:tcPr>
          <w:p>
            <w:pPr>
              <w:spacing w:after="0"/>
              <w:rPr>
                <w:sz w:val="20"/>
                <w:szCs w:val="20"/>
                <w:color w:val="auto"/>
              </w:rPr>
            </w:pPr>
            <w:r>
              <w:rPr>
                <w:rFonts w:ascii="Times New Roman" w:cs="Times New Roman" w:eastAsia="Times New Roman" w:hAnsi="Times New Roman"/>
                <w:sz w:val="18"/>
                <w:szCs w:val="18"/>
                <w:color w:val="auto"/>
              </w:rPr>
              <w:t>SEC 1344 (03-05)</w:t>
            </w:r>
          </w:p>
        </w:tc>
        <w:tc>
          <w:tcPr>
            <w:tcW w:w="9540" w:type="dxa"/>
            <w:vAlign w:val="bottom"/>
          </w:tcPr>
          <w:p>
            <w:pPr>
              <w:ind w:left="320"/>
              <w:spacing w:after="0"/>
              <w:rPr>
                <w:sz w:val="20"/>
                <w:szCs w:val="20"/>
                <w:color w:val="auto"/>
              </w:rPr>
            </w:pPr>
            <w:r>
              <w:rPr>
                <w:rFonts w:ascii="Times New Roman" w:cs="Times New Roman" w:eastAsia="Times New Roman" w:hAnsi="Times New Roman"/>
                <w:sz w:val="18"/>
                <w:szCs w:val="18"/>
                <w:b w:val="1"/>
                <w:bCs w:val="1"/>
                <w:color w:val="auto"/>
                <w:w w:val="99"/>
              </w:rPr>
              <w:t>Persons who are to respond to the collection of information contained in this form are not required to respond unless the</w:t>
            </w:r>
          </w:p>
        </w:tc>
      </w:tr>
      <w:tr>
        <w:trPr>
          <w:trHeight w:val="238"/>
        </w:trPr>
        <w:tc>
          <w:tcPr>
            <w:tcW w:w="1660" w:type="dxa"/>
            <w:vAlign w:val="bottom"/>
          </w:tcPr>
          <w:p>
            <w:pPr>
              <w:spacing w:after="0"/>
              <w:rPr>
                <w:sz w:val="20"/>
                <w:szCs w:val="20"/>
                <w:color w:val="auto"/>
              </w:rPr>
            </w:pPr>
          </w:p>
        </w:tc>
        <w:tc>
          <w:tcPr>
            <w:tcW w:w="9540" w:type="dxa"/>
            <w:vAlign w:val="bottom"/>
          </w:tcPr>
          <w:p>
            <w:pPr>
              <w:ind w:left="320"/>
              <w:spacing w:after="0"/>
              <w:rPr>
                <w:sz w:val="20"/>
                <w:szCs w:val="20"/>
                <w:color w:val="auto"/>
              </w:rPr>
            </w:pPr>
            <w:r>
              <w:rPr>
                <w:rFonts w:ascii="Times New Roman" w:cs="Times New Roman" w:eastAsia="Times New Roman" w:hAnsi="Times New Roman"/>
                <w:sz w:val="18"/>
                <w:szCs w:val="18"/>
                <w:b w:val="1"/>
                <w:bCs w:val="1"/>
                <w:color w:val="auto"/>
              </w:rPr>
              <w:t>form displays a currently valid OMB control number.</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392430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1"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(Attach extra Sheets if Needed)</w:t>
      </w:r>
    </w:p>
    <w:p>
      <w:pPr>
        <w:spacing w:after="0" w:line="225" w:lineRule="exact"/>
        <w:rPr>
          <w:sz w:val="24"/>
          <w:szCs w:val="24"/>
          <w:color w:val="auto"/>
        </w:rPr>
      </w:pPr>
    </w:p>
    <w:p>
      <w:pPr>
        <w:ind w:right="40" w:firstLine="648"/>
        <w:spacing w:after="0" w:line="273" w:lineRule="auto"/>
        <w:rPr>
          <w:sz w:val="20"/>
          <w:szCs w:val="20"/>
          <w:color w:val="auto"/>
        </w:rPr>
      </w:pPr>
      <w:r>
        <w:rPr>
          <w:rFonts w:ascii="Times New Roman" w:cs="Times New Roman" w:eastAsia="Times New Roman" w:hAnsi="Times New Roman"/>
          <w:sz w:val="17"/>
          <w:szCs w:val="17"/>
          <w:color w:val="auto"/>
        </w:rPr>
        <w:t>As previously announced by Marvell Technology Group Ltd. (the “Company”), a special committee of the Company’s Board of Directors conducted an independent internal review relating to the Company’s historical stock option practices and related accounting matters. As a result of the investigation, the Company will restate its historical financial statements to record additional non-cash charges for stock-based compensation expense related to past option activity. The Company has not yet made a final determination as to the amount of such charges and the resulting tax and accounting impact. However, the Company currently anticipates recording a total cumulative, pre-tax, non-cash, stock-based compensation expense adjustment ranging from $325 million to $350 million for periods through fiscal 2006. This amount is a preliminary estimate. As a result, the Company is unable to file its Quarterly Report on Form 10-Q for the fiscal quarter ended April 28, 2007 by the prescribed due date for such report. The Company plans to file its Quarterly Report on Form 10-Q for</w:t>
      </w:r>
    </w:p>
    <w:p>
      <w:pPr>
        <w:sectPr>
          <w:pgSz w:w="11900" w:h="16838" w:orient="portrait"/>
          <w:cols w:equalWidth="0" w:num="1">
            <w:col w:w="11420"/>
          </w:cols>
          <w:pgMar w:left="240" w:top="228" w:right="239" w:bottom="0" w:gutter="0" w:footer="0" w:header="0"/>
        </w:sectPr>
      </w:pPr>
    </w:p>
    <w:bookmarkStart w:id="1" w:name="page2"/>
    <w:bookmarkEnd w:id="1"/>
    <w:p>
      <w:pPr>
        <w:ind w:right="120"/>
        <w:spacing w:after="0" w:line="282" w:lineRule="auto"/>
        <w:rPr>
          <w:sz w:val="20"/>
          <w:szCs w:val="20"/>
          <w:color w:val="auto"/>
        </w:rPr>
      </w:pPr>
      <w:r>
        <w:rPr>
          <w:rFonts w:ascii="Times New Roman" w:cs="Times New Roman" w:eastAsia="Times New Roman" w:hAnsi="Times New Roman"/>
          <w:sz w:val="18"/>
          <w:szCs w:val="18"/>
          <w:color w:val="auto"/>
        </w:rPr>
        <w:t>the fiscal quarter ended April 28, 2007 as soon as practicable following the conclusion of the restatement of its historical stock financial statements, but does not expect that filing to occur on or before the fifth calendar day following the prescribed due date for such report.</w:t>
      </w:r>
    </w:p>
    <w:p>
      <w:pPr>
        <w:spacing w:after="0" w:line="15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PART IV — OTHER INFORMATION</w:t>
      </w:r>
    </w:p>
    <w:p>
      <w:pPr>
        <w:spacing w:after="0" w:line="229" w:lineRule="exact"/>
        <w:rPr>
          <w:sz w:val="20"/>
          <w:szCs w:val="20"/>
          <w:color w:val="auto"/>
        </w:rPr>
      </w:pPr>
    </w:p>
    <w:p>
      <w:pPr>
        <w:ind w:left="420" w:hanging="412"/>
        <w:spacing w:after="0"/>
        <w:tabs>
          <w:tab w:leader="none" w:pos="42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Name and telephone number of person to contact in regard to this notification</w:t>
      </w:r>
    </w:p>
    <w:p>
      <w:pPr>
        <w:spacing w:after="0" w:line="27" w:lineRule="exact"/>
        <w:rPr>
          <w:sz w:val="20"/>
          <w:szCs w:val="20"/>
          <w:color w:val="auto"/>
        </w:rPr>
      </w:pPr>
    </w:p>
    <w:tbl>
      <w:tblPr>
        <w:tblLayout w:type="fixed"/>
        <w:tblInd w:w="420" w:type="dxa"/>
        <w:tblCellMar>
          <w:top w:w="0" w:type="dxa"/>
          <w:left w:w="0" w:type="dxa"/>
          <w:bottom w:w="0" w:type="dxa"/>
          <w:right w:w="0" w:type="dxa"/>
        </w:tblCellMar>
      </w:tblPr>
      <w:tr>
        <w:trPr>
          <w:trHeight w:val="216"/>
        </w:trPr>
        <w:tc>
          <w:tcPr>
            <w:tcW w:w="72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Mike Tate</w:t>
            </w:r>
          </w:p>
        </w:tc>
        <w:tc>
          <w:tcPr>
            <w:tcW w:w="1240" w:type="dxa"/>
            <w:vAlign w:val="bottom"/>
          </w:tcPr>
          <w:p>
            <w:pPr>
              <w:jc w:val="right"/>
              <w:ind w:right="890"/>
              <w:spacing w:after="0"/>
              <w:rPr>
                <w:sz w:val="20"/>
                <w:szCs w:val="20"/>
                <w:color w:val="auto"/>
              </w:rPr>
            </w:pPr>
            <w:r>
              <w:rPr>
                <w:rFonts w:ascii="Times New Roman" w:cs="Times New Roman" w:eastAsia="Times New Roman" w:hAnsi="Times New Roman"/>
                <w:sz w:val="18"/>
                <w:szCs w:val="18"/>
                <w:color w:val="auto"/>
                <w:w w:val="88"/>
              </w:rPr>
              <w:t>408</w:t>
            </w:r>
          </w:p>
        </w:tc>
        <w:tc>
          <w:tcPr>
            <w:tcW w:w="2480" w:type="dxa"/>
            <w:vAlign w:val="bottom"/>
            <w:gridSpan w:val="2"/>
          </w:tcPr>
          <w:p>
            <w:pPr>
              <w:jc w:val="right"/>
              <w:ind w:right="1290"/>
              <w:spacing w:after="0"/>
              <w:rPr>
                <w:sz w:val="20"/>
                <w:szCs w:val="20"/>
                <w:color w:val="auto"/>
              </w:rPr>
            </w:pPr>
            <w:r>
              <w:rPr>
                <w:rFonts w:ascii="Times New Roman" w:cs="Times New Roman" w:eastAsia="Times New Roman" w:hAnsi="Times New Roman"/>
                <w:sz w:val="18"/>
                <w:szCs w:val="18"/>
                <w:color w:val="auto"/>
              </w:rPr>
              <w:t>222-2500</w:t>
            </w:r>
          </w:p>
        </w:tc>
      </w:tr>
      <w:tr>
        <w:trPr>
          <w:trHeight w:val="228"/>
        </w:trPr>
        <w:tc>
          <w:tcPr>
            <w:tcW w:w="6860" w:type="dxa"/>
            <w:vAlign w:val="bottom"/>
            <w:tcBorders>
              <w:top w:val="single" w:sz="8" w:color="auto"/>
            </w:tcBorders>
          </w:tcPr>
          <w:p>
            <w:pPr>
              <w:ind w:left="3140"/>
              <w:spacing w:after="0"/>
              <w:rPr>
                <w:sz w:val="20"/>
                <w:szCs w:val="20"/>
                <w:color w:val="auto"/>
              </w:rPr>
            </w:pPr>
            <w:r>
              <w:rPr>
                <w:rFonts w:ascii="Times New Roman" w:cs="Times New Roman" w:eastAsia="Times New Roman" w:hAnsi="Times New Roman"/>
                <w:sz w:val="18"/>
                <w:szCs w:val="18"/>
                <w:color w:val="auto"/>
              </w:rPr>
              <w:t>(Name)</w:t>
            </w:r>
          </w:p>
        </w:tc>
        <w:tc>
          <w:tcPr>
            <w:tcW w:w="420" w:type="dxa"/>
            <w:vAlign w:val="bottom"/>
          </w:tcPr>
          <w:p>
            <w:pPr>
              <w:spacing w:after="0"/>
              <w:rPr>
                <w:sz w:val="19"/>
                <w:szCs w:val="19"/>
                <w:color w:val="auto"/>
              </w:rPr>
            </w:pPr>
          </w:p>
        </w:tc>
        <w:tc>
          <w:tcPr>
            <w:tcW w:w="124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rPr>
              <w:t>(Area Code)</w:t>
            </w:r>
          </w:p>
        </w:tc>
        <w:tc>
          <w:tcPr>
            <w:tcW w:w="420" w:type="dxa"/>
            <w:vAlign w:val="bottom"/>
          </w:tcPr>
          <w:p>
            <w:pPr>
              <w:spacing w:after="0"/>
              <w:rPr>
                <w:sz w:val="19"/>
                <w:szCs w:val="19"/>
                <w:color w:val="auto"/>
              </w:rPr>
            </w:pPr>
          </w:p>
        </w:tc>
        <w:tc>
          <w:tcPr>
            <w:tcW w:w="2060" w:type="dxa"/>
            <w:vAlign w:val="bottom"/>
            <w:tcBorders>
              <w:top w:val="single" w:sz="8" w:color="auto"/>
            </w:tcBorders>
          </w:tcPr>
          <w:p>
            <w:pPr>
              <w:jc w:val="right"/>
              <w:ind w:right="190"/>
              <w:spacing w:after="0"/>
              <w:rPr>
                <w:sz w:val="20"/>
                <w:szCs w:val="20"/>
                <w:color w:val="auto"/>
              </w:rPr>
            </w:pPr>
            <w:r>
              <w:rPr>
                <w:rFonts w:ascii="Times New Roman" w:cs="Times New Roman" w:eastAsia="Times New Roman" w:hAnsi="Times New Roman"/>
                <w:sz w:val="18"/>
                <w:szCs w:val="18"/>
                <w:color w:val="auto"/>
              </w:rPr>
              <w:t>(Telephone Number)</w:t>
            </w:r>
          </w:p>
        </w:tc>
      </w:tr>
    </w:tbl>
    <w:p>
      <w:pPr>
        <w:spacing w:after="0" w:line="179" w:lineRule="exact"/>
        <w:rPr>
          <w:sz w:val="20"/>
          <w:szCs w:val="20"/>
          <w:color w:val="auto"/>
        </w:rPr>
      </w:pPr>
    </w:p>
    <w:p>
      <w:pPr>
        <w:ind w:left="420" w:right="40" w:hanging="412"/>
        <w:spacing w:after="0" w:line="266" w:lineRule="auto"/>
        <w:tabs>
          <w:tab w:leader="none" w:pos="42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Have all other periodic reports required under Section 13 or 15(d) of the Securities Exchange Act of 1934 or Section 30 of the Investment Company Act of 1940 during the preceding 12 months or for such shorter period that the registrant was required to file such report(s) been filed ? If answer is no, identify report(s).</w:t>
      </w:r>
    </w:p>
    <w:p>
      <w:pPr>
        <w:spacing w:after="0" w:line="176" w:lineRule="exact"/>
        <w:rPr>
          <w:sz w:val="20"/>
          <w:szCs w:val="20"/>
          <w:color w:val="auto"/>
        </w:rPr>
      </w:pPr>
    </w:p>
    <w:p>
      <w:pPr>
        <w:ind w:left="9360"/>
        <w:spacing w:after="0"/>
        <w:tabs>
          <w:tab w:leader="none" w:pos="9900" w:val="left"/>
        </w:tabs>
        <w:rPr>
          <w:sz w:val="20"/>
          <w:szCs w:val="20"/>
          <w:color w:val="auto"/>
        </w:rPr>
      </w:pPr>
      <w:r>
        <w:rPr>
          <w:rFonts w:ascii="Times New Roman" w:cs="Times New Roman" w:eastAsia="Times New Roman" w:hAnsi="Times New Roman"/>
          <w:sz w:val="18"/>
          <w:szCs w:val="18"/>
          <w:color w:val="auto"/>
        </w:rPr>
        <w:t>o Yes</w:t>
        <w:tab/>
        <w:t>x No</w:t>
      </w:r>
    </w:p>
    <w:p>
      <w:pPr>
        <w:spacing w:after="0" w:line="225" w:lineRule="exact"/>
        <w:rPr>
          <w:sz w:val="20"/>
          <w:szCs w:val="20"/>
          <w:color w:val="auto"/>
        </w:rPr>
      </w:pPr>
    </w:p>
    <w:p>
      <w:pPr>
        <w:ind w:left="420" w:right="280"/>
        <w:spacing w:after="0" w:line="282" w:lineRule="auto"/>
        <w:rPr>
          <w:sz w:val="20"/>
          <w:szCs w:val="20"/>
          <w:color w:val="auto"/>
        </w:rPr>
      </w:pPr>
      <w:r>
        <w:rPr>
          <w:rFonts w:ascii="Times New Roman" w:cs="Times New Roman" w:eastAsia="Times New Roman" w:hAnsi="Times New Roman"/>
          <w:sz w:val="18"/>
          <w:szCs w:val="18"/>
          <w:color w:val="auto"/>
        </w:rPr>
        <w:t>The Company has not yet filed its Forms 10-Q for the fiscal quarters ended July 29, 2006 and October 28, 2006 and its Form 10-K for the fiscal year ended January 27, 2007.</w:t>
      </w:r>
    </w:p>
    <w:p>
      <w:pPr>
        <w:spacing w:after="0" w:line="175" w:lineRule="exact"/>
        <w:rPr>
          <w:sz w:val="20"/>
          <w:szCs w:val="20"/>
          <w:color w:val="auto"/>
        </w:rPr>
      </w:pPr>
    </w:p>
    <w:p>
      <w:pPr>
        <w:ind w:left="420" w:right="20" w:hanging="412"/>
        <w:spacing w:after="0" w:line="282" w:lineRule="auto"/>
        <w:tabs>
          <w:tab w:leader="none" w:pos="42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Is it anticipated that any significant change in results of operations from the corresponding period for the last fiscal year will be reflected by the earnings statements to be included in the subject report or portion thereof?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262255</wp:posOffset>
            </wp:positionH>
            <wp:positionV relativeFrom="paragraph">
              <wp:posOffset>-305435</wp:posOffset>
            </wp:positionV>
            <wp:extent cx="698944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89445" cy="8890"/>
                    </a:xfrm>
                    <a:prstGeom prst="rect">
                      <a:avLst/>
                    </a:prstGeom>
                    <a:noFill/>
                  </pic:spPr>
                </pic:pic>
              </a:graphicData>
            </a:graphic>
          </wp:anchor>
        </w:drawing>
      </w:r>
    </w:p>
    <w:p>
      <w:pPr>
        <w:spacing w:after="0" w:line="142" w:lineRule="exact"/>
        <w:rPr>
          <w:sz w:val="20"/>
          <w:szCs w:val="20"/>
          <w:color w:val="auto"/>
        </w:rPr>
      </w:pPr>
    </w:p>
    <w:p>
      <w:pPr>
        <w:ind w:left="9360"/>
        <w:spacing w:after="0"/>
        <w:tabs>
          <w:tab w:leader="none" w:pos="9900" w:val="left"/>
        </w:tabs>
        <w:rPr>
          <w:sz w:val="20"/>
          <w:szCs w:val="20"/>
          <w:color w:val="auto"/>
        </w:rPr>
      </w:pPr>
      <w:r>
        <w:rPr>
          <w:rFonts w:ascii="Times New Roman" w:cs="Times New Roman" w:eastAsia="Times New Roman" w:hAnsi="Times New Roman"/>
          <w:sz w:val="18"/>
          <w:szCs w:val="18"/>
          <w:color w:val="auto"/>
        </w:rPr>
        <w:t>x Yes</w:t>
        <w:tab/>
        <w:t>o No</w:t>
      </w:r>
    </w:p>
    <w:p>
      <w:pPr>
        <w:spacing w:after="0" w:line="225" w:lineRule="exact"/>
        <w:rPr>
          <w:sz w:val="20"/>
          <w:szCs w:val="20"/>
          <w:color w:val="auto"/>
        </w:rPr>
      </w:pPr>
    </w:p>
    <w:p>
      <w:pPr>
        <w:ind w:left="420" w:right="20"/>
        <w:spacing w:after="0" w:line="282" w:lineRule="auto"/>
        <w:rPr>
          <w:sz w:val="20"/>
          <w:szCs w:val="20"/>
          <w:color w:val="auto"/>
        </w:rPr>
      </w:pPr>
      <w:r>
        <w:rPr>
          <w:rFonts w:ascii="Times New Roman" w:cs="Times New Roman" w:eastAsia="Times New Roman" w:hAnsi="Times New Roman"/>
          <w:sz w:val="18"/>
          <w:szCs w:val="18"/>
          <w:color w:val="auto"/>
        </w:rPr>
        <w:t>If so, attach an explanation of the anticipated change, both narratively and quantitatively, and, if appropriate, state the reasons why a reasonable estimate of the results cannot be made.</w:t>
      </w:r>
    </w:p>
    <w:p>
      <w:pPr>
        <w:spacing w:after="0" w:line="162" w:lineRule="exact"/>
        <w:rPr>
          <w:sz w:val="20"/>
          <w:szCs w:val="20"/>
          <w:color w:val="auto"/>
        </w:rPr>
      </w:pPr>
    </w:p>
    <w:p>
      <w:pPr>
        <w:ind w:left="420" w:right="20"/>
        <w:spacing w:after="0" w:line="253" w:lineRule="auto"/>
        <w:rPr>
          <w:sz w:val="20"/>
          <w:szCs w:val="20"/>
          <w:color w:val="auto"/>
        </w:rPr>
      </w:pPr>
      <w:r>
        <w:rPr>
          <w:rFonts w:ascii="Times New Roman" w:cs="Times New Roman" w:eastAsia="Times New Roman" w:hAnsi="Times New Roman"/>
          <w:sz w:val="18"/>
          <w:szCs w:val="18"/>
          <w:color w:val="auto"/>
        </w:rPr>
        <w:t>On May 17, 2007, the Company announced preliminary, unaudited revenue for its fiscal quarter ended April 27, 2007. Net revenue for the fiscal quarter ended April 27, 2007 was $635.1 million, an increase of 22% over net revenue of $521.2 million for the fiscal quarter ended April 29, 2006 and a 2% sequential increase from net revenue of $622.0 million for the fiscal quarter ended January 27, 2007. On October 3, 2006, the Company announced it will need to restate historical financial statements to record additional non-cash charges for stock-based compensation expense related to past option activity. The Company has not yet made a final determination as to the amount of these charges or the resulting tax and accounting impact of these actions. However, the Company currently anticipates recording a total cumulative, pre-tax, non-cash, stock-based compensation expense adjustment ranging from $325 million to $350 million for periods through fiscal 2006. This amount is a preliminary estimate. As described in Part III above, although the special committee has completed its internal review, the Company has not yet completed the restatement of its historical financial statements. Until the restatement is complete, the Company cannot determine whether there will be any significant change in results of operations from the corresponding period for the last fiscal year that will be reflected in its Quarterly Report on Form 10-Q for the fiscal quarter ended April 28, 2007, when that report is filed.</w:t>
      </w:r>
    </w:p>
    <w:p>
      <w:pPr>
        <w:spacing w:after="0" w:line="193" w:lineRule="exact"/>
        <w:rPr>
          <w:sz w:val="20"/>
          <w:szCs w:val="20"/>
          <w:color w:val="auto"/>
        </w:rPr>
      </w:pPr>
    </w:p>
    <w:p>
      <w:pPr>
        <w:ind w:left="420" w:right="40"/>
        <w:spacing w:after="0" w:line="252" w:lineRule="auto"/>
        <w:rPr>
          <w:sz w:val="20"/>
          <w:szCs w:val="20"/>
          <w:color w:val="auto"/>
        </w:rPr>
      </w:pPr>
      <w:r>
        <w:rPr>
          <w:rFonts w:ascii="Times New Roman" w:cs="Times New Roman" w:eastAsia="Times New Roman" w:hAnsi="Times New Roman"/>
          <w:sz w:val="18"/>
          <w:szCs w:val="18"/>
          <w:color w:val="auto"/>
        </w:rPr>
        <w:t>Except for the historical information contained herein, the matters set forth in this Form 12b-25, including statements with respect to expectations regarding the timing of filing of the Company’s Quarterly Report on Form 10-Q for the fiscal quarter ended April 28, 2007, are forward-looking statements within the meaning of the “safe harbor” provisions of the Private Securities Litigation Reform Act of 1995. These forward-looking statements are subject to risks and uncertainties that may cause actual results to differ materially, including the discovery of additional information relevant to the special committee’s review, any additional conclusions that may be reached by the Company’s management or the audit committee of the Company’s board concerning matters relating to the Company’s stock option grants, the timing of the completion by the Company’s independent auditors of its audit process regarding the Company’s financial statements, actions that may be taken or required as a result of the special committee’s review, and actions by the Securities and Exchange Commission or other regulatory agencies as a result of their review of the Company’s stock option practices. When the review is complete and the Company files its Form 10-Q, the financial statements may differ from the results disclosed in this Form 12b-25, not only as a result of any required adjustments resulting from restatement, but also because judgments and estimates that management used in preparing the financial results reported in this Form 12b-25 may need to be updated to the date of the filing. For other factors that could cause the Company’s results to vary from expectations, please see the sections titled “Risk Factors” in the Company’s quarterly report on Form 10-Q for the fiscal quarter ended April 29, 2006, “Additional Risk Factors” in the Company’s current report on Form 8-K filed on October 17, 2006 and “Other Events” in the Company’s current report on Form 8-K filed on April 2, 2007, and other factors detailed from time to time in the Company’s filings with the Securities and Exchange Commission. The Company undertakes no obligation to revise or update publicly any forward-looking statement in this Form 12b-25, except as otherwise required by law.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742315</wp:posOffset>
            </wp:positionH>
            <wp:positionV relativeFrom="paragraph">
              <wp:posOffset>170180</wp:posOffset>
            </wp:positionV>
            <wp:extent cx="578040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578040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6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900" w:type="dxa"/>
            <w:vAlign w:val="bottom"/>
          </w:tcPr>
          <w:p>
            <w:pPr>
              <w:spacing w:after="0"/>
              <w:rPr>
                <w:sz w:val="20"/>
                <w:szCs w:val="20"/>
                <w:color w:val="auto"/>
              </w:rPr>
            </w:pPr>
          </w:p>
        </w:tc>
        <w:tc>
          <w:tcPr>
            <w:tcW w:w="960" w:type="dxa"/>
            <w:vAlign w:val="bottom"/>
            <w:tcBorders>
              <w:bottom w:val="single" w:sz="8" w:color="auto"/>
            </w:tcBorders>
          </w:tcPr>
          <w:p>
            <w:pPr>
              <w:spacing w:after="0"/>
              <w:rPr>
                <w:sz w:val="20"/>
                <w:szCs w:val="20"/>
                <w:color w:val="auto"/>
              </w:rPr>
            </w:pPr>
          </w:p>
        </w:tc>
        <w:tc>
          <w:tcPr>
            <w:tcW w:w="3620" w:type="dxa"/>
            <w:vAlign w:val="bottom"/>
            <w:tcBorders>
              <w:bottom w:val="single" w:sz="8" w:color="auto"/>
            </w:tcBorders>
            <w:gridSpan w:val="2"/>
          </w:tcPr>
          <w:p>
            <w:pPr>
              <w:ind w:left="720"/>
              <w:spacing w:after="0"/>
              <w:rPr>
                <w:sz w:val="20"/>
                <w:szCs w:val="20"/>
                <w:color w:val="auto"/>
              </w:rPr>
            </w:pPr>
            <w:r>
              <w:rPr>
                <w:rFonts w:ascii="Times New Roman" w:cs="Times New Roman" w:eastAsia="Times New Roman" w:hAnsi="Times New Roman"/>
                <w:sz w:val="18"/>
                <w:szCs w:val="18"/>
                <w:color w:val="auto"/>
              </w:rPr>
              <w:t>Marvell Technology Group Ltd.</w:t>
            </w:r>
          </w:p>
        </w:tc>
        <w:tc>
          <w:tcPr>
            <w:tcW w:w="1120" w:type="dxa"/>
            <w:vAlign w:val="bottom"/>
            <w:tcBorders>
              <w:bottom w:val="single" w:sz="8" w:color="auto"/>
            </w:tcBorders>
          </w:tcPr>
          <w:p>
            <w:pPr>
              <w:spacing w:after="0"/>
              <w:rPr>
                <w:sz w:val="20"/>
                <w:szCs w:val="20"/>
                <w:color w:val="auto"/>
              </w:rPr>
            </w:pPr>
          </w:p>
        </w:tc>
        <w:tc>
          <w:tcPr>
            <w:tcW w:w="2840" w:type="dxa"/>
            <w:vAlign w:val="bottom"/>
          </w:tcPr>
          <w:p>
            <w:pPr>
              <w:spacing w:after="0"/>
              <w:rPr>
                <w:sz w:val="20"/>
                <w:szCs w:val="20"/>
                <w:color w:val="auto"/>
              </w:rPr>
            </w:pPr>
          </w:p>
        </w:tc>
      </w:tr>
      <w:tr>
        <w:trPr>
          <w:trHeight w:val="228"/>
        </w:trPr>
        <w:tc>
          <w:tcPr>
            <w:tcW w:w="6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9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3620" w:type="dxa"/>
            <w:vAlign w:val="bottom"/>
            <w:gridSpan w:val="2"/>
          </w:tcPr>
          <w:p>
            <w:pPr>
              <w:ind w:left="260"/>
              <w:spacing w:after="0"/>
              <w:rPr>
                <w:sz w:val="20"/>
                <w:szCs w:val="20"/>
                <w:color w:val="auto"/>
              </w:rPr>
            </w:pPr>
            <w:r>
              <w:rPr>
                <w:rFonts w:ascii="Times New Roman" w:cs="Times New Roman" w:eastAsia="Times New Roman" w:hAnsi="Times New Roman"/>
                <w:sz w:val="18"/>
                <w:szCs w:val="18"/>
                <w:color w:val="auto"/>
              </w:rPr>
              <w:t>(Name of Registrant as Specified in Charter)</w:t>
            </w:r>
          </w:p>
        </w:tc>
        <w:tc>
          <w:tcPr>
            <w:tcW w:w="1120" w:type="dxa"/>
            <w:vAlign w:val="bottom"/>
          </w:tcPr>
          <w:p>
            <w:pPr>
              <w:spacing w:after="0"/>
              <w:rPr>
                <w:sz w:val="19"/>
                <w:szCs w:val="19"/>
                <w:color w:val="auto"/>
              </w:rPr>
            </w:pPr>
          </w:p>
        </w:tc>
        <w:tc>
          <w:tcPr>
            <w:tcW w:w="2840" w:type="dxa"/>
            <w:vAlign w:val="bottom"/>
          </w:tcPr>
          <w:p>
            <w:pPr>
              <w:spacing w:after="0"/>
              <w:rPr>
                <w:sz w:val="19"/>
                <w:szCs w:val="19"/>
                <w:color w:val="auto"/>
              </w:rPr>
            </w:pPr>
          </w:p>
        </w:tc>
      </w:tr>
      <w:tr>
        <w:trPr>
          <w:trHeight w:val="414"/>
        </w:trPr>
        <w:tc>
          <w:tcPr>
            <w:tcW w:w="7460" w:type="dxa"/>
            <w:vAlign w:val="bottom"/>
            <w:gridSpan w:val="6"/>
          </w:tcPr>
          <w:p>
            <w:pPr>
              <w:spacing w:after="0"/>
              <w:rPr>
                <w:sz w:val="20"/>
                <w:szCs w:val="20"/>
                <w:color w:val="auto"/>
              </w:rPr>
            </w:pPr>
            <w:r>
              <w:rPr>
                <w:rFonts w:ascii="Times New Roman" w:cs="Times New Roman" w:eastAsia="Times New Roman" w:hAnsi="Times New Roman"/>
                <w:sz w:val="18"/>
                <w:szCs w:val="18"/>
                <w:color w:val="auto"/>
              </w:rPr>
              <w:t>has caused this notification to be signed on its behalf by the undersigned hereunto duly authorized.</w:t>
            </w:r>
          </w:p>
        </w:tc>
        <w:tc>
          <w:tcPr>
            <w:tcW w:w="1120" w:type="dxa"/>
            <w:vAlign w:val="bottom"/>
          </w:tcPr>
          <w:p>
            <w:pPr>
              <w:spacing w:after="0"/>
              <w:rPr>
                <w:sz w:val="24"/>
                <w:szCs w:val="24"/>
                <w:color w:val="auto"/>
              </w:rPr>
            </w:pPr>
          </w:p>
        </w:tc>
        <w:tc>
          <w:tcPr>
            <w:tcW w:w="2840" w:type="dxa"/>
            <w:vAlign w:val="bottom"/>
          </w:tcPr>
          <w:p>
            <w:pPr>
              <w:spacing w:after="0"/>
              <w:rPr>
                <w:sz w:val="24"/>
                <w:szCs w:val="24"/>
                <w:color w:val="auto"/>
              </w:rPr>
            </w:pPr>
          </w:p>
        </w:tc>
      </w:tr>
      <w:tr>
        <w:trPr>
          <w:trHeight w:val="432"/>
        </w:trPr>
        <w:tc>
          <w:tcPr>
            <w:tcW w:w="660" w:type="dxa"/>
            <w:vAlign w:val="bottom"/>
          </w:tcPr>
          <w:p>
            <w:pPr>
              <w:spacing w:after="0"/>
              <w:rPr>
                <w:sz w:val="20"/>
                <w:szCs w:val="20"/>
                <w:color w:val="auto"/>
              </w:rPr>
            </w:pPr>
            <w:r>
              <w:rPr>
                <w:rFonts w:ascii="Times New Roman" w:cs="Times New Roman" w:eastAsia="Times New Roman" w:hAnsi="Times New Roman"/>
                <w:sz w:val="18"/>
                <w:szCs w:val="18"/>
                <w:color w:val="auto"/>
              </w:rPr>
              <w:t>Date</w:t>
            </w:r>
          </w:p>
        </w:tc>
        <w:tc>
          <w:tcPr>
            <w:tcW w:w="2220" w:type="dxa"/>
            <w:vAlign w:val="bottom"/>
            <w:gridSpan w:val="2"/>
          </w:tcPr>
          <w:p>
            <w:pPr>
              <w:ind w:left="320"/>
              <w:spacing w:after="0"/>
              <w:rPr>
                <w:sz w:val="20"/>
                <w:szCs w:val="20"/>
                <w:color w:val="auto"/>
              </w:rPr>
            </w:pPr>
            <w:r>
              <w:rPr>
                <w:rFonts w:ascii="Times New Roman" w:cs="Times New Roman" w:eastAsia="Times New Roman" w:hAnsi="Times New Roman"/>
                <w:sz w:val="18"/>
                <w:szCs w:val="18"/>
                <w:color w:val="auto"/>
              </w:rPr>
              <w:t>June 8, 2007</w:t>
            </w:r>
          </w:p>
        </w:tc>
        <w:tc>
          <w:tcPr>
            <w:tcW w:w="960" w:type="dxa"/>
            <w:vAlign w:val="bottom"/>
          </w:tcPr>
          <w:p>
            <w:pPr>
              <w:spacing w:after="0"/>
              <w:rPr>
                <w:sz w:val="24"/>
                <w:szCs w:val="24"/>
                <w:color w:val="auto"/>
              </w:rPr>
            </w:pPr>
          </w:p>
        </w:tc>
        <w:tc>
          <w:tcPr>
            <w:tcW w:w="3620" w:type="dxa"/>
            <w:vAlign w:val="bottom"/>
            <w:gridSpan w:val="2"/>
          </w:tcPr>
          <w:p>
            <w:pPr>
              <w:ind w:left="260"/>
              <w:spacing w:after="0"/>
              <w:rPr>
                <w:sz w:val="20"/>
                <w:szCs w:val="20"/>
                <w:color w:val="auto"/>
              </w:rPr>
            </w:pPr>
            <w:r>
              <w:rPr>
                <w:rFonts w:ascii="Times New Roman" w:cs="Times New Roman" w:eastAsia="Times New Roman" w:hAnsi="Times New Roman"/>
                <w:sz w:val="18"/>
                <w:szCs w:val="18"/>
                <w:color w:val="auto"/>
              </w:rPr>
              <w:t>By</w:t>
            </w:r>
          </w:p>
        </w:tc>
        <w:tc>
          <w:tcPr>
            <w:tcW w:w="1120" w:type="dxa"/>
            <w:vAlign w:val="bottom"/>
          </w:tcPr>
          <w:p>
            <w:pPr>
              <w:jc w:val="center"/>
              <w:ind w:left="10"/>
              <w:spacing w:after="0"/>
              <w:rPr>
                <w:sz w:val="20"/>
                <w:szCs w:val="20"/>
                <w:color w:val="auto"/>
              </w:rPr>
            </w:pPr>
            <w:r>
              <w:rPr>
                <w:rFonts w:ascii="Times New Roman" w:cs="Times New Roman" w:eastAsia="Times New Roman" w:hAnsi="Times New Roman"/>
                <w:sz w:val="18"/>
                <w:szCs w:val="18"/>
                <w:color w:val="auto"/>
                <w:w w:val="97"/>
              </w:rPr>
              <w:t>/s/ Mike Tate</w:t>
            </w:r>
          </w:p>
        </w:tc>
        <w:tc>
          <w:tcPr>
            <w:tcW w:w="2840" w:type="dxa"/>
            <w:vAlign w:val="bottom"/>
          </w:tcPr>
          <w:p>
            <w:pPr>
              <w:spacing w:after="0"/>
              <w:rPr>
                <w:sz w:val="24"/>
                <w:szCs w:val="24"/>
                <w:color w:val="auto"/>
              </w:rPr>
            </w:pPr>
          </w:p>
        </w:tc>
      </w:tr>
      <w:tr>
        <w:trPr>
          <w:trHeight w:val="211"/>
        </w:trPr>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900" w:type="dxa"/>
            <w:vAlign w:val="bottom"/>
            <w:tcBorders>
              <w:top w:val="single" w:sz="8" w:color="auto"/>
            </w:tcBorders>
          </w:tcPr>
          <w:p>
            <w:pPr>
              <w:spacing w:after="0"/>
              <w:rPr>
                <w:sz w:val="18"/>
                <w:szCs w:val="18"/>
                <w:color w:val="auto"/>
              </w:rPr>
            </w:pPr>
          </w:p>
        </w:tc>
        <w:tc>
          <w:tcPr>
            <w:tcW w:w="960" w:type="dxa"/>
            <w:vAlign w:val="bottom"/>
            <w:tcBorders>
              <w:top w:val="single" w:sz="8" w:color="auto"/>
            </w:tcBorders>
          </w:tcPr>
          <w:p>
            <w:pPr>
              <w:spacing w:after="0"/>
              <w:rPr>
                <w:sz w:val="18"/>
                <w:szCs w:val="18"/>
                <w:color w:val="auto"/>
              </w:rPr>
            </w:pPr>
          </w:p>
        </w:tc>
        <w:tc>
          <w:tcPr>
            <w:tcW w:w="900" w:type="dxa"/>
            <w:vAlign w:val="bottom"/>
          </w:tcPr>
          <w:p>
            <w:pPr>
              <w:spacing w:after="0"/>
              <w:rPr>
                <w:sz w:val="18"/>
                <w:szCs w:val="18"/>
                <w:color w:val="auto"/>
              </w:rPr>
            </w:pPr>
          </w:p>
        </w:tc>
        <w:tc>
          <w:tcPr>
            <w:tcW w:w="2720" w:type="dxa"/>
            <w:vAlign w:val="bottom"/>
            <w:tcBorders>
              <w:top w:val="single" w:sz="8" w:color="auto"/>
            </w:tcBorders>
          </w:tcPr>
          <w:p>
            <w:pPr>
              <w:spacing w:after="0"/>
              <w:rPr>
                <w:sz w:val="18"/>
                <w:szCs w:val="18"/>
                <w:color w:val="auto"/>
              </w:rPr>
            </w:pPr>
          </w:p>
        </w:tc>
        <w:tc>
          <w:tcPr>
            <w:tcW w:w="1120" w:type="dxa"/>
            <w:vAlign w:val="bottom"/>
            <w:tcBorders>
              <w:top w:val="single" w:sz="8" w:color="auto"/>
            </w:tcBorders>
          </w:tcPr>
          <w:p>
            <w:pPr>
              <w:jc w:val="center"/>
              <w:ind w:left="10"/>
              <w:spacing w:after="0"/>
              <w:rPr>
                <w:sz w:val="20"/>
                <w:szCs w:val="20"/>
                <w:color w:val="auto"/>
              </w:rPr>
            </w:pPr>
            <w:r>
              <w:rPr>
                <w:rFonts w:ascii="Times New Roman" w:cs="Times New Roman" w:eastAsia="Times New Roman" w:hAnsi="Times New Roman"/>
                <w:sz w:val="18"/>
                <w:szCs w:val="18"/>
                <w:color w:val="auto"/>
                <w:w w:val="99"/>
              </w:rPr>
              <w:t>Mike Tate</w:t>
            </w:r>
          </w:p>
        </w:tc>
        <w:tc>
          <w:tcPr>
            <w:tcW w:w="2840" w:type="dxa"/>
            <w:vAlign w:val="bottom"/>
            <w:tcBorders>
              <w:top w:val="single" w:sz="8" w:color="auto"/>
            </w:tcBorders>
          </w:tcPr>
          <w:p>
            <w:pPr>
              <w:spacing w:after="0"/>
              <w:rPr>
                <w:sz w:val="18"/>
                <w:szCs w:val="18"/>
                <w:color w:val="auto"/>
              </w:rPr>
            </w:pPr>
          </w:p>
        </w:tc>
      </w:tr>
    </w:tbl>
    <w:p>
      <w:pPr>
        <w:jc w:val="center"/>
        <w:ind w:left="4720"/>
        <w:spacing w:after="0"/>
        <w:rPr>
          <w:sz w:val="20"/>
          <w:szCs w:val="20"/>
          <w:color w:val="auto"/>
        </w:rPr>
      </w:pPr>
      <w:r>
        <w:rPr>
          <w:rFonts w:ascii="Times New Roman" w:cs="Times New Roman" w:eastAsia="Times New Roman" w:hAnsi="Times New Roman"/>
          <w:sz w:val="18"/>
          <w:szCs w:val="18"/>
          <w:color w:val="auto"/>
        </w:rPr>
        <w:t>Vice President, Corporate Controller</w:t>
      </w:r>
    </w:p>
    <w:p>
      <w:pPr>
        <w:spacing w:after="0" w:line="7" w:lineRule="exact"/>
        <w:rPr>
          <w:sz w:val="20"/>
          <w:szCs w:val="20"/>
          <w:color w:val="auto"/>
        </w:rPr>
      </w:pPr>
    </w:p>
    <w:p>
      <w:pPr>
        <w:jc w:val="center"/>
        <w:ind w:left="4720"/>
        <w:spacing w:after="0"/>
        <w:rPr>
          <w:sz w:val="20"/>
          <w:szCs w:val="20"/>
          <w:color w:val="auto"/>
        </w:rPr>
      </w:pPr>
      <w:r>
        <w:rPr>
          <w:rFonts w:ascii="Times New Roman" w:cs="Times New Roman" w:eastAsia="Times New Roman" w:hAnsi="Times New Roman"/>
          <w:sz w:val="18"/>
          <w:szCs w:val="18"/>
          <w:color w:val="auto"/>
        </w:rPr>
        <w:t>and Treasurer and</w:t>
      </w:r>
    </w:p>
    <w:p>
      <w:pPr>
        <w:spacing w:after="0" w:line="9" w:lineRule="exact"/>
        <w:rPr>
          <w:sz w:val="20"/>
          <w:szCs w:val="20"/>
          <w:color w:val="auto"/>
        </w:rPr>
      </w:pPr>
    </w:p>
    <w:p>
      <w:pPr>
        <w:jc w:val="center"/>
        <w:ind w:left="4720"/>
        <w:spacing w:after="0"/>
        <w:rPr>
          <w:sz w:val="20"/>
          <w:szCs w:val="20"/>
          <w:color w:val="auto"/>
        </w:rPr>
      </w:pPr>
      <w:r>
        <w:rPr>
          <w:rFonts w:ascii="Times New Roman" w:cs="Times New Roman" w:eastAsia="Times New Roman" w:hAnsi="Times New Roman"/>
          <w:sz w:val="18"/>
          <w:szCs w:val="18"/>
          <w:color w:val="auto"/>
        </w:rPr>
        <w:t>Interim Chief Financial Officer</w:t>
      </w:r>
    </w:p>
    <w:p>
      <w:pPr>
        <w:spacing w:after="0" w:line="261" w:lineRule="exact"/>
        <w:rPr>
          <w:sz w:val="20"/>
          <w:szCs w:val="20"/>
          <w:color w:val="auto"/>
        </w:rPr>
      </w:pPr>
    </w:p>
    <w:p>
      <w:pPr>
        <w:jc w:val="both"/>
        <w:ind w:right="220"/>
        <w:spacing w:after="0" w:line="266" w:lineRule="auto"/>
        <w:rPr>
          <w:sz w:val="20"/>
          <w:szCs w:val="20"/>
          <w:color w:val="auto"/>
        </w:rPr>
      </w:pPr>
      <w:r>
        <w:rPr>
          <w:rFonts w:ascii="Times New Roman" w:cs="Times New Roman" w:eastAsia="Times New Roman" w:hAnsi="Times New Roman"/>
          <w:sz w:val="18"/>
          <w:szCs w:val="18"/>
          <w:color w:val="auto"/>
        </w:rPr>
        <w:t>INSTRUCTION: The form may be signed by an executive officer of the registrant or by any other duly authorized representative. The name and title of the person signing the form shall be typed or printed beneath the signature. If the statement is signed on behalf of the registrant by an authorized representative (other than an executive officer), evidence of the representative’s authority to sign on behalf of the registrant shall be filed with the form.</w:t>
      </w:r>
    </w:p>
    <w:p>
      <w:pPr>
        <w:spacing w:after="0" w:line="17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ATTENTION</w:t>
      </w:r>
    </w:p>
    <w:p>
      <w:pPr>
        <w:spacing w:after="0" w:line="3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Intentional misstatements or omissions of fact constitute Federal Criminal Violations (See 18 U.S.C. 1001).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54875" cy="15430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4875" cy="154305"/>
                    </a:xfrm>
                    <a:prstGeom prst="rect">
                      <a:avLst/>
                    </a:prstGeom>
                    <a:noFill/>
                  </pic:spPr>
                </pic:pic>
              </a:graphicData>
            </a:graphic>
          </wp:anchor>
        </w:drawing>
      </w:r>
    </w:p>
    <w:p>
      <w:pPr>
        <w:sectPr>
          <w:pgSz w:w="11900" w:h="16838" w:orient="portrait"/>
          <w:cols w:equalWidth="0" w:num="1">
            <w:col w:w="11420"/>
          </w:cols>
          <w:pgMar w:left="240" w:top="121" w:right="239" w:bottom="31" w:gutter="0" w:footer="0" w:header="0"/>
        </w:sectPr>
      </w:pPr>
    </w:p>
    <w:bookmarkStart w:id="2" w:name="page3"/>
    <w:bookmarkEnd w:id="2"/>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lowerLetter"/>
      <w:start w:val="1"/>
    </w:lvl>
  </w:abstractNum>
  <w:abstractNum w:abstractNumId="1">
    <w:nsid w:val="2AE8944A"/>
    <w:multiLevelType w:val="hybridMultilevel"/>
    <w:lvl w:ilvl="0">
      <w:lvlJc w:val="left"/>
      <w:lvlText w:val="o"/>
      <w:numFmt w:val="bullet"/>
      <w:start w:val="1"/>
    </w:lvl>
    <w:lvl w:ilvl="1">
      <w:lvlJc w:val="left"/>
      <w:lvlText w:val="(%2)"/>
      <w:numFmt w:val="lowerLetter"/>
      <w:start w:val="3"/>
    </w:lvl>
  </w:abstractNum>
  <w:abstractNum w:abstractNumId="2">
    <w:nsid w:val="625558EC"/>
    <w:multiLevelType w:val="hybridMultilevel"/>
    <w:lvl w:ilvl="0">
      <w:lvlJc w:val="left"/>
      <w:lvlText w:val="(%1)"/>
      <w:numFmt w:val="decimal"/>
      <w:start w:val="1"/>
    </w:lvl>
  </w:abstractNum>
  <w:abstractNum w:abstractNumId="3">
    <w:nsid w:val="238E1F29"/>
    <w:multiLevelType w:val="hybridMultilevel"/>
    <w:lvl w:ilvl="0">
      <w:lvlJc w:val="left"/>
      <w:lvlText w:val="(%1)"/>
      <w:numFmt w:val="decimal"/>
      <w:start w:val="2"/>
    </w:lvl>
  </w:abstractNum>
  <w:abstractNum w:abstractNumId="4">
    <w:nsid w:val="46E87CCD"/>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2019-12-14T20:21:42Z</dcterms:created>
  <dcterms:modified xsi:type="dcterms:W3CDTF">2019-12-14T20:21:42Z</dcterms:modified>
</cp:coreProperties>
</file>