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March 30, 2007</w:t>
      </w:r>
    </w:p>
    <w:p>
      <w:pPr>
        <w:spacing w:after="0" w:line="20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20"/>
          </w:cols>
          <w:pgMar w:left="240" w:top="530" w:right="239" w:bottom="0" w:gutter="0" w:footer="0" w:header="0"/>
        </w:sectPr>
      </w:pPr>
    </w:p>
    <w:p>
      <w:pPr>
        <w:spacing w:after="0" w:line="205" w:lineRule="exact"/>
        <w:rPr>
          <w:sz w:val="24"/>
          <w:szCs w:val="24"/>
          <w:color w:val="auto"/>
        </w:rPr>
      </w:pPr>
    </w:p>
    <w:p>
      <w:pPr>
        <w:jc w:val="center"/>
        <w:ind w:right="36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jc w:val="center"/>
        <w:ind w:right="360"/>
        <w:spacing w:after="0"/>
        <w:rPr>
          <w:sz w:val="20"/>
          <w:szCs w:val="20"/>
          <w:color w:val="auto"/>
        </w:rPr>
      </w:pPr>
      <w:r>
        <w:rPr>
          <w:rFonts w:ascii="Arial" w:cs="Arial" w:eastAsia="Arial" w:hAnsi="Arial"/>
          <w:sz w:val="16"/>
          <w:szCs w:val="16"/>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50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50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4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4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40"/>
        <w:spacing w:after="0"/>
        <w:rPr>
          <w:sz w:val="20"/>
          <w:szCs w:val="20"/>
          <w:color w:val="auto"/>
        </w:rPr>
      </w:pPr>
      <w:r>
        <w:rPr>
          <w:rFonts w:ascii="Arial" w:cs="Arial" w:eastAsia="Arial" w:hAnsi="Arial"/>
          <w:sz w:val="17"/>
          <w:szCs w:val="17"/>
          <w:color w:val="auto"/>
        </w:rPr>
        <w:t>Identification No.)</w:t>
      </w:r>
    </w:p>
    <w:p>
      <w:pPr>
        <w:spacing w:after="0" w:line="200" w:lineRule="exact"/>
        <w:rPr>
          <w:sz w:val="24"/>
          <w:szCs w:val="24"/>
          <w:color w:val="auto"/>
        </w:rPr>
      </w:pPr>
    </w:p>
    <w:p>
      <w:pPr>
        <w:sectPr>
          <w:pgSz w:w="11900" w:h="16838" w:orient="portrait"/>
          <w:cols w:equalWidth="0" w:num="3">
            <w:col w:w="4000" w:space="720"/>
            <w:col w:w="3500" w:space="720"/>
            <w:col w:w="2480"/>
          </w:cols>
          <w:pgMar w:left="240" w:top="530" w:right="239" w:bottom="0" w:gutter="0" w:footer="0" w:header="0"/>
          <w:type w:val="continuous"/>
        </w:sectPr>
      </w:pPr>
    </w:p>
    <w:p>
      <w:pPr>
        <w:spacing w:after="0" w:line="23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ind w:left="5580" w:hanging="428"/>
        <w:spacing w:after="0"/>
        <w:tabs>
          <w:tab w:leader="none" w:pos="5580" w:val="left"/>
        </w:tabs>
        <w:numPr>
          <w:ilvl w:val="0"/>
          <w:numId w:val="1"/>
        </w:numPr>
        <w:rPr>
          <w:rFonts w:ascii="Arial" w:cs="Arial" w:eastAsia="Arial" w:hAnsi="Arial"/>
          <w:sz w:val="18"/>
          <w:szCs w:val="18"/>
          <w:b w:val="1"/>
          <w:bCs w:val="1"/>
          <w:color w:val="auto"/>
        </w:rPr>
      </w:pPr>
      <w:r>
        <w:rPr>
          <w:rFonts w:ascii="Arial" w:cs="Arial" w:eastAsia="Arial" w:hAnsi="Arial"/>
          <w:sz w:val="18"/>
          <w:szCs w:val="18"/>
          <w:b w:val="1"/>
          <w:bCs w:val="1"/>
          <w:color w:val="auto"/>
        </w:rPr>
        <w:t>296-6395</w:t>
      </w:r>
    </w:p>
    <w:p>
      <w:pPr>
        <w:spacing w:after="0" w:line="27" w:lineRule="exact"/>
        <w:rPr>
          <w:rFonts w:ascii="Arial" w:cs="Arial" w:eastAsia="Arial" w:hAnsi="Arial"/>
          <w:sz w:val="18"/>
          <w:szCs w:val="18"/>
          <w:b w:val="1"/>
          <w:bCs w:val="1"/>
          <w:color w:val="auto"/>
        </w:rPr>
      </w:pPr>
    </w:p>
    <w:p>
      <w:pPr>
        <w:ind w:left="4560"/>
        <w:spacing w:after="0"/>
        <w:rPr>
          <w:rFonts w:ascii="Arial" w:cs="Arial" w:eastAsia="Arial" w:hAnsi="Arial"/>
          <w:sz w:val="18"/>
          <w:szCs w:val="18"/>
          <w:b w:val="1"/>
          <w:bCs w:val="1"/>
          <w:color w:val="auto"/>
        </w:rPr>
      </w:pPr>
      <w:r>
        <w:rPr>
          <w:rFonts w:ascii="Arial" w:cs="Arial" w:eastAsia="Arial" w:hAnsi="Arial"/>
          <w:sz w:val="18"/>
          <w:szCs w:val="18"/>
          <w:color w:val="auto"/>
        </w:rPr>
        <w:t>(Registrant’s telephone number,</w:t>
      </w:r>
    </w:p>
    <w:p>
      <w:pPr>
        <w:spacing w:after="0" w:line="9" w:lineRule="exact"/>
        <w:rPr>
          <w:rFonts w:ascii="Arial" w:cs="Arial" w:eastAsia="Arial" w:hAnsi="Arial"/>
          <w:sz w:val="18"/>
          <w:szCs w:val="18"/>
          <w:b w:val="1"/>
          <w:bCs w:val="1"/>
          <w:color w:val="auto"/>
        </w:rPr>
      </w:pPr>
    </w:p>
    <w:p>
      <w:pPr>
        <w:ind w:left="4980"/>
        <w:spacing w:after="0"/>
        <w:rPr>
          <w:rFonts w:ascii="Arial" w:cs="Arial" w:eastAsia="Arial" w:hAnsi="Arial"/>
          <w:sz w:val="18"/>
          <w:szCs w:val="18"/>
          <w:b w:val="1"/>
          <w:bCs w:val="1"/>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ind w:right="4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441325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2" w:lineRule="exact"/>
        <w:rPr>
          <w:sz w:val="24"/>
          <w:szCs w:val="24"/>
          <w:color w:val="auto"/>
        </w:rPr>
      </w:pPr>
    </w:p>
    <w:p>
      <w:pPr>
        <w:spacing w:after="0"/>
        <w:tabs>
          <w:tab w:leader="none" w:pos="1380" w:val="left"/>
        </w:tabs>
        <w:rPr>
          <w:sz w:val="20"/>
          <w:szCs w:val="20"/>
          <w:color w:val="auto"/>
        </w:rPr>
      </w:pPr>
      <w:r>
        <w:rPr>
          <w:rFonts w:ascii="Arial" w:cs="Arial" w:eastAsia="Arial" w:hAnsi="Arial"/>
          <w:sz w:val="18"/>
          <w:szCs w:val="18"/>
          <w:b w:val="1"/>
          <w:bCs w:val="1"/>
          <w:color w:val="auto"/>
        </w:rPr>
        <w:t>Item 3.01</w:t>
      </w:r>
      <w:r>
        <w:rPr>
          <w:sz w:val="20"/>
          <w:szCs w:val="20"/>
          <w:color w:val="auto"/>
        </w:rPr>
        <w:tab/>
      </w:r>
      <w:r>
        <w:rPr>
          <w:rFonts w:ascii="Arial" w:cs="Arial" w:eastAsia="Arial" w:hAnsi="Arial"/>
          <w:sz w:val="16"/>
          <w:szCs w:val="16"/>
          <w:b w:val="1"/>
          <w:bCs w:val="1"/>
          <w:color w:val="auto"/>
        </w:rPr>
        <w:t>Notice of Delisting or Failure to Satisfy a Continued Listing Rule or Standard: Transfer of Listing.</w:t>
      </w:r>
    </w:p>
    <w:p>
      <w:pPr>
        <w:spacing w:after="0" w:line="229" w:lineRule="exact"/>
        <w:rPr>
          <w:sz w:val="24"/>
          <w:szCs w:val="24"/>
          <w:color w:val="auto"/>
        </w:rPr>
      </w:pPr>
    </w:p>
    <w:p>
      <w:pPr>
        <w:jc w:val="both"/>
        <w:ind w:right="80"/>
        <w:spacing w:after="0" w:line="264" w:lineRule="auto"/>
        <w:rPr>
          <w:sz w:val="20"/>
          <w:szCs w:val="20"/>
          <w:color w:val="auto"/>
        </w:rPr>
      </w:pPr>
      <w:r>
        <w:rPr>
          <w:rFonts w:ascii="Arial" w:cs="Arial" w:eastAsia="Arial" w:hAnsi="Arial"/>
          <w:sz w:val="18"/>
          <w:szCs w:val="18"/>
          <w:color w:val="auto"/>
        </w:rPr>
        <w:t>On March 30, 2007, Marvell Technology Group Ltd. (“we,” “our,” “us” or the “Company”) received a notice from The NASDAQ Stock Market stating that the Company is not in compliance with NASDAQ Marketplace Rule 4310(c)(14) because the Company has not timely filed its Annual Report on Form 10-K for the fiscal year ended January 27, 2007.</w:t>
      </w:r>
    </w:p>
    <w:p>
      <w:pPr>
        <w:spacing w:after="0" w:line="181" w:lineRule="exact"/>
        <w:rPr>
          <w:sz w:val="24"/>
          <w:szCs w:val="24"/>
          <w:color w:val="auto"/>
        </w:rPr>
      </w:pPr>
    </w:p>
    <w:p>
      <w:pPr>
        <w:spacing w:after="0"/>
        <w:rPr>
          <w:sz w:val="20"/>
          <w:szCs w:val="20"/>
          <w:color w:val="auto"/>
        </w:rPr>
      </w:pPr>
      <w:r>
        <w:rPr>
          <w:rFonts w:ascii="Arial" w:cs="Arial" w:eastAsia="Arial" w:hAnsi="Arial"/>
          <w:sz w:val="17"/>
          <w:szCs w:val="17"/>
          <w:color w:val="auto"/>
        </w:rPr>
        <w:t>The company issued a press release on April 2, 2007, a copy of which is attached hereto as Exhibit 99.1 and is incorporated herein by reference.</w:t>
      </w:r>
    </w:p>
    <w:p>
      <w:pPr>
        <w:spacing w:after="0" w:line="233" w:lineRule="exact"/>
        <w:rPr>
          <w:sz w:val="24"/>
          <w:szCs w:val="24"/>
          <w:color w:val="auto"/>
        </w:rPr>
      </w:pPr>
    </w:p>
    <w:p>
      <w:pPr>
        <w:spacing w:after="0"/>
        <w:tabs>
          <w:tab w:leader="none" w:pos="138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229" w:lineRule="exact"/>
        <w:rPr>
          <w:sz w:val="24"/>
          <w:szCs w:val="24"/>
          <w:color w:val="auto"/>
        </w:rPr>
      </w:pPr>
    </w:p>
    <w:p>
      <w:pPr>
        <w:spacing w:after="0"/>
        <w:rPr>
          <w:sz w:val="20"/>
          <w:szCs w:val="20"/>
          <w:color w:val="auto"/>
        </w:rPr>
      </w:pPr>
      <w:r>
        <w:rPr>
          <w:rFonts w:ascii="Arial" w:cs="Arial" w:eastAsia="Arial" w:hAnsi="Arial"/>
          <w:sz w:val="18"/>
          <w:szCs w:val="18"/>
          <w:b w:val="1"/>
          <w:bCs w:val="1"/>
          <w:i w:val="1"/>
          <w:iCs w:val="1"/>
          <w:color w:val="auto"/>
        </w:rPr>
        <w:t>Special Committee of Board of Directors</w:t>
      </w:r>
    </w:p>
    <w:p>
      <w:pPr>
        <w:spacing w:after="0" w:line="225" w:lineRule="exact"/>
        <w:rPr>
          <w:sz w:val="24"/>
          <w:szCs w:val="24"/>
          <w:color w:val="auto"/>
        </w:rPr>
      </w:pPr>
    </w:p>
    <w:p>
      <w:pPr>
        <w:spacing w:after="0" w:line="257" w:lineRule="auto"/>
        <w:rPr>
          <w:sz w:val="20"/>
          <w:szCs w:val="20"/>
          <w:color w:val="auto"/>
        </w:rPr>
      </w:pPr>
      <w:r>
        <w:rPr>
          <w:rFonts w:ascii="Arial" w:cs="Arial" w:eastAsia="Arial" w:hAnsi="Arial"/>
          <w:sz w:val="18"/>
          <w:szCs w:val="18"/>
          <w:color w:val="auto"/>
        </w:rPr>
        <w:t xml:space="preserve">Effective March 30, 2007, the Company’s Board of Directors appointed </w:t>
      </w:r>
      <w:r>
        <w:rPr>
          <w:rFonts w:ascii="Arial" w:cs="Arial" w:eastAsia="Arial" w:hAnsi="Arial"/>
          <w:sz w:val="17"/>
          <w:szCs w:val="17"/>
          <w:color w:val="auto"/>
        </w:rPr>
        <w:t>John J. Quinn, Esq.</w:t>
      </w:r>
      <w:r>
        <w:rPr>
          <w:rFonts w:ascii="Arial" w:cs="Arial" w:eastAsia="Arial" w:hAnsi="Arial"/>
          <w:sz w:val="18"/>
          <w:szCs w:val="18"/>
          <w:color w:val="auto"/>
        </w:rPr>
        <w:t xml:space="preserve"> and Dr. William G. Howard, Jr. as non-director members of the special committee regarding derivative litigation of the Company’s Board of Directors (the “Special Committee”). Under the Company’s bye-laws, the Board of Directors can delegate any of its powers to a committee that may consist partly or entirely of non-directors. The Special Committee, previously comprising one director, will now comprise the two non-directors named above. The Special Committee will continue the previously announced internal review relating to the Company’s historical stock option practices and related accounting matters.</w:t>
      </w:r>
    </w:p>
    <w:p>
      <w:pPr>
        <w:spacing w:after="0" w:line="188" w:lineRule="exact"/>
        <w:rPr>
          <w:sz w:val="24"/>
          <w:szCs w:val="24"/>
          <w:color w:val="auto"/>
        </w:rPr>
      </w:pPr>
    </w:p>
    <w:p>
      <w:pPr>
        <w:ind w:right="80"/>
        <w:spacing w:after="0" w:line="302" w:lineRule="auto"/>
        <w:rPr>
          <w:sz w:val="20"/>
          <w:szCs w:val="20"/>
          <w:color w:val="auto"/>
        </w:rPr>
      </w:pPr>
      <w:r>
        <w:rPr>
          <w:rFonts w:ascii="Arial" w:cs="Arial" w:eastAsia="Arial" w:hAnsi="Arial"/>
          <w:sz w:val="16"/>
          <w:szCs w:val="16"/>
          <w:color w:val="auto"/>
        </w:rPr>
        <w:t>Mr. Quinn is a retired Partner at the law firm of Arnold &amp; Porter LLP and former President of the Los Angeles County Bar Association. Mr. Quinn has received numerous awards and honors for his distinguished service in the legal community, including the Shattuck-Price Award, the Los Angeles County Bar Association’s highest honor, and the Distinguished Service Award presented by the United States Court of the Ninth Circuit. Mr. Quinn has served as the Chairperson of the Senator Barbara Boxer Federal Judicial Selection Committee, overseeing the selection of nominees for federal judicial appointment of the</w:t>
      </w:r>
    </w:p>
    <w:p>
      <w:pPr>
        <w:sectPr>
          <w:pgSz w:w="11900" w:h="16838" w:orient="portrait"/>
          <w:cols w:equalWidth="0" w:num="1">
            <w:col w:w="11420"/>
          </w:cols>
          <w:pgMar w:left="240" w:top="530" w:right="239" w:bottom="0" w:gutter="0" w:footer="0" w:header="0"/>
          <w:type w:val="continuous"/>
        </w:sectPr>
      </w:pPr>
    </w:p>
    <w:bookmarkStart w:id="1" w:name="page2"/>
    <w:bookmarkEnd w:id="1"/>
    <w:p>
      <w:pPr>
        <w:ind w:right="60"/>
        <w:spacing w:after="0" w:line="277" w:lineRule="auto"/>
        <w:rPr>
          <w:sz w:val="20"/>
          <w:szCs w:val="20"/>
          <w:color w:val="auto"/>
        </w:rPr>
      </w:pPr>
      <w:r>
        <w:rPr>
          <w:rFonts w:ascii="Arial" w:cs="Arial" w:eastAsia="Arial" w:hAnsi="Arial"/>
          <w:sz w:val="18"/>
          <w:szCs w:val="18"/>
          <w:color w:val="auto"/>
        </w:rPr>
        <w:t>United States District Court. He was also Chairperson of the Disciplinary Committee of the District Court for the Central District of California from 1995 to 2001.</w:t>
      </w:r>
    </w:p>
    <w:p>
      <w:pPr>
        <w:spacing w:after="0" w:line="170" w:lineRule="exact"/>
        <w:rPr>
          <w:sz w:val="20"/>
          <w:szCs w:val="20"/>
          <w:color w:val="auto"/>
        </w:rPr>
      </w:pPr>
    </w:p>
    <w:p>
      <w:pPr>
        <w:ind w:right="40"/>
        <w:spacing w:after="0" w:line="270" w:lineRule="auto"/>
        <w:rPr>
          <w:sz w:val="20"/>
          <w:szCs w:val="20"/>
          <w:color w:val="auto"/>
        </w:rPr>
      </w:pPr>
      <w:r>
        <w:rPr>
          <w:rFonts w:ascii="Arial" w:cs="Arial" w:eastAsia="Arial" w:hAnsi="Arial"/>
          <w:sz w:val="17"/>
          <w:szCs w:val="17"/>
          <w:color w:val="auto"/>
        </w:rPr>
        <w:t>Dr. Howard has been an independent engineering consultant to various semiconductor and microelectronics companies since December 1990, including Xilinx, Inc., the Semiconductor Industry Association, and Dow Corning Corporation. From October 1987 to December 1990, Dr. Howard served as a senior fellow at the National Academy of Engineering conducting studies of technology management. Dr. Howard held various management positions at Motorola, Inc., a wireless and broadband communications company, between 1969 and 1987, including Senior Vice President and Director of Research and Development. Dr. Howard previously served as a director of Credence Systems Corporation, a supplier of design-to-test solutions for semiconductors, and BEI Technologies, Inc., a manufacturer of electronic sensors, motors, actuators, encoders and motion control products, until its sale in 2005. Dr. Howard is Chairman of Thunderbird Technologies, a private company developing new transistor technologies, and the Ramtron International Corporation, a manufacturer of memory products, and a director of Xilinx, Inc., a semiconductor company, and Sandia Corporation, a Lockheed Martin company that manages Sandia National Laboratories. Dr. Howard serves on the Defense Science Board and is a former chair of the Department of Defense’s Advisory Group on Electron Devices.</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Updated Risk Factor</w:t>
      </w:r>
    </w:p>
    <w:p>
      <w:pPr>
        <w:spacing w:after="0" w:line="225"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The Company also hereby updates the first additional risk factor set forth in its Current Report on Form 8-K filed on October 17, 2006 to read in its entirety as follows:</w:t>
      </w:r>
    </w:p>
    <w:p>
      <w:pPr>
        <w:spacing w:after="0" w:line="166" w:lineRule="exact"/>
        <w:rPr>
          <w:sz w:val="20"/>
          <w:szCs w:val="20"/>
          <w:color w:val="auto"/>
        </w:rPr>
      </w:pPr>
    </w:p>
    <w:p>
      <w:pPr>
        <w:ind w:right="60"/>
        <w:spacing w:after="0" w:line="266" w:lineRule="auto"/>
        <w:rPr>
          <w:sz w:val="20"/>
          <w:szCs w:val="20"/>
          <w:color w:val="auto"/>
        </w:rPr>
      </w:pPr>
      <w:r>
        <w:rPr>
          <w:rFonts w:ascii="Arial" w:cs="Arial" w:eastAsia="Arial" w:hAnsi="Arial"/>
          <w:sz w:val="18"/>
          <w:szCs w:val="18"/>
          <w:b w:val="1"/>
          <w:bCs w:val="1"/>
          <w:color w:val="auto"/>
        </w:rPr>
        <w:t>Until we file our delayed Forms 10-Q and 10-K, there will be limited public information available concerning our results of operations and financial condition. The delay in the filing of our Forms 10-Q and 10-K and the restatement of our financial statements, and the related uncertainties, may also have other adverse effects.</w:t>
      </w:r>
    </w:p>
    <w:p>
      <w:pPr>
        <w:spacing w:after="0" w:line="180"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We have not filed our Forms 10-Q for the fiscal quarters ended July 29, 2006 and October 28, 2006 and our Form 10-K for the fiscal year ended January 27, 2007. Until we have filed our Forms 10-Q and 10-K, there will be limited</w:t>
      </w:r>
    </w:p>
    <w:p>
      <w:pPr>
        <w:spacing w:after="0" w:line="38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80"/>
        <w:spacing w:after="0" w:line="277" w:lineRule="auto"/>
        <w:rPr>
          <w:sz w:val="20"/>
          <w:szCs w:val="20"/>
          <w:color w:val="auto"/>
        </w:rPr>
      </w:pPr>
      <w:r>
        <w:rPr>
          <w:rFonts w:ascii="Arial" w:cs="Arial" w:eastAsia="Arial" w:hAnsi="Arial"/>
          <w:sz w:val="18"/>
          <w:szCs w:val="18"/>
          <w:color w:val="auto"/>
        </w:rPr>
        <w:t>public information available concerning our results of operations and financial condition. The absence of more recent financial statements may have an adverse effect on us and on the market prices of our securities.</w:t>
      </w:r>
    </w:p>
    <w:p>
      <w:pPr>
        <w:spacing w:after="0" w:line="170"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Timely filing of periodic reports with the SEC is a requirement for continued listing of our shares on the NASDAQ Global Select Market. The NASDAQ Stock Market’s Listing Qualifications Panel determined that the continued listing of our shares was contingent on filing our delayed Forms 10-Q and 10-K by March 7, 2007. We appealed the Panel’s decision to the Nasdaq Listing and Hearing Review Council, which stayed the Panel’s decision pending further action and set a deadline of March 30, 2007 for us to submit to the Listing Council materials, other than those publicly filed, for the Listing Council’s consideration. We do not know when the Listing Council may take any further action regarding its stay. Even if the Listing Council decides to continue its stay of the Panel’s determination and our shares continue to be listed, we will still have to file our delayed Forms 10-Q and 10-K and otherwise meet NASDAQ’s listing requirements by June 28, 2007 or face delisting. The Listing Council could also choose to require us to regain compliance by a date earlier than June 28, but it cannot extend the June 28 deadline.</w:t>
      </w:r>
    </w:p>
    <w:p>
      <w:pPr>
        <w:spacing w:after="0" w:line="192" w:lineRule="exact"/>
        <w:rPr>
          <w:sz w:val="20"/>
          <w:szCs w:val="20"/>
          <w:color w:val="auto"/>
        </w:rPr>
      </w:pPr>
    </w:p>
    <w:p>
      <w:pPr>
        <w:ind w:right="100"/>
        <w:spacing w:after="0" w:line="302" w:lineRule="auto"/>
        <w:rPr>
          <w:sz w:val="20"/>
          <w:szCs w:val="20"/>
          <w:color w:val="auto"/>
        </w:rPr>
      </w:pPr>
      <w:r>
        <w:rPr>
          <w:rFonts w:ascii="Arial" w:cs="Arial" w:eastAsia="Arial" w:hAnsi="Arial"/>
          <w:sz w:val="16"/>
          <w:szCs w:val="16"/>
          <w:color w:val="auto"/>
        </w:rPr>
        <w:t>We have to complete our internal review relating to our historical stock option practices and related accounting matters and the restatement of our financial statements before we can file our delayed Forms 10-Q and 10-K. If we are unable to do so by June 28, 2007 or any earlier date that the Listing Council may establish, or if the Listing Council determines instead to lift its stay, our common stock will be delisted. Delisting could cause our stock price to decline, would likely make the market for trading of our common stock less liquid, and could make it more difficult or more expensive for us to raise capital.</w:t>
      </w:r>
    </w:p>
    <w:p>
      <w:pPr>
        <w:spacing w:after="0" w:line="154"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The delay in the filing of our Forms 10-Q and 10-K and the restatement of our financial statements, and the related uncertainties, may also have other actual or potential adverse effects in addition to those discussed above, including adverse effects on the perception of the Company by existing and potential customers and suppliers, our ability to raise needed financing through the issuance of equity or convertible debt securities, our ability to recruit and retain qualified personnel, and investor confidence.</w:t>
      </w:r>
    </w:p>
    <w:p>
      <w:pPr>
        <w:spacing w:after="0" w:line="183" w:lineRule="exact"/>
        <w:rPr>
          <w:sz w:val="20"/>
          <w:szCs w:val="20"/>
          <w:color w:val="auto"/>
        </w:rPr>
      </w:pPr>
    </w:p>
    <w:p>
      <w:pPr>
        <w:spacing w:after="0"/>
        <w:tabs>
          <w:tab w:leader="none" w:pos="13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0"/>
          <w:szCs w:val="20"/>
          <w:color w:val="auto"/>
        </w:rPr>
      </w:pPr>
    </w:p>
    <w:p>
      <w:pPr>
        <w:ind w:left="1360" w:hanging="704"/>
        <w:spacing w:after="0"/>
        <w:tabs>
          <w:tab w:leader="none" w:pos="136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sz w:val="20"/>
          <w:szCs w:val="20"/>
          <w:color w:val="auto"/>
        </w:rPr>
      </w:pPr>
    </w:p>
    <w:p>
      <w:pPr>
        <w:ind w:left="1300"/>
        <w:spacing w:after="0"/>
        <w:tabs>
          <w:tab w:leader="none" w:pos="20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Press release dated April 2, 2007.</w:t>
      </w:r>
    </w:p>
    <w:p>
      <w:pPr>
        <w:spacing w:after="0" w:line="200" w:lineRule="exact"/>
        <w:rPr>
          <w:sz w:val="20"/>
          <w:szCs w:val="20"/>
          <w:color w:val="auto"/>
        </w:rPr>
      </w:pPr>
    </w:p>
    <w:p>
      <w:pPr>
        <w:spacing w:after="0" w:line="24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44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April 2, 2007</w:t>
      </w:r>
    </w:p>
    <w:p>
      <w:pPr>
        <w:spacing w:after="0" w:line="225" w:lineRule="exact"/>
        <w:rPr>
          <w:sz w:val="20"/>
          <w:szCs w:val="20"/>
          <w:color w:val="auto"/>
        </w:rPr>
      </w:pPr>
    </w:p>
    <w:p>
      <w:pPr>
        <w:ind w:left="5780"/>
        <w:spacing w:after="0"/>
        <w:rPr>
          <w:sz w:val="20"/>
          <w:szCs w:val="20"/>
          <w:color w:val="auto"/>
        </w:rPr>
      </w:pPr>
      <w:r>
        <w:rPr>
          <w:rFonts w:ascii="Arial" w:cs="Arial" w:eastAsia="Arial" w:hAnsi="Arial"/>
          <w:sz w:val="18"/>
          <w:szCs w:val="18"/>
          <w:color w:val="auto"/>
        </w:rPr>
        <w:t>MARVELL TECHNOLOGY GROUP LTD.</w:t>
      </w:r>
    </w:p>
    <w:p>
      <w:pPr>
        <w:sectPr>
          <w:pgSz w:w="11900" w:h="16838" w:orient="portrait"/>
          <w:cols w:equalWidth="0" w:num="1">
            <w:col w:w="11380"/>
          </w:cols>
          <w:pgMar w:left="240" w:top="125" w:right="279" w:bottom="0" w:gutter="0" w:footer="0" w:header="0"/>
        </w:sectPr>
      </w:pPr>
    </w:p>
    <w:p>
      <w:pPr>
        <w:spacing w:after="0" w:line="200" w:lineRule="exact"/>
        <w:rPr>
          <w:sz w:val="20"/>
          <w:szCs w:val="20"/>
          <w:color w:val="auto"/>
        </w:rPr>
      </w:pPr>
    </w:p>
    <w:p>
      <w:pPr>
        <w:spacing w:after="0" w:line="241" w:lineRule="exact"/>
        <w:rPr>
          <w:sz w:val="20"/>
          <w:szCs w:val="20"/>
          <w:color w:val="auto"/>
        </w:rPr>
      </w:pPr>
    </w:p>
    <w:p>
      <w:pPr>
        <w:ind w:left="5780"/>
        <w:spacing w:after="0"/>
        <w:tabs>
          <w:tab w:leader="none" w:pos="8220" w:val="left"/>
        </w:tabs>
        <w:rPr>
          <w:sz w:val="20"/>
          <w:szCs w:val="20"/>
          <w:color w:val="auto"/>
        </w:rPr>
      </w:pPr>
      <w:r>
        <w:rPr>
          <w:rFonts w:ascii="Arial" w:cs="Arial" w:eastAsia="Arial" w:hAnsi="Arial"/>
          <w:sz w:val="16"/>
          <w:szCs w:val="16"/>
          <w:color w:val="auto"/>
        </w:rPr>
        <w:t>By:</w:t>
      </w:r>
      <w:r>
        <w:rPr>
          <w:sz w:val="20"/>
          <w:szCs w:val="20"/>
          <w:color w:val="auto"/>
        </w:rPr>
        <w:tab/>
      </w:r>
      <w:r>
        <w:rPr>
          <w:rFonts w:ascii="Arial" w:cs="Arial" w:eastAsia="Arial" w:hAnsi="Arial"/>
          <w:sz w:val="16"/>
          <w:szCs w:val="16"/>
          <w:color w:val="auto"/>
        </w:rPr>
        <w:t>/s/ 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4035425</wp:posOffset>
            </wp:positionH>
            <wp:positionV relativeFrom="paragraph">
              <wp:posOffset>29210</wp:posOffset>
            </wp:positionV>
            <wp:extent cx="321564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3215640" cy="8890"/>
                    </a:xfrm>
                    <a:prstGeom prst="rect">
                      <a:avLst/>
                    </a:prstGeom>
                    <a:noFill/>
                  </pic:spPr>
                </pic:pic>
              </a:graphicData>
            </a:graphic>
          </wp:anchor>
        </w:drawing>
      </w:r>
    </w:p>
    <w:p>
      <w:pPr>
        <w:sectPr>
          <w:pgSz w:w="11900" w:h="16838" w:orient="portrait"/>
          <w:cols w:equalWidth="0" w:num="1">
            <w:col w:w="11380"/>
          </w:cols>
          <w:pgMar w:left="240" w:top="125" w:right="279" w:bottom="0" w:gutter="0" w:footer="0" w:header="0"/>
          <w:type w:val="continuous"/>
        </w:sectPr>
      </w:pPr>
    </w:p>
    <w:bookmarkStart w:id="2" w:name="page3"/>
    <w:bookmarkEnd w:id="2"/>
    <w:p>
      <w:pPr>
        <w:jc w:val="center"/>
        <w:ind w:left="6320"/>
        <w:spacing w:after="0"/>
        <w:rPr>
          <w:sz w:val="20"/>
          <w:szCs w:val="20"/>
          <w:color w:val="auto"/>
        </w:rPr>
      </w:pPr>
      <w:r>
        <w:rPr>
          <w:rFonts w:ascii="Arial" w:cs="Arial" w:eastAsia="Arial" w:hAnsi="Arial"/>
          <w:sz w:val="18"/>
          <w:szCs w:val="18"/>
          <w:color w:val="auto"/>
        </w:rPr>
        <w:t>George A. Hervey</w:t>
      </w:r>
    </w:p>
    <w:p>
      <w:pPr>
        <w:spacing w:after="0" w:line="23" w:lineRule="exact"/>
        <w:rPr>
          <w:sz w:val="20"/>
          <w:szCs w:val="20"/>
          <w:color w:val="auto"/>
        </w:rPr>
      </w:pPr>
    </w:p>
    <w:p>
      <w:pPr>
        <w:jc w:val="center"/>
        <w:ind w:left="632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jc w:val="center"/>
        <w:ind w:left="6320"/>
        <w:spacing w:after="0"/>
        <w:rPr>
          <w:sz w:val="20"/>
          <w:szCs w:val="20"/>
          <w:color w:val="auto"/>
        </w:rPr>
      </w:pPr>
      <w:r>
        <w:rPr>
          <w:rFonts w:ascii="Arial" w:cs="Arial" w:eastAsia="Arial" w:hAnsi="Arial"/>
          <w:sz w:val="18"/>
          <w:szCs w:val="18"/>
          <w:color w:val="auto"/>
        </w:rPr>
        <w:t>Chief Financial Officer</w:t>
      </w: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25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8340" w:type="dxa"/>
            <w:vAlign w:val="bottom"/>
          </w:tcPr>
          <w:p>
            <w:pPr>
              <w:jc w:val="center"/>
              <w:ind w:right="2974"/>
              <w:spacing w:after="0"/>
              <w:rPr>
                <w:sz w:val="20"/>
                <w:szCs w:val="20"/>
                <w:color w:val="auto"/>
              </w:rPr>
            </w:pPr>
            <w:r>
              <w:rPr>
                <w:rFonts w:ascii="Arial" w:cs="Arial" w:eastAsia="Arial" w:hAnsi="Arial"/>
                <w:sz w:val="18"/>
                <w:szCs w:val="18"/>
                <w:b w:val="1"/>
                <w:bCs w:val="1"/>
                <w:color w:val="auto"/>
              </w:rPr>
              <w:t>EXHIBIT INDEX</w:t>
            </w:r>
          </w:p>
        </w:tc>
        <w:tc>
          <w:tcPr>
            <w:tcW w:w="40" w:type="dxa"/>
            <w:vAlign w:val="bottom"/>
          </w:tcPr>
          <w:p>
            <w:pPr>
              <w:spacing w:after="0"/>
              <w:rPr>
                <w:sz w:val="20"/>
                <w:szCs w:val="20"/>
                <w:color w:val="auto"/>
              </w:rPr>
            </w:pPr>
          </w:p>
        </w:tc>
      </w:tr>
      <w:tr>
        <w:trPr>
          <w:trHeight w:val="351"/>
        </w:trPr>
        <w:tc>
          <w:tcPr>
            <w:tcW w:w="3080" w:type="dxa"/>
            <w:vAlign w:val="bottom"/>
            <w:gridSpan w:val="2"/>
          </w:tcPr>
          <w:p>
            <w:pPr>
              <w:spacing w:after="0"/>
              <w:rPr>
                <w:sz w:val="20"/>
                <w:szCs w:val="20"/>
                <w:color w:val="auto"/>
              </w:rPr>
            </w:pPr>
            <w:r>
              <w:rPr>
                <w:rFonts w:ascii="Arial" w:cs="Arial" w:eastAsia="Arial" w:hAnsi="Arial"/>
                <w:sz w:val="14"/>
                <w:szCs w:val="14"/>
                <w:b w:val="1"/>
                <w:bCs w:val="1"/>
                <w:color w:val="auto"/>
              </w:rPr>
              <w:t>Exhibit No.</w:t>
            </w:r>
          </w:p>
        </w:tc>
        <w:tc>
          <w:tcPr>
            <w:tcW w:w="8340" w:type="dxa"/>
            <w:vAlign w:val="bottom"/>
          </w:tcPr>
          <w:p>
            <w:pPr>
              <w:ind w:left="380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r>
      <w:tr>
        <w:trPr>
          <w:trHeight w:val="426"/>
        </w:trPr>
        <w:tc>
          <w:tcPr>
            <w:tcW w:w="250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99.1</w:t>
            </w:r>
          </w:p>
        </w:tc>
        <w:tc>
          <w:tcPr>
            <w:tcW w:w="580" w:type="dxa"/>
            <w:vAlign w:val="bottom"/>
          </w:tcPr>
          <w:p>
            <w:pPr>
              <w:spacing w:after="0"/>
              <w:rPr>
                <w:sz w:val="24"/>
                <w:szCs w:val="24"/>
                <w:color w:val="auto"/>
              </w:rPr>
            </w:pPr>
          </w:p>
        </w:tc>
        <w:tc>
          <w:tcPr>
            <w:tcW w:w="834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Press Release dated April 2, 2007.</w:t>
            </w:r>
          </w:p>
        </w:tc>
        <w:tc>
          <w:tcPr>
            <w:tcW w:w="40" w:type="dxa"/>
            <w:vAlign w:val="bottom"/>
          </w:tcPr>
          <w:p>
            <w:pPr>
              <w:spacing w:after="0"/>
              <w:rPr>
                <w:sz w:val="24"/>
                <w:szCs w:val="24"/>
                <w:color w:val="auto"/>
              </w:rPr>
            </w:pPr>
          </w:p>
        </w:tc>
      </w:tr>
      <w:tr>
        <w:trPr>
          <w:trHeight w:val="864"/>
        </w:trPr>
        <w:tc>
          <w:tcPr>
            <w:tcW w:w="25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8340" w:type="dxa"/>
            <w:vAlign w:val="bottom"/>
          </w:tcPr>
          <w:p>
            <w:pPr>
              <w:jc w:val="right"/>
              <w:ind w:right="5574"/>
              <w:spacing w:after="0"/>
              <w:rPr>
                <w:sz w:val="20"/>
                <w:szCs w:val="20"/>
                <w:color w:val="auto"/>
              </w:rPr>
            </w:pPr>
            <w:r>
              <w:rPr>
                <w:rFonts w:ascii="Arial" w:cs="Arial" w:eastAsia="Arial" w:hAnsi="Arial"/>
                <w:sz w:val="18"/>
                <w:szCs w:val="18"/>
                <w:color w:val="auto"/>
              </w:rPr>
              <w:t>5</w:t>
            </w:r>
          </w:p>
        </w:tc>
        <w:tc>
          <w:tcPr>
            <w:tcW w:w="40" w:type="dxa"/>
            <w:vAlign w:val="bottom"/>
          </w:tcPr>
          <w:p>
            <w:pPr>
              <w:spacing w:after="0"/>
              <w:rPr>
                <w:sz w:val="24"/>
                <w:szCs w:val="24"/>
                <w:color w:val="auto"/>
              </w:rPr>
            </w:pPr>
          </w:p>
        </w:tc>
      </w:tr>
      <w:tr>
        <w:trPr>
          <w:trHeight w:val="375"/>
        </w:trPr>
        <w:tc>
          <w:tcPr>
            <w:tcW w:w="2500" w:type="dxa"/>
            <w:vAlign w:val="bottom"/>
            <w:tcBorders>
              <w:bottom w:val="single" w:sz="8" w:color="010101"/>
            </w:tcBorders>
          </w:tcPr>
          <w:p>
            <w:pPr>
              <w:spacing w:after="0"/>
              <w:rPr>
                <w:sz w:val="24"/>
                <w:szCs w:val="24"/>
                <w:color w:val="auto"/>
              </w:rPr>
            </w:pPr>
          </w:p>
        </w:tc>
        <w:tc>
          <w:tcPr>
            <w:tcW w:w="580" w:type="dxa"/>
            <w:vAlign w:val="bottom"/>
            <w:tcBorders>
              <w:bottom w:val="single" w:sz="8" w:color="010101"/>
            </w:tcBorders>
          </w:tcPr>
          <w:p>
            <w:pPr>
              <w:spacing w:after="0"/>
              <w:rPr>
                <w:sz w:val="24"/>
                <w:szCs w:val="24"/>
                <w:color w:val="auto"/>
              </w:rPr>
            </w:pPr>
          </w:p>
        </w:tc>
        <w:tc>
          <w:tcPr>
            <w:tcW w:w="834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Receives Additional Notice from Nasdaq</w:t>
      </w:r>
    </w:p>
    <w:p>
      <w:pPr>
        <w:spacing w:after="0" w:line="229"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color w:val="auto"/>
        </w:rPr>
        <w:t>Santa Clara, California (April 2, 2007) — Marvell Technology Group Ltd. (Nasdaq: MRVL) today announced that it has received a notice from the NASDAQ Stock Market on March 30,2007 stating that the Company is not in compliance with NASDAQ’s Marketplace Rule 4310(c)(14) because the Company has not timely filed its Annual Report on Form 10-K for the fiscal year ended January 27, 2007. Marvell received similar notices on December 8, 2006 and September 8, 2006 due to the delay in filing its Forms 10-Q for the fiscal quarters ended October 28, 2006 and July 29, 2006, respectively. As previously disclosed, a special committee of the Company’s Board of Directors is conducting an internal review relating to the Company’s historical stock option practices and related accounting matters. Marvell intends to file its delayed Forms 10-Q and Form 10-K as soon as practicable following the conclusion of the special committee’s review.</w:t>
      </w:r>
    </w:p>
    <w:p>
      <w:pPr>
        <w:spacing w:after="0" w:line="189"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Marvell had a hearing before a NASDAQ Listing Qualifications Panel regarding the continued listing of its shares on the NASDAQ Stock Market, and has appealed the decision of that Panel to the NASDAQ Listing and Hearing Review Council, which stayed the Panel’s decision pending further action. The Company does not know when the Listing Council may take any further action regarding its stay. The Company’s shares will remain listed on the NASDAQ Stock Market pending a decision by the Listing Council.</w:t>
      </w:r>
    </w:p>
    <w:p>
      <w:pPr>
        <w:spacing w:after="0" w:line="187"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color w:val="auto"/>
        </w:rPr>
        <w:t>Marvell’s Current Report on Form 8-K filed today with the Securities and Exchange Commission contains more detailed discussion of the Company’s NASDAQ status.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ind w:right="180"/>
        <w:spacing w:after="0" w:line="255" w:lineRule="auto"/>
        <w:rPr>
          <w:sz w:val="20"/>
          <w:szCs w:val="20"/>
          <w:color w:val="auto"/>
        </w:rPr>
      </w:pPr>
      <w:r>
        <w:rPr>
          <w:rFonts w:ascii="Arial" w:cs="Arial" w:eastAsia="Arial" w:hAnsi="Arial"/>
          <w:sz w:val="18"/>
          <w:szCs w:val="18"/>
          <w:color w:val="auto"/>
        </w:rPr>
        <w:t>Marvell (NASDAQ: MRVL) is a leader in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Marvell Semiconductor Germany GmbH. MSI is headquartered in Santa Clara, Calif., and designs, develops and markets products on behalf of MIL and MAPL. MSI may be contacted at (408) 222-2500 or at www.marvell.com.</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229" w:lineRule="exact"/>
        <w:rPr>
          <w:sz w:val="20"/>
          <w:szCs w:val="20"/>
          <w:color w:val="auto"/>
        </w:rPr>
      </w:pPr>
    </w:p>
    <w:p>
      <w:pPr>
        <w:ind w:right="80"/>
        <w:spacing w:after="0" w:line="270" w:lineRule="auto"/>
        <w:rPr>
          <w:sz w:val="20"/>
          <w:szCs w:val="20"/>
          <w:color w:val="auto"/>
        </w:rPr>
      </w:pPr>
      <w:r>
        <w:rPr>
          <w:rFonts w:ascii="Arial" w:cs="Arial" w:eastAsia="Arial" w:hAnsi="Arial"/>
          <w:sz w:val="17"/>
          <w:szCs w:val="17"/>
          <w:color w:val="auto"/>
        </w:rPr>
        <w:t>This press release contains forward-looking statements. Words such as “anticipates,” “expects,” “intends,” “plans,” “believes,” “seeks,” “estimates,” “may,” “will,” “should,” and their variations identify forward-looking statements. These statements are not guarantees of results and are subject to risks and uncertainties that could cause actual results to differ materially from those anticipated in the forward-looking statements. These risks and uncertainties include, but are not limited to, the timing and outcome of the NASDAQ review process, the timing and outcome of the special committee’s review and the conclusions of the special committee resulting from that review, actions that may be taken or required as a result of the special committee’s review, and the conclusions of the Company’s management, audit committee, Board and independent accountants based on the results of that review. For other factors that could cause Marvell’s results to vary from expectations, please see the sections titled “Risk Factors” in Marvell’s quarterly report on Form 10-Q for the fiscal quarter ended April 29, 2006, “Additional Risk Factors” in Marvell’s Form 8-K filed on October 17, 2006, “Other Events” in Marvell’s Form 8-K filed on April 2, 2007, and other factors detailed from time to time in Marvell’s filings with the Securities and Exchange Commission. Marvell undertakes no obligation to revise or update publicly any forward-looking information.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342900</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44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2019-12-14T20:11:54Z</dcterms:created>
  <dcterms:modified xsi:type="dcterms:W3CDTF">2019-12-14T20:11:54Z</dcterms:modified>
</cp:coreProperties>
</file>