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204"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Washington, D.C. 20549</w:t>
      </w:r>
    </w:p>
    <w:p>
      <w:pPr>
        <w:spacing w:after="0" w:line="19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17, 2007</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2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21"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530" w:right="279" w:bottom="0" w:gutter="0" w:footer="0" w:header="0"/>
          <w:type w:val="continuous"/>
        </w:sectPr>
      </w:pPr>
    </w:p>
    <w:p>
      <w:pPr>
        <w:spacing w:after="0" w:line="7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0" w:gutter="0" w:footer="0" w:header="0"/>
          <w:type w:val="continuous"/>
        </w:sectPr>
      </w:pPr>
    </w:p>
    <w:p>
      <w:pPr>
        <w:spacing w:after="0" w:line="21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N/A</w:t>
      </w:r>
    </w:p>
    <w:p>
      <w:pPr>
        <w:spacing w:after="0" w:line="23"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6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color w:val="auto"/>
        </w:rPr>
        <w:t>On May 17, 2007, Marvell Technology Group Ltd. (“Marvell”) issued a press release regarding its revenue results for its first fiscal quarter ended April 28, 2007. The full text of Marvell’s press release is furnished herewith as Exhibit 99.1.</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(d) Exhibits</w:t>
      </w:r>
    </w:p>
    <w:p>
      <w:pPr>
        <w:spacing w:after="0" w:line="207" w:lineRule="exact"/>
        <w:rPr>
          <w:sz w:val="24"/>
          <w:szCs w:val="24"/>
          <w:color w:val="auto"/>
        </w:rPr>
      </w:pPr>
    </w:p>
    <w:tbl>
      <w:tblPr>
        <w:tblLayout w:type="fixed"/>
        <w:tblInd w:w="1860" w:type="dxa"/>
        <w:tblCellMar>
          <w:top w:w="0" w:type="dxa"/>
          <w:left w:w="0" w:type="dxa"/>
          <w:bottom w:w="0" w:type="dxa"/>
          <w:right w:w="0" w:type="dxa"/>
        </w:tblCellMar>
      </w:tblPr>
      <w:tr>
        <w:trPr>
          <w:trHeight w:val="171"/>
        </w:trPr>
        <w:tc>
          <w:tcPr>
            <w:tcW w:w="13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6360" w:type="dxa"/>
            <w:vAlign w:val="bottom"/>
          </w:tcPr>
          <w:p>
            <w:pPr>
              <w:jc w:val="right"/>
              <w:ind w:right="2736"/>
              <w:spacing w:after="0"/>
              <w:rPr>
                <w:sz w:val="20"/>
                <w:szCs w:val="20"/>
                <w:color w:val="auto"/>
              </w:rPr>
            </w:pPr>
            <w:r>
              <w:rPr>
                <w:rFonts w:ascii="Arial" w:cs="Arial" w:eastAsia="Arial" w:hAnsi="Arial"/>
                <w:sz w:val="14"/>
                <w:szCs w:val="14"/>
                <w:b w:val="1"/>
                <w:bCs w:val="1"/>
                <w:color w:val="auto"/>
              </w:rPr>
              <w:t>Description</w:t>
            </w:r>
          </w:p>
        </w:tc>
      </w:tr>
      <w:tr>
        <w:trPr>
          <w:trHeight w:val="426"/>
        </w:trPr>
        <w:tc>
          <w:tcPr>
            <w:tcW w:w="1040" w:type="dxa"/>
            <w:vAlign w:val="bottom"/>
            <w:tcBorders>
              <w:top w:val="single" w:sz="8" w:color="auto"/>
            </w:tcBorders>
          </w:tcPr>
          <w:p>
            <w:pPr>
              <w:jc w:val="right"/>
              <w:ind w:right="299"/>
              <w:spacing w:after="0"/>
              <w:rPr>
                <w:sz w:val="20"/>
                <w:szCs w:val="20"/>
                <w:color w:val="auto"/>
              </w:rPr>
            </w:pPr>
            <w:r>
              <w:rPr>
                <w:rFonts w:ascii="Arial" w:cs="Arial" w:eastAsia="Arial" w:hAnsi="Arial"/>
                <w:sz w:val="18"/>
                <w:szCs w:val="18"/>
                <w:color w:val="auto"/>
              </w:rPr>
              <w:t>99.1</w:t>
            </w:r>
          </w:p>
        </w:tc>
        <w:tc>
          <w:tcPr>
            <w:tcW w:w="320" w:type="dxa"/>
            <w:vAlign w:val="bottom"/>
          </w:tcPr>
          <w:p>
            <w:pPr>
              <w:spacing w:after="0"/>
              <w:rPr>
                <w:sz w:val="24"/>
                <w:szCs w:val="24"/>
                <w:color w:val="auto"/>
              </w:rPr>
            </w:pPr>
          </w:p>
        </w:tc>
        <w:tc>
          <w:tcPr>
            <w:tcW w:w="6360" w:type="dxa"/>
            <w:vAlign w:val="bottom"/>
            <w:tcBorders>
              <w:top w:val="single" w:sz="8" w:color="auto"/>
            </w:tcBorders>
          </w:tcPr>
          <w:p>
            <w:pPr>
              <w:jc w:val="right"/>
              <w:ind w:right="3756"/>
              <w:spacing w:after="0"/>
              <w:rPr>
                <w:sz w:val="20"/>
                <w:szCs w:val="20"/>
                <w:color w:val="auto"/>
              </w:rPr>
            </w:pPr>
            <w:r>
              <w:rPr>
                <w:rFonts w:ascii="Arial" w:cs="Arial" w:eastAsia="Arial" w:hAnsi="Arial"/>
                <w:sz w:val="18"/>
                <w:szCs w:val="18"/>
                <w:color w:val="auto"/>
                <w:w w:val="87"/>
              </w:rPr>
              <w:t>Press Release dated May 17, 2007.</w:t>
            </w:r>
          </w:p>
        </w:tc>
      </w:tr>
      <w:tr>
        <w:trPr>
          <w:trHeight w:val="918"/>
        </w:trPr>
        <w:tc>
          <w:tcPr>
            <w:tcW w:w="10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360" w:type="dxa"/>
            <w:vAlign w:val="bottom"/>
          </w:tcPr>
          <w:p>
            <w:pPr>
              <w:jc w:val="right"/>
              <w:ind w:right="3736"/>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380"/>
          </w:cols>
          <w:pgMar w:left="240" w:top="530" w:right="279" w:bottom="0"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17, 2007</w:t>
      </w:r>
    </w:p>
    <w:p>
      <w:pPr>
        <w:spacing w:after="0" w:line="225"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840"/>
        <w:spacing w:after="0"/>
        <w:tabs>
          <w:tab w:leader="none" w:pos="64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Mike Tate</w:t>
      </w:r>
    </w:p>
    <w:p>
      <w:pPr>
        <w:spacing w:after="0" w:line="23" w:lineRule="exact"/>
        <w:rPr>
          <w:sz w:val="20"/>
          <w:szCs w:val="20"/>
          <w:color w:val="auto"/>
        </w:rPr>
      </w:pPr>
    </w:p>
    <w:p>
      <w:pPr>
        <w:jc w:val="center"/>
        <w:ind w:left="6440"/>
        <w:spacing w:after="0"/>
        <w:rPr>
          <w:sz w:val="20"/>
          <w:szCs w:val="20"/>
          <w:color w:val="auto"/>
        </w:rPr>
      </w:pPr>
      <w:r>
        <w:rPr>
          <w:rFonts w:ascii="Arial" w:cs="Arial" w:eastAsia="Arial" w:hAnsi="Arial"/>
          <w:sz w:val="18"/>
          <w:szCs w:val="18"/>
          <w:color w:val="auto"/>
        </w:rPr>
        <w:t>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4095750</wp:posOffset>
            </wp:positionH>
            <wp:positionV relativeFrom="paragraph">
              <wp:posOffset>-130810</wp:posOffset>
            </wp:positionV>
            <wp:extent cx="31559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155950" cy="8890"/>
                    </a:xfrm>
                    <a:prstGeom prst="rect">
                      <a:avLst/>
                    </a:prstGeom>
                    <a:noFill/>
                  </pic:spPr>
                </pic:pic>
              </a:graphicData>
            </a:graphic>
          </wp:anchor>
        </w:drawing>
      </w:r>
    </w:p>
    <w:p>
      <w:pPr>
        <w:spacing w:after="0" w:line="3" w:lineRule="exact"/>
        <w:rPr>
          <w:sz w:val="20"/>
          <w:szCs w:val="20"/>
          <w:color w:val="auto"/>
        </w:rPr>
      </w:pPr>
    </w:p>
    <w:p>
      <w:pPr>
        <w:jc w:val="center"/>
        <w:ind w:left="6460"/>
        <w:spacing w:after="0"/>
        <w:rPr>
          <w:sz w:val="20"/>
          <w:szCs w:val="20"/>
          <w:color w:val="auto"/>
        </w:rPr>
      </w:pPr>
      <w:r>
        <w:rPr>
          <w:rFonts w:ascii="Arial" w:cs="Arial" w:eastAsia="Arial" w:hAnsi="Arial"/>
          <w:sz w:val="18"/>
          <w:szCs w:val="18"/>
          <w:color w:val="auto"/>
        </w:rPr>
        <w:t>Vice President, Corporate Controller</w:t>
      </w:r>
    </w:p>
    <w:p>
      <w:pPr>
        <w:spacing w:after="0" w:line="9" w:lineRule="exact"/>
        <w:rPr>
          <w:sz w:val="20"/>
          <w:szCs w:val="20"/>
          <w:color w:val="auto"/>
        </w:rPr>
      </w:pPr>
    </w:p>
    <w:p>
      <w:pPr>
        <w:jc w:val="center"/>
        <w:ind w:left="6460"/>
        <w:spacing w:after="0"/>
        <w:rPr>
          <w:sz w:val="20"/>
          <w:szCs w:val="20"/>
          <w:color w:val="auto"/>
        </w:rPr>
      </w:pPr>
      <w:r>
        <w:rPr>
          <w:rFonts w:ascii="Arial" w:cs="Arial" w:eastAsia="Arial" w:hAnsi="Arial"/>
          <w:sz w:val="18"/>
          <w:szCs w:val="18"/>
          <w:color w:val="auto"/>
        </w:rPr>
        <w:t>and Treasurer and</w:t>
      </w:r>
    </w:p>
    <w:p>
      <w:pPr>
        <w:spacing w:after="0" w:line="9" w:lineRule="exact"/>
        <w:rPr>
          <w:sz w:val="20"/>
          <w:szCs w:val="20"/>
          <w:color w:val="auto"/>
        </w:rPr>
      </w:pPr>
    </w:p>
    <w:p>
      <w:pPr>
        <w:jc w:val="center"/>
        <w:ind w:left="6460"/>
        <w:spacing w:after="0"/>
        <w:rPr>
          <w:sz w:val="20"/>
          <w:szCs w:val="20"/>
          <w:color w:val="auto"/>
        </w:rPr>
      </w:pPr>
      <w:r>
        <w:rPr>
          <w:rFonts w:ascii="Arial" w:cs="Arial" w:eastAsia="Arial" w:hAnsi="Arial"/>
          <w:sz w:val="18"/>
          <w:szCs w:val="18"/>
          <w:color w:val="auto"/>
        </w:rPr>
        <w:t>Interim Chief Financial Officer</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8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360" w:type="dxa"/>
            <w:vAlign w:val="bottom"/>
          </w:tcPr>
          <w:p>
            <w:pPr>
              <w:jc w:val="center"/>
              <w:ind w:right="1294"/>
              <w:spacing w:after="0"/>
              <w:rPr>
                <w:sz w:val="20"/>
                <w:szCs w:val="20"/>
                <w:color w:val="auto"/>
              </w:rPr>
            </w:pPr>
            <w:r>
              <w:rPr>
                <w:rFonts w:ascii="Arial" w:cs="Arial" w:eastAsia="Arial" w:hAnsi="Arial"/>
                <w:sz w:val="18"/>
                <w:szCs w:val="18"/>
                <w:color w:val="auto"/>
                <w:w w:val="99"/>
              </w:rPr>
              <w:t>3</w:t>
            </w:r>
          </w:p>
        </w:tc>
        <w:tc>
          <w:tcPr>
            <w:tcW w:w="1880" w:type="dxa"/>
            <w:vAlign w:val="bottom"/>
          </w:tcPr>
          <w:p>
            <w:pPr>
              <w:spacing w:after="0"/>
              <w:rPr>
                <w:sz w:val="20"/>
                <w:szCs w:val="20"/>
                <w:color w:val="auto"/>
              </w:rPr>
            </w:pPr>
          </w:p>
        </w:tc>
      </w:tr>
      <w:tr>
        <w:trPr>
          <w:trHeight w:val="375"/>
        </w:trPr>
        <w:tc>
          <w:tcPr>
            <w:tcW w:w="1860" w:type="dxa"/>
            <w:vAlign w:val="bottom"/>
            <w:tcBorders>
              <w:bottom w:val="single" w:sz="8" w:color="010101"/>
            </w:tcBorders>
          </w:tcPr>
          <w:p>
            <w:pPr>
              <w:spacing w:after="0"/>
              <w:rPr>
                <w:sz w:val="24"/>
                <w:szCs w:val="24"/>
                <w:color w:val="auto"/>
              </w:rPr>
            </w:pPr>
          </w:p>
        </w:tc>
        <w:tc>
          <w:tcPr>
            <w:tcW w:w="104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6360" w:type="dxa"/>
            <w:vAlign w:val="bottom"/>
            <w:tcBorders>
              <w:bottom w:val="single" w:sz="8" w:color="010101"/>
            </w:tcBorders>
          </w:tcPr>
          <w:p>
            <w:pPr>
              <w:spacing w:after="0"/>
              <w:rPr>
                <w:sz w:val="24"/>
                <w:szCs w:val="24"/>
                <w:color w:val="auto"/>
              </w:rPr>
            </w:pPr>
          </w:p>
        </w:tc>
        <w:tc>
          <w:tcPr>
            <w:tcW w:w="1880" w:type="dxa"/>
            <w:vAlign w:val="bottom"/>
            <w:tcBorders>
              <w:bottom w:val="single" w:sz="8" w:color="010101"/>
            </w:tcBorders>
          </w:tcPr>
          <w:p>
            <w:pPr>
              <w:spacing w:after="0"/>
              <w:rPr>
                <w:sz w:val="24"/>
                <w:szCs w:val="24"/>
                <w:color w:val="auto"/>
              </w:rPr>
            </w:pPr>
          </w:p>
        </w:tc>
      </w:tr>
      <w:tr>
        <w:trPr>
          <w:trHeight w:val="564"/>
        </w:trPr>
        <w:tc>
          <w:tcPr>
            <w:tcW w:w="18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240" w:type="dxa"/>
            <w:vAlign w:val="bottom"/>
            <w:gridSpan w:val="2"/>
          </w:tcPr>
          <w:p>
            <w:pPr>
              <w:jc w:val="center"/>
              <w:ind w:right="3260"/>
              <w:spacing w:after="0"/>
              <w:rPr>
                <w:sz w:val="20"/>
                <w:szCs w:val="20"/>
                <w:color w:val="auto"/>
              </w:rPr>
            </w:pPr>
            <w:r>
              <w:rPr>
                <w:rFonts w:ascii="Arial" w:cs="Arial" w:eastAsia="Arial" w:hAnsi="Arial"/>
                <w:sz w:val="18"/>
                <w:szCs w:val="18"/>
                <w:b w:val="1"/>
                <w:bCs w:val="1"/>
                <w:color w:val="auto"/>
              </w:rPr>
              <w:t>EXHIBIT INDEX</w:t>
            </w:r>
          </w:p>
        </w:tc>
      </w:tr>
      <w:tr>
        <w:trPr>
          <w:trHeight w:val="351"/>
        </w:trPr>
        <w:tc>
          <w:tcPr>
            <w:tcW w:w="1860" w:type="dxa"/>
            <w:vAlign w:val="bottom"/>
          </w:tcPr>
          <w:p>
            <w:pPr>
              <w:spacing w:after="0"/>
              <w:rPr>
                <w:sz w:val="24"/>
                <w:szCs w:val="24"/>
                <w:color w:val="auto"/>
              </w:rPr>
            </w:pPr>
          </w:p>
        </w:tc>
        <w:tc>
          <w:tcPr>
            <w:tcW w:w="1040" w:type="dxa"/>
            <w:vAlign w:val="bottom"/>
            <w:tcBorders>
              <w:bottom w:val="single" w:sz="8" w:color="auto"/>
            </w:tcBorders>
          </w:tcPr>
          <w:p>
            <w:pPr>
              <w:jc w:val="right"/>
              <w:ind w:right="268"/>
              <w:spacing w:after="0"/>
              <w:rPr>
                <w:sz w:val="20"/>
                <w:szCs w:val="20"/>
                <w:color w:val="auto"/>
              </w:rPr>
            </w:pPr>
            <w:r>
              <w:rPr>
                <w:rFonts w:ascii="Arial" w:cs="Arial" w:eastAsia="Arial" w:hAnsi="Arial"/>
                <w:sz w:val="14"/>
                <w:szCs w:val="14"/>
                <w:b w:val="1"/>
                <w:bCs w:val="1"/>
                <w:color w:val="auto"/>
                <w:w w:val="92"/>
              </w:rPr>
              <w:t>Exhibit No.</w:t>
            </w:r>
          </w:p>
        </w:tc>
        <w:tc>
          <w:tcPr>
            <w:tcW w:w="320" w:type="dxa"/>
            <w:vAlign w:val="bottom"/>
          </w:tcPr>
          <w:p>
            <w:pPr>
              <w:spacing w:after="0"/>
              <w:rPr>
                <w:sz w:val="24"/>
                <w:szCs w:val="24"/>
                <w:color w:val="auto"/>
              </w:rPr>
            </w:pPr>
          </w:p>
        </w:tc>
        <w:tc>
          <w:tcPr>
            <w:tcW w:w="6360" w:type="dxa"/>
            <w:vAlign w:val="bottom"/>
            <w:tcBorders>
              <w:bottom w:val="single" w:sz="8" w:color="auto"/>
            </w:tcBorders>
          </w:tcPr>
          <w:p>
            <w:pPr>
              <w:ind w:left="2820"/>
              <w:spacing w:after="0"/>
              <w:rPr>
                <w:sz w:val="20"/>
                <w:szCs w:val="20"/>
                <w:color w:val="auto"/>
              </w:rPr>
            </w:pPr>
            <w:r>
              <w:rPr>
                <w:rFonts w:ascii="Arial" w:cs="Arial" w:eastAsia="Arial" w:hAnsi="Arial"/>
                <w:sz w:val="14"/>
                <w:szCs w:val="14"/>
                <w:b w:val="1"/>
                <w:bCs w:val="1"/>
                <w:color w:val="auto"/>
              </w:rPr>
              <w:t>Description</w:t>
            </w:r>
          </w:p>
        </w:tc>
        <w:tc>
          <w:tcPr>
            <w:tcW w:w="1880" w:type="dxa"/>
            <w:vAlign w:val="bottom"/>
          </w:tcPr>
          <w:p>
            <w:pPr>
              <w:spacing w:after="0"/>
              <w:rPr>
                <w:sz w:val="24"/>
                <w:szCs w:val="24"/>
                <w:color w:val="auto"/>
              </w:rPr>
            </w:pPr>
          </w:p>
        </w:tc>
      </w:tr>
      <w:tr>
        <w:trPr>
          <w:trHeight w:val="426"/>
        </w:trPr>
        <w:tc>
          <w:tcPr>
            <w:tcW w:w="2900" w:type="dxa"/>
            <w:vAlign w:val="bottom"/>
            <w:gridSpan w:val="2"/>
          </w:tcPr>
          <w:p>
            <w:pPr>
              <w:jc w:val="right"/>
              <w:ind w:right="308"/>
              <w:spacing w:after="0"/>
              <w:rPr>
                <w:sz w:val="20"/>
                <w:szCs w:val="20"/>
                <w:color w:val="auto"/>
              </w:rPr>
            </w:pPr>
            <w:r>
              <w:rPr>
                <w:rFonts w:ascii="Arial" w:cs="Arial" w:eastAsia="Arial" w:hAnsi="Arial"/>
                <w:sz w:val="18"/>
                <w:szCs w:val="18"/>
                <w:color w:val="auto"/>
              </w:rPr>
              <w:t>99.1</w:t>
            </w:r>
          </w:p>
        </w:tc>
        <w:tc>
          <w:tcPr>
            <w:tcW w:w="320" w:type="dxa"/>
            <w:vAlign w:val="bottom"/>
          </w:tcPr>
          <w:p>
            <w:pPr>
              <w:spacing w:after="0"/>
              <w:rPr>
                <w:sz w:val="24"/>
                <w:szCs w:val="24"/>
                <w:color w:val="auto"/>
              </w:rPr>
            </w:pPr>
          </w:p>
        </w:tc>
        <w:tc>
          <w:tcPr>
            <w:tcW w:w="8240" w:type="dxa"/>
            <w:vAlign w:val="bottom"/>
            <w:gridSpan w:val="2"/>
          </w:tcPr>
          <w:p>
            <w:pPr>
              <w:spacing w:after="0"/>
              <w:rPr>
                <w:sz w:val="20"/>
                <w:szCs w:val="20"/>
                <w:color w:val="auto"/>
              </w:rPr>
            </w:pPr>
            <w:r>
              <w:rPr>
                <w:rFonts w:ascii="Arial" w:cs="Arial" w:eastAsia="Arial" w:hAnsi="Arial"/>
                <w:sz w:val="18"/>
                <w:szCs w:val="18"/>
                <w:color w:val="auto"/>
              </w:rPr>
              <w:t>Press Release dated May 17, 2007.</w:t>
            </w:r>
          </w:p>
        </w:tc>
      </w:tr>
      <w:tr>
        <w:trPr>
          <w:trHeight w:val="918"/>
        </w:trPr>
        <w:tc>
          <w:tcPr>
            <w:tcW w:w="18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360" w:type="dxa"/>
            <w:vAlign w:val="bottom"/>
          </w:tcPr>
          <w:p>
            <w:pPr>
              <w:jc w:val="center"/>
              <w:ind w:right="1294"/>
              <w:spacing w:after="0"/>
              <w:rPr>
                <w:sz w:val="20"/>
                <w:szCs w:val="20"/>
                <w:color w:val="auto"/>
              </w:rPr>
            </w:pPr>
            <w:r>
              <w:rPr>
                <w:rFonts w:ascii="Arial" w:cs="Arial" w:eastAsia="Arial" w:hAnsi="Arial"/>
                <w:sz w:val="18"/>
                <w:szCs w:val="18"/>
                <w:color w:val="auto"/>
                <w:w w:val="99"/>
              </w:rPr>
              <w:t>4</w:t>
            </w:r>
          </w:p>
        </w:tc>
        <w:tc>
          <w:tcPr>
            <w:tcW w:w="1880" w:type="dxa"/>
            <w:vAlign w:val="bottom"/>
          </w:tcPr>
          <w:p>
            <w:pPr>
              <w:spacing w:after="0"/>
              <w:rPr>
                <w:sz w:val="24"/>
                <w:szCs w:val="24"/>
                <w:color w:val="auto"/>
              </w:rPr>
            </w:pPr>
          </w:p>
        </w:tc>
      </w:tr>
      <w:tr>
        <w:trPr>
          <w:trHeight w:val="375"/>
        </w:trPr>
        <w:tc>
          <w:tcPr>
            <w:tcW w:w="1860" w:type="dxa"/>
            <w:vAlign w:val="bottom"/>
            <w:tcBorders>
              <w:bottom w:val="single" w:sz="8" w:color="010101"/>
            </w:tcBorders>
          </w:tcPr>
          <w:p>
            <w:pPr>
              <w:spacing w:after="0"/>
              <w:rPr>
                <w:sz w:val="24"/>
                <w:szCs w:val="24"/>
                <w:color w:val="auto"/>
              </w:rPr>
            </w:pPr>
          </w:p>
        </w:tc>
        <w:tc>
          <w:tcPr>
            <w:tcW w:w="104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6360" w:type="dxa"/>
            <w:vAlign w:val="bottom"/>
            <w:tcBorders>
              <w:bottom w:val="single" w:sz="8" w:color="010101"/>
            </w:tcBorders>
          </w:tcPr>
          <w:p>
            <w:pPr>
              <w:spacing w:after="0"/>
              <w:rPr>
                <w:sz w:val="24"/>
                <w:szCs w:val="24"/>
                <w:color w:val="auto"/>
              </w:rPr>
            </w:pPr>
          </w:p>
        </w:tc>
        <w:tc>
          <w:tcPr>
            <w:tcW w:w="188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-1727200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-1727200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864"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Marvell Technology Group Ltd. Reports Preliminary Revenue for</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First Quarter of Fiscal 2008</w:t>
      </w:r>
    </w:p>
    <w:p>
      <w:pPr>
        <w:spacing w:after="0" w:line="202" w:lineRule="exact"/>
        <w:rPr>
          <w:sz w:val="20"/>
          <w:szCs w:val="20"/>
          <w:color w:val="auto"/>
        </w:rPr>
      </w:pPr>
    </w:p>
    <w:p>
      <w:pPr>
        <w:ind w:right="20"/>
        <w:spacing w:after="0" w:line="282" w:lineRule="auto"/>
        <w:rPr>
          <w:sz w:val="20"/>
          <w:szCs w:val="20"/>
          <w:color w:val="auto"/>
        </w:rPr>
      </w:pPr>
      <w:r>
        <w:rPr>
          <w:rFonts w:ascii="Arial" w:cs="Arial" w:eastAsia="Arial" w:hAnsi="Arial"/>
          <w:sz w:val="18"/>
          <w:szCs w:val="18"/>
          <w:b w:val="1"/>
          <w:bCs w:val="1"/>
          <w:color w:val="auto"/>
        </w:rPr>
        <w:t xml:space="preserve">Santa Clara, California (May 17, 2007) </w:t>
      </w:r>
      <w:r>
        <w:rPr>
          <w:rFonts w:ascii="Arial" w:cs="Arial" w:eastAsia="Arial" w:hAnsi="Arial"/>
          <w:sz w:val="18"/>
          <w:szCs w:val="18"/>
          <w:color w:val="auto"/>
        </w:rPr>
        <w:t>— 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reported preliminary, unaudited revenue for its first fiscal quarter ended April 28, 2007.</w:t>
      </w:r>
    </w:p>
    <w:p>
      <w:pPr>
        <w:spacing w:after="0" w:line="166"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Net revenue for the first quarter of fiscal 2008 was $635.1 million, an increase of 22% over net revenue of $521.2 million for the first quarter of fiscal 2007 and a 2% sequential increase from net revenue of $622.0 million for the fourth quarter of fiscal 2007.</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All results reported are preliminary because of Marvell’s previously announced internal review by a special committee of its Board of Directors relating to the</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Company’s historical stock option practices and related accounting matters. Although the special committee has completed its internal review of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Company’s historical stock option practices and related accounting matters, the Company does not expect to be in a position to announce additional financial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results for the first fiscal quarter ended April 28, 2007 until the Company has completed the restatement of its historical financial statements. Please refer to</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the Reports on Form 8-K filed by the Company with the Securities and Exchange Commission on October 3, 2006, October 17, 2006, April 2, 2007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May 8, 2007 for further information about the internal review and the determination to restate historical financial statements. Marvell does not expect to be 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 position to file its Form 10-Q for the first quarter of fiscal 2008 by the June 7, 2007 filing deadline.</w:t>
      </w:r>
    </w:p>
    <w:p>
      <w:pPr>
        <w:spacing w:after="0" w:line="211"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“The growth in our Q1 revenues was limited due to an overall weaker demand environment across some of our markets” stated Dr. Sehat Sutardja, Marvell’s President and CEO. “Despite the seasonal softness, we continue to be excited about the progress we are making in applying our technologies to serve additional large market opportunities which should enable us to deliver solid long term growth.”</w:t>
      </w:r>
    </w:p>
    <w:p>
      <w:pPr>
        <w:spacing w:after="0" w:line="181"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Marvell will be conducting a conference call today at 1:45 p.m. PDT to discuss its first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May 17,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339725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financial results for the first quarter of fiscal 2008, expectations regarding the announcement of additional financial results for its first quarter of fiscal year 2008, expectations regarding the filing of our Form 10-Q for the first quarter of fiscal 2008 and the Company’s ability to deliver solid long term growth. 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discovery of additional information relevant to the special committee’s review, any additional conclusions that may be reached by the Company’s management or the audit committee of the Company’s board concerning matters relating to the Company’s stock option grants, the timing of the completion by the Company’s independent auditors of its audit process regarding the Company’s financial statements, actions that may be taken or required as a result of the special committee’s review, and actions by the Securities and Exchange Commission or other regulatory agencies as a result of their review of our stock option practices. As a result of these factors, and when Marvell files its Form 10-Q, the financial statements may differ from the results disclosed in this press release, not only as a result of any required adjustments resulting from the special committee review, but also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section titled “Risk Factors” in Marvell’s quarterly report on Form 10-Q for the fiscal quarter ended April 29, 2006, the sections titled “Additional Risk Factors” in Marvell’s current report on Form 8-K filed on October 17, 2006 and “Other Events” in Marvell’s current report on Form 8-K filed on April 2, 2007, and other factors detailed from time to time in Marvell’s filings with the Securities and Exchange Commission. Marvell undertakes no obligation to revise or update publicly any forward-looking statements.</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and the Marvell logo are trademarks of Marvell.  All other trademarks are the property of their respective owners.</w:t>
      </w:r>
    </w:p>
    <w:p>
      <w:pPr>
        <w:sectPr>
          <w:pgSz w:w="11900" w:h="16838" w:orient="portrait"/>
          <w:cols w:equalWidth="0" w:num="1">
            <w:col w:w="11420"/>
          </w:cols>
          <w:pgMar w:left="240" w:top="121" w:right="239" w:bottom="786"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78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2019-12-14T20:27:47Z</dcterms:created>
  <dcterms:modified xsi:type="dcterms:W3CDTF">2019-12-14T20:27:47Z</dcterms:modified>
</cp:coreProperties>
</file>