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76"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28"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87"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 xml:space="preserve">Date of Report (Date of earliest event reported): </w:t>
      </w:r>
      <w:r>
        <w:rPr>
          <w:rFonts w:ascii="Times New Roman" w:cs="Times New Roman" w:eastAsia="Times New Roman" w:hAnsi="Times New Roman"/>
          <w:sz w:val="18"/>
          <w:szCs w:val="18"/>
          <w:b w:val="1"/>
          <w:bCs w:val="1"/>
          <w:color w:val="auto"/>
        </w:rPr>
        <w:t>April 20, 2007</w:t>
      </w:r>
    </w:p>
    <w:p>
      <w:pPr>
        <w:spacing w:after="0" w:line="20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38" w:orient="portrait"/>
          <w:cols w:equalWidth="0" w:num="1">
            <w:col w:w="11380"/>
          </w:cols>
          <w:pgMar w:left="240" w:top="524" w:right="279" w:bottom="77" w:gutter="0" w:footer="0" w:header="0"/>
        </w:sectPr>
      </w:pPr>
    </w:p>
    <w:p>
      <w:pPr>
        <w:spacing w:after="0" w:line="201" w:lineRule="exact"/>
        <w:rPr>
          <w:sz w:val="24"/>
          <w:szCs w:val="24"/>
          <w:color w:val="auto"/>
        </w:rPr>
      </w:pPr>
    </w:p>
    <w:p>
      <w:pPr>
        <w:jc w:val="center"/>
        <w:ind w:right="36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31" w:lineRule="exact"/>
        <w:rPr>
          <w:sz w:val="24"/>
          <w:szCs w:val="24"/>
          <w:color w:val="auto"/>
        </w:rPr>
      </w:pPr>
    </w:p>
    <w:p>
      <w:pPr>
        <w:jc w:val="center"/>
        <w:ind w:right="360"/>
        <w:spacing w:after="0"/>
        <w:rPr>
          <w:sz w:val="20"/>
          <w:szCs w:val="20"/>
          <w:color w:val="auto"/>
        </w:rPr>
      </w:pPr>
      <w:r>
        <w:rPr>
          <w:rFonts w:ascii="Times New Roman" w:cs="Times New Roman" w:eastAsia="Times New Roman" w:hAnsi="Times New Roman"/>
          <w:sz w:val="18"/>
          <w:szCs w:val="18"/>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b w:val="1"/>
          <w:bCs w:val="1"/>
          <w:color w:val="auto"/>
        </w:rPr>
        <w:t>0-30877</w:t>
      </w:r>
    </w:p>
    <w:p>
      <w:pPr>
        <w:spacing w:after="0" w:line="3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color w:val="auto"/>
        </w:rPr>
        <w:t>(Commission File Number)</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40"/>
          </w:cols>
          <w:pgMar w:left="240" w:top="524" w:right="279" w:bottom="77" w:gutter="0" w:footer="0" w:header="0"/>
          <w:type w:val="continuous"/>
        </w:sectPr>
      </w:pPr>
    </w:p>
    <w:p>
      <w:pPr>
        <w:spacing w:after="0" w:line="6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including area code)</w:t>
      </w:r>
    </w:p>
    <w:p>
      <w:pPr>
        <w:sectPr>
          <w:pgSz w:w="11900" w:h="16838" w:orient="portrait"/>
          <w:cols w:equalWidth="0" w:num="1">
            <w:col w:w="11380"/>
          </w:cols>
          <w:pgMar w:left="240" w:top="524" w:right="279" w:bottom="77" w:gutter="0" w:footer="0" w:header="0"/>
          <w:type w:val="continuous"/>
        </w:sectPr>
      </w:pP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pacing w:after="0" w:line="20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62" w:lineRule="exact"/>
        <w:rPr>
          <w:sz w:val="24"/>
          <w:szCs w:val="24"/>
          <w:color w:val="auto"/>
        </w:rPr>
      </w:pPr>
    </w:p>
    <w:p>
      <w:pPr>
        <w:ind w:left="220" w:hanging="212"/>
        <w:spacing w:after="0"/>
        <w:tabs>
          <w:tab w:leader="none" w:pos="22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225" w:lineRule="exact"/>
        <w:rPr>
          <w:rFonts w:ascii="Times New Roman" w:cs="Times New Roman" w:eastAsia="Times New Roman" w:hAnsi="Times New Roman"/>
          <w:sz w:val="18"/>
          <w:szCs w:val="18"/>
          <w:color w:val="auto"/>
        </w:rPr>
      </w:pPr>
    </w:p>
    <w:p>
      <w:pPr>
        <w:ind w:left="240" w:hanging="232"/>
        <w:spacing w:after="0"/>
        <w:tabs>
          <w:tab w:leader="none" w:pos="2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225" w:lineRule="exact"/>
        <w:rPr>
          <w:rFonts w:ascii="Times New Roman" w:cs="Times New Roman" w:eastAsia="Times New Roman" w:hAnsi="Times New Roman"/>
          <w:sz w:val="18"/>
          <w:szCs w:val="18"/>
          <w:color w:val="auto"/>
        </w:rPr>
      </w:pPr>
    </w:p>
    <w:p>
      <w:pPr>
        <w:ind w:left="240" w:hanging="232"/>
        <w:spacing w:after="0"/>
        <w:tabs>
          <w:tab w:leader="none" w:pos="2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225" w:lineRule="exact"/>
        <w:rPr>
          <w:rFonts w:ascii="Times New Roman" w:cs="Times New Roman" w:eastAsia="Times New Roman" w:hAnsi="Times New Roman"/>
          <w:sz w:val="18"/>
          <w:szCs w:val="18"/>
          <w:color w:val="auto"/>
        </w:rPr>
      </w:pPr>
    </w:p>
    <w:p>
      <w:pPr>
        <w:ind w:left="240" w:hanging="232"/>
        <w:spacing w:after="0"/>
        <w:tabs>
          <w:tab w:leader="none" w:pos="2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292100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334645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581660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spacing w:after="0"/>
        <w:tabs>
          <w:tab w:leader="none" w:pos="1380" w:val="left"/>
        </w:tabs>
        <w:rPr>
          <w:sz w:val="20"/>
          <w:szCs w:val="20"/>
          <w:color w:val="auto"/>
        </w:rPr>
      </w:pPr>
      <w:r>
        <w:rPr>
          <w:rFonts w:ascii="Times New Roman" w:cs="Times New Roman" w:eastAsia="Times New Roman" w:hAnsi="Times New Roman"/>
          <w:sz w:val="18"/>
          <w:szCs w:val="18"/>
          <w:b w:val="1"/>
          <w:bCs w:val="1"/>
          <w:color w:val="auto"/>
        </w:rPr>
        <w:t>Item 8.01</w:t>
      </w:r>
      <w:r>
        <w:rPr>
          <w:sz w:val="20"/>
          <w:szCs w:val="20"/>
          <w:color w:val="auto"/>
        </w:rPr>
        <w:tab/>
      </w:r>
      <w:r>
        <w:rPr>
          <w:rFonts w:ascii="Times New Roman" w:cs="Times New Roman" w:eastAsia="Times New Roman" w:hAnsi="Times New Roman"/>
          <w:sz w:val="17"/>
          <w:szCs w:val="17"/>
          <w:b w:val="1"/>
          <w:bCs w:val="1"/>
          <w:color w:val="auto"/>
        </w:rPr>
        <w:t>Other Events.</w:t>
      </w:r>
    </w:p>
    <w:p>
      <w:pPr>
        <w:spacing w:after="0" w:line="229" w:lineRule="exact"/>
        <w:rPr>
          <w:sz w:val="24"/>
          <w:szCs w:val="24"/>
          <w:color w:val="auto"/>
        </w:rPr>
      </w:pPr>
    </w:p>
    <w:p>
      <w:pPr>
        <w:ind w:right="120" w:firstLine="648"/>
        <w:spacing w:after="0" w:line="261" w:lineRule="auto"/>
        <w:rPr>
          <w:sz w:val="20"/>
          <w:szCs w:val="20"/>
          <w:color w:val="auto"/>
        </w:rPr>
      </w:pPr>
      <w:r>
        <w:rPr>
          <w:rFonts w:ascii="Times New Roman" w:cs="Times New Roman" w:eastAsia="Times New Roman" w:hAnsi="Times New Roman"/>
          <w:sz w:val="18"/>
          <w:szCs w:val="18"/>
          <w:color w:val="auto"/>
        </w:rPr>
        <w:t>In July 2006, Marvell Technology Group Ltd. (the “Company”) announced that it had received a letter of informal inquiry from the Securities and Exchange Commission (the “SEC”) requesting certain documents relating to its stock option grants and practices. On April 20, 2007, the Company was informed that the SEC is now conducting a formal investigation in this matter. The Company has cooperated with the SEC regarding this matter and intends to continue to do so.</w:t>
      </w:r>
    </w:p>
    <w:p>
      <w:pPr>
        <w:spacing w:after="0" w:line="39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227330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1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4"/>
          <w:szCs w:val="24"/>
          <w:color w:val="auto"/>
        </w:rPr>
      </w:pPr>
    </w:p>
    <w:p>
      <w:pPr>
        <w:ind w:right="44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hereunto duly authorized.</w:t>
      </w:r>
    </w:p>
    <w:p>
      <w:pPr>
        <w:spacing w:after="0" w:line="162" w:lineRule="exact"/>
        <w:rPr>
          <w:sz w:val="24"/>
          <w:szCs w:val="24"/>
          <w:color w:val="auto"/>
        </w:rPr>
      </w:pPr>
    </w:p>
    <w:p>
      <w:pPr>
        <w:ind w:left="660"/>
        <w:spacing w:after="0"/>
        <w:rPr>
          <w:sz w:val="20"/>
          <w:szCs w:val="20"/>
          <w:color w:val="auto"/>
        </w:rPr>
      </w:pPr>
      <w:r>
        <w:rPr>
          <w:rFonts w:ascii="Times New Roman" w:cs="Times New Roman" w:eastAsia="Times New Roman" w:hAnsi="Times New Roman"/>
          <w:sz w:val="18"/>
          <w:szCs w:val="18"/>
          <w:color w:val="auto"/>
        </w:rPr>
        <w:t>Dated: April 24, 2007</w:t>
      </w:r>
    </w:p>
    <w:p>
      <w:pPr>
        <w:spacing w:after="0" w:line="225" w:lineRule="exact"/>
        <w:rPr>
          <w:sz w:val="24"/>
          <w:szCs w:val="24"/>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GROUP LTD.</w:t>
      </w:r>
    </w:p>
    <w:p>
      <w:pPr>
        <w:sectPr>
          <w:pgSz w:w="11900" w:h="16838" w:orient="portrait"/>
          <w:cols w:equalWidth="0" w:num="1">
            <w:col w:w="11380"/>
          </w:cols>
          <w:pgMar w:left="240" w:top="524" w:right="279" w:bottom="77" w:gutter="0" w:footer="0" w:header="0"/>
          <w:type w:val="continuous"/>
        </w:sectPr>
      </w:pPr>
    </w:p>
    <w:bookmarkStart w:id="1" w:name="page2"/>
    <w:bookmarkEnd w:id="1"/>
    <w:tbl>
      <w:tblPr>
        <w:tblLayout w:type="fixed"/>
        <w:tblInd w:w="4420" w:type="dxa"/>
        <w:tblCellMar>
          <w:top w:w="0" w:type="dxa"/>
          <w:left w:w="0" w:type="dxa"/>
          <w:bottom w:w="0" w:type="dxa"/>
          <w:right w:w="0" w:type="dxa"/>
        </w:tblCellMar>
      </w:tblPr>
      <w:tr>
        <w:trPr>
          <w:trHeight w:val="216"/>
        </w:trPr>
        <w:tc>
          <w:tcPr>
            <w:tcW w:w="104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760" w:type="dxa"/>
            <w:vAlign w:val="bottom"/>
            <w:gridSpan w:val="2"/>
          </w:tcPr>
          <w:p>
            <w:pPr>
              <w:ind w:left="3580"/>
              <w:spacing w:after="0"/>
              <w:rPr>
                <w:sz w:val="20"/>
                <w:szCs w:val="20"/>
                <w:color w:val="auto"/>
              </w:rPr>
            </w:pPr>
            <w:r>
              <w:rPr>
                <w:rFonts w:ascii="Times New Roman" w:cs="Times New Roman" w:eastAsia="Times New Roman" w:hAnsi="Times New Roman"/>
                <w:sz w:val="18"/>
                <w:szCs w:val="18"/>
                <w:color w:val="auto"/>
              </w:rPr>
              <w:t>/s/ George A.</w:t>
            </w:r>
          </w:p>
        </w:tc>
      </w:tr>
      <w:tr>
        <w:trPr>
          <w:trHeight w:val="234"/>
        </w:trPr>
        <w:tc>
          <w:tcPr>
            <w:tcW w:w="1040" w:type="dxa"/>
            <w:vAlign w:val="bottom"/>
          </w:tcPr>
          <w:p>
            <w:pPr>
              <w:spacing w:after="0"/>
              <w:rPr>
                <w:sz w:val="20"/>
                <w:szCs w:val="20"/>
                <w:color w:val="auto"/>
              </w:rPr>
            </w:pPr>
          </w:p>
        </w:tc>
        <w:tc>
          <w:tcPr>
            <w:tcW w:w="4760" w:type="dxa"/>
            <w:vAlign w:val="bottom"/>
            <w:gridSpan w:val="2"/>
          </w:tcPr>
          <w:p>
            <w:pPr>
              <w:ind w:left="3580"/>
              <w:spacing w:after="0"/>
              <w:rPr>
                <w:sz w:val="20"/>
                <w:szCs w:val="20"/>
                <w:color w:val="auto"/>
              </w:rPr>
            </w:pPr>
            <w:r>
              <w:rPr>
                <w:rFonts w:ascii="Times New Roman" w:cs="Times New Roman" w:eastAsia="Times New Roman" w:hAnsi="Times New Roman"/>
                <w:sz w:val="18"/>
                <w:szCs w:val="18"/>
                <w:color w:val="auto"/>
              </w:rPr>
              <w:t>Hervey</w:t>
            </w:r>
          </w:p>
        </w:tc>
      </w:tr>
      <w:tr>
        <w:trPr>
          <w:trHeight w:val="178"/>
        </w:trPr>
        <w:tc>
          <w:tcPr>
            <w:tcW w:w="1040" w:type="dxa"/>
            <w:vAlign w:val="bottom"/>
          </w:tcPr>
          <w:p>
            <w:pPr>
              <w:spacing w:after="0"/>
              <w:rPr>
                <w:sz w:val="15"/>
                <w:szCs w:val="15"/>
                <w:color w:val="auto"/>
              </w:rPr>
            </w:pPr>
          </w:p>
        </w:tc>
        <w:tc>
          <w:tcPr>
            <w:tcW w:w="3580" w:type="dxa"/>
            <w:vAlign w:val="bottom"/>
          </w:tcPr>
          <w:p>
            <w:pPr>
              <w:jc w:val="center"/>
              <w:ind w:left="90"/>
              <w:spacing w:after="0" w:line="178" w:lineRule="exact"/>
              <w:rPr>
                <w:sz w:val="20"/>
                <w:szCs w:val="20"/>
                <w:color w:val="auto"/>
              </w:rPr>
            </w:pPr>
            <w:r>
              <w:rPr>
                <w:rFonts w:ascii="Times New Roman" w:cs="Times New Roman" w:eastAsia="Times New Roman" w:hAnsi="Times New Roman"/>
                <w:sz w:val="18"/>
                <w:szCs w:val="18"/>
                <w:color w:val="auto"/>
                <w:w w:val="99"/>
              </w:rPr>
              <w:t>George A. Hervey</w:t>
            </w:r>
          </w:p>
        </w:tc>
        <w:tc>
          <w:tcPr>
            <w:tcW w:w="1180" w:type="dxa"/>
            <w:vAlign w:val="bottom"/>
            <w:tcBorders>
              <w:top w:val="single" w:sz="8" w:color="auto"/>
            </w:tcBorders>
          </w:tcPr>
          <w:p>
            <w:pPr>
              <w:spacing w:after="0"/>
              <w:rPr>
                <w:sz w:val="15"/>
                <w:szCs w:val="15"/>
                <w:color w:val="auto"/>
              </w:rPr>
            </w:pPr>
          </w:p>
        </w:tc>
      </w:tr>
      <w:tr>
        <w:trPr>
          <w:trHeight w:val="216"/>
        </w:trPr>
        <w:tc>
          <w:tcPr>
            <w:tcW w:w="1040" w:type="dxa"/>
            <w:vAlign w:val="bottom"/>
          </w:tcPr>
          <w:p>
            <w:pPr>
              <w:spacing w:after="0"/>
              <w:rPr>
                <w:sz w:val="18"/>
                <w:szCs w:val="18"/>
                <w:color w:val="auto"/>
              </w:rPr>
            </w:pPr>
          </w:p>
        </w:tc>
        <w:tc>
          <w:tcPr>
            <w:tcW w:w="4760" w:type="dxa"/>
            <w:vAlign w:val="bottom"/>
            <w:gridSpan w:val="2"/>
          </w:tcPr>
          <w:p>
            <w:pPr>
              <w:jc w:val="center"/>
              <w:ind w:right="1000"/>
              <w:spacing w:after="0"/>
              <w:rPr>
                <w:sz w:val="20"/>
                <w:szCs w:val="20"/>
                <w:color w:val="auto"/>
              </w:rPr>
            </w:pPr>
            <w:r>
              <w:rPr>
                <w:rFonts w:ascii="Times New Roman" w:cs="Times New Roman" w:eastAsia="Times New Roman" w:hAnsi="Times New Roman"/>
                <w:sz w:val="18"/>
                <w:szCs w:val="18"/>
                <w:color w:val="auto"/>
                <w:w w:val="99"/>
              </w:rPr>
              <w:t>Vice President of Finance and</w:t>
            </w:r>
          </w:p>
        </w:tc>
      </w:tr>
      <w:tr>
        <w:trPr>
          <w:trHeight w:val="234"/>
        </w:trPr>
        <w:tc>
          <w:tcPr>
            <w:tcW w:w="1040" w:type="dxa"/>
            <w:vAlign w:val="bottom"/>
          </w:tcPr>
          <w:p>
            <w:pPr>
              <w:spacing w:after="0"/>
              <w:rPr>
                <w:sz w:val="20"/>
                <w:szCs w:val="20"/>
                <w:color w:val="auto"/>
              </w:rPr>
            </w:pPr>
          </w:p>
        </w:tc>
        <w:tc>
          <w:tcPr>
            <w:tcW w:w="4760" w:type="dxa"/>
            <w:vAlign w:val="bottom"/>
            <w:gridSpan w:val="2"/>
          </w:tcPr>
          <w:p>
            <w:pPr>
              <w:jc w:val="center"/>
              <w:ind w:right="1000"/>
              <w:spacing w:after="0"/>
              <w:rPr>
                <w:sz w:val="20"/>
                <w:szCs w:val="20"/>
                <w:color w:val="auto"/>
              </w:rPr>
            </w:pPr>
            <w:r>
              <w:rPr>
                <w:rFonts w:ascii="Times New Roman" w:cs="Times New Roman" w:eastAsia="Times New Roman" w:hAnsi="Times New Roman"/>
                <w:sz w:val="18"/>
                <w:szCs w:val="18"/>
                <w:color w:val="auto"/>
                <w:w w:val="99"/>
              </w:rPr>
              <w:t>Chief Financial Officer</w:t>
            </w:r>
          </w:p>
        </w:tc>
      </w:tr>
    </w:tbl>
    <w:p>
      <w:pPr>
        <w:spacing w:after="0" w:line="200" w:lineRule="exact"/>
        <w:rPr>
          <w:sz w:val="20"/>
          <w:szCs w:val="20"/>
          <w:color w:val="auto"/>
        </w:rPr>
      </w:pPr>
    </w:p>
    <w:p>
      <w:pPr>
        <w:spacing w:after="0" w:line="263" w:lineRule="exact"/>
        <w:rPr>
          <w:sz w:val="20"/>
          <w:szCs w:val="20"/>
          <w:color w:val="auto"/>
        </w:rPr>
      </w:pPr>
    </w:p>
    <w:p>
      <w:pPr>
        <w:ind w:left="4480"/>
        <w:spacing w:after="0"/>
        <w:rPr>
          <w:sz w:val="20"/>
          <w:szCs w:val="20"/>
          <w:color w:val="auto"/>
        </w:rPr>
      </w:pPr>
      <w:r>
        <w:rPr>
          <w:rFonts w:ascii="Times New Roman" w:cs="Times New Roman" w:eastAsia="Times New Roman" w:hAnsi="Times New Roman"/>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227330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220"/>
      </w:cols>
      <w:pgMar w:left="14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o"/>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2019-12-14T20:11:01Z</dcterms:created>
  <dcterms:modified xsi:type="dcterms:W3CDTF">2019-12-14T20:11:01Z</dcterms:modified>
</cp:coreProperties>
</file>