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Times New Roman" w:cs="Times New Roman" w:eastAsia="Times New Roman" w:hAnsi="Times New Roman"/>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200660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t>UNITED STATES</w:t>
      </w:r>
    </w:p>
    <w:p>
      <w:pPr>
        <w:spacing w:after="0" w:line="39"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32"/>
          <w:szCs w:val="32"/>
          <w:b w:val="1"/>
          <w:bCs w:val="1"/>
          <w:color w:val="auto"/>
        </w:rPr>
        <w:t>SECURITIES AND EXCHANGE COMMISSION</w:t>
      </w:r>
    </w:p>
    <w:p>
      <w:pPr>
        <w:spacing w:after="0" w:line="4"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Washington, D.C. 20549</w:t>
      </w:r>
    </w:p>
    <w:p>
      <w:pPr>
        <w:spacing w:after="0" w:line="176"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32"/>
          <w:szCs w:val="32"/>
          <w:b w:val="1"/>
          <w:bCs w:val="1"/>
          <w:color w:val="auto"/>
        </w:rPr>
        <w:t>FORM 8-K</w:t>
      </w:r>
    </w:p>
    <w:p>
      <w:pPr>
        <w:spacing w:after="0" w:line="200" w:lineRule="exact"/>
        <w:rPr>
          <w:sz w:val="24"/>
          <w:szCs w:val="24"/>
          <w:color w:val="auto"/>
        </w:rPr>
      </w:pPr>
    </w:p>
    <w:p>
      <w:pPr>
        <w:spacing w:after="0" w:line="245"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22"/>
          <w:szCs w:val="22"/>
          <w:b w:val="1"/>
          <w:bCs w:val="1"/>
          <w:color w:val="auto"/>
        </w:rPr>
        <w:t>CURRENT REPORT</w:t>
      </w:r>
    </w:p>
    <w:p>
      <w:pPr>
        <w:spacing w:after="0" w:line="215"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Pursuant to Section 13 or 15(d) of the</w:t>
      </w:r>
    </w:p>
    <w:p>
      <w:pPr>
        <w:spacing w:after="0" w:line="31"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Securities Exchange Act of 1934</w:t>
      </w:r>
    </w:p>
    <w:p>
      <w:pPr>
        <w:spacing w:after="0" w:line="200" w:lineRule="exact"/>
        <w:rPr>
          <w:sz w:val="24"/>
          <w:szCs w:val="24"/>
          <w:color w:val="auto"/>
        </w:rPr>
      </w:pPr>
    </w:p>
    <w:p>
      <w:pPr>
        <w:spacing w:after="0" w:line="223"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Date of Report (Date of earliest event reported): August 17, 2007</w:t>
      </w:r>
    </w:p>
    <w:p>
      <w:pPr>
        <w:spacing w:after="0" w:line="196"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32"/>
          <w:szCs w:val="32"/>
          <w:b w:val="1"/>
          <w:bCs w:val="1"/>
          <w:color w:val="auto"/>
        </w:rPr>
        <w:t>MARVELL TECHNOLOGY GROUP LTD.</w:t>
      </w:r>
    </w:p>
    <w:p>
      <w:pPr>
        <w:spacing w:after="0" w:line="46"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(Exact name of registrant as specified in its charter)</w:t>
      </w:r>
    </w:p>
    <w:p>
      <w:pPr>
        <w:sectPr>
          <w:pgSz w:w="11900" w:h="16838" w:orient="portrait"/>
          <w:cols w:equalWidth="0" w:num="1">
            <w:col w:w="11380"/>
          </w:cols>
          <w:pgMar w:left="240" w:top="957" w:right="279" w:bottom="0" w:gutter="0" w:footer="0" w:header="0"/>
        </w:sectPr>
      </w:pPr>
    </w:p>
    <w:p>
      <w:pPr>
        <w:spacing w:after="0" w:line="201" w:lineRule="exact"/>
        <w:rPr>
          <w:sz w:val="24"/>
          <w:szCs w:val="24"/>
          <w:color w:val="auto"/>
        </w:rPr>
      </w:pPr>
    </w:p>
    <w:p>
      <w:pPr>
        <w:jc w:val="center"/>
        <w:ind w:right="360"/>
        <w:spacing w:after="0"/>
        <w:rPr>
          <w:sz w:val="20"/>
          <w:szCs w:val="20"/>
          <w:color w:val="auto"/>
        </w:rPr>
      </w:pPr>
      <w:r>
        <w:rPr>
          <w:rFonts w:ascii="Times New Roman" w:cs="Times New Roman" w:eastAsia="Times New Roman" w:hAnsi="Times New Roman"/>
          <w:sz w:val="18"/>
          <w:szCs w:val="18"/>
          <w:b w:val="1"/>
          <w:bCs w:val="1"/>
          <w:color w:val="auto"/>
        </w:rPr>
        <w:t>Bermuda</w:t>
      </w:r>
    </w:p>
    <w:p>
      <w:pPr>
        <w:spacing w:after="0" w:line="31" w:lineRule="exact"/>
        <w:rPr>
          <w:sz w:val="24"/>
          <w:szCs w:val="24"/>
          <w:color w:val="auto"/>
        </w:rPr>
      </w:pPr>
    </w:p>
    <w:p>
      <w:pPr>
        <w:jc w:val="center"/>
        <w:ind w:right="360"/>
        <w:spacing w:after="0"/>
        <w:rPr>
          <w:sz w:val="20"/>
          <w:szCs w:val="20"/>
          <w:color w:val="auto"/>
        </w:rPr>
      </w:pPr>
      <w:r>
        <w:rPr>
          <w:rFonts w:ascii="Times New Roman" w:cs="Times New Roman" w:eastAsia="Times New Roman" w:hAnsi="Times New Roman"/>
          <w:sz w:val="18"/>
          <w:szCs w:val="18"/>
          <w:color w:val="auto"/>
        </w:rPr>
        <w:t>(State or Other Jurisdiction of Incorporation)</w:t>
      </w:r>
    </w:p>
    <w:p>
      <w:pPr>
        <w:spacing w:after="0" w:line="20" w:lineRule="exact"/>
        <w:rPr>
          <w:sz w:val="24"/>
          <w:szCs w:val="24"/>
          <w:color w:val="auto"/>
        </w:rPr>
      </w:pPr>
      <w:r>
        <w:rPr>
          <w:sz w:val="24"/>
          <w:szCs w:val="24"/>
          <w:color w:val="auto"/>
        </w:rPr>
        <w:br w:type="column"/>
      </w:r>
    </w:p>
    <w:p>
      <w:pPr>
        <w:spacing w:after="0" w:line="181" w:lineRule="exact"/>
        <w:rPr>
          <w:sz w:val="24"/>
          <w:szCs w:val="24"/>
          <w:color w:val="auto"/>
        </w:rPr>
      </w:pPr>
    </w:p>
    <w:p>
      <w:pPr>
        <w:jc w:val="center"/>
        <w:ind w:right="1500"/>
        <w:spacing w:after="0"/>
        <w:rPr>
          <w:sz w:val="20"/>
          <w:szCs w:val="20"/>
          <w:color w:val="auto"/>
        </w:rPr>
      </w:pPr>
      <w:r>
        <w:rPr>
          <w:rFonts w:ascii="Times New Roman" w:cs="Times New Roman" w:eastAsia="Times New Roman" w:hAnsi="Times New Roman"/>
          <w:sz w:val="18"/>
          <w:szCs w:val="18"/>
          <w:b w:val="1"/>
          <w:bCs w:val="1"/>
          <w:color w:val="auto"/>
        </w:rPr>
        <w:t>0-30877</w:t>
      </w:r>
    </w:p>
    <w:p>
      <w:pPr>
        <w:spacing w:after="0" w:line="31" w:lineRule="exact"/>
        <w:rPr>
          <w:sz w:val="24"/>
          <w:szCs w:val="24"/>
          <w:color w:val="auto"/>
        </w:rPr>
      </w:pPr>
    </w:p>
    <w:p>
      <w:pPr>
        <w:jc w:val="center"/>
        <w:ind w:right="1500"/>
        <w:spacing w:after="0"/>
        <w:rPr>
          <w:sz w:val="20"/>
          <w:szCs w:val="20"/>
          <w:color w:val="auto"/>
        </w:rPr>
      </w:pPr>
      <w:r>
        <w:rPr>
          <w:rFonts w:ascii="Times New Roman" w:cs="Times New Roman" w:eastAsia="Times New Roman" w:hAnsi="Times New Roman"/>
          <w:sz w:val="18"/>
          <w:szCs w:val="18"/>
          <w:color w:val="auto"/>
        </w:rPr>
        <w:t>(Commission File Number)</w:t>
      </w:r>
    </w:p>
    <w:p>
      <w:pPr>
        <w:spacing w:after="0" w:line="20" w:lineRule="exact"/>
        <w:rPr>
          <w:sz w:val="24"/>
          <w:szCs w:val="24"/>
          <w:color w:val="auto"/>
        </w:rPr>
      </w:pPr>
      <w:r>
        <w:rPr>
          <w:sz w:val="24"/>
          <w:szCs w:val="24"/>
          <w:color w:val="auto"/>
        </w:rPr>
        <w:br w:type="column"/>
      </w:r>
    </w:p>
    <w:p>
      <w:pPr>
        <w:spacing w:after="0" w:line="181" w:lineRule="exact"/>
        <w:rPr>
          <w:sz w:val="24"/>
          <w:szCs w:val="24"/>
          <w:color w:val="auto"/>
        </w:rPr>
      </w:pPr>
    </w:p>
    <w:p>
      <w:pPr>
        <w:jc w:val="center"/>
        <w:ind w:right="1100"/>
        <w:spacing w:after="0"/>
        <w:rPr>
          <w:sz w:val="20"/>
          <w:szCs w:val="20"/>
          <w:color w:val="auto"/>
        </w:rPr>
      </w:pPr>
      <w:r>
        <w:rPr>
          <w:rFonts w:ascii="Times New Roman" w:cs="Times New Roman" w:eastAsia="Times New Roman" w:hAnsi="Times New Roman"/>
          <w:sz w:val="18"/>
          <w:szCs w:val="18"/>
          <w:b w:val="1"/>
          <w:bCs w:val="1"/>
          <w:color w:val="auto"/>
        </w:rPr>
        <w:t>77-0481679</w:t>
      </w:r>
    </w:p>
    <w:p>
      <w:pPr>
        <w:spacing w:after="0" w:line="31" w:lineRule="exact"/>
        <w:rPr>
          <w:sz w:val="24"/>
          <w:szCs w:val="24"/>
          <w:color w:val="auto"/>
        </w:rPr>
      </w:pPr>
    </w:p>
    <w:p>
      <w:pPr>
        <w:jc w:val="center"/>
        <w:ind w:right="1100"/>
        <w:spacing w:after="0"/>
        <w:rPr>
          <w:sz w:val="20"/>
          <w:szCs w:val="20"/>
          <w:color w:val="auto"/>
        </w:rPr>
      </w:pPr>
      <w:r>
        <w:rPr>
          <w:rFonts w:ascii="Times New Roman" w:cs="Times New Roman" w:eastAsia="Times New Roman" w:hAnsi="Times New Roman"/>
          <w:sz w:val="18"/>
          <w:szCs w:val="18"/>
          <w:color w:val="auto"/>
        </w:rPr>
        <w:t>(I.R.S. Employer</w:t>
      </w:r>
    </w:p>
    <w:p>
      <w:pPr>
        <w:spacing w:after="0" w:line="9" w:lineRule="exact"/>
        <w:rPr>
          <w:sz w:val="24"/>
          <w:szCs w:val="24"/>
          <w:color w:val="auto"/>
        </w:rPr>
      </w:pPr>
    </w:p>
    <w:p>
      <w:pPr>
        <w:jc w:val="center"/>
        <w:ind w:right="1100"/>
        <w:spacing w:after="0"/>
        <w:rPr>
          <w:sz w:val="20"/>
          <w:szCs w:val="20"/>
          <w:color w:val="auto"/>
        </w:rPr>
      </w:pPr>
      <w:r>
        <w:rPr>
          <w:rFonts w:ascii="Times New Roman" w:cs="Times New Roman" w:eastAsia="Times New Roman" w:hAnsi="Times New Roman"/>
          <w:sz w:val="17"/>
          <w:szCs w:val="17"/>
          <w:color w:val="auto"/>
        </w:rPr>
        <w:t>Identification No.)</w:t>
      </w:r>
    </w:p>
    <w:p>
      <w:pPr>
        <w:spacing w:after="0" w:line="200" w:lineRule="exact"/>
        <w:rPr>
          <w:sz w:val="24"/>
          <w:szCs w:val="24"/>
          <w:color w:val="auto"/>
        </w:rPr>
      </w:pPr>
    </w:p>
    <w:p>
      <w:pPr>
        <w:sectPr>
          <w:pgSz w:w="11900" w:h="16838" w:orient="portrait"/>
          <w:cols w:equalWidth="0" w:num="3">
            <w:col w:w="4000" w:space="720"/>
            <w:col w:w="3500" w:space="720"/>
            <w:col w:w="2440"/>
          </w:cols>
          <w:pgMar w:left="240" w:top="957" w:right="279" w:bottom="0" w:gutter="0" w:footer="0" w:header="0"/>
          <w:type w:val="continuous"/>
        </w:sectPr>
      </w:pPr>
    </w:p>
    <w:p>
      <w:pPr>
        <w:spacing w:after="0" w:line="230"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Canon’s Court</w:t>
      </w:r>
    </w:p>
    <w:p>
      <w:pPr>
        <w:spacing w:after="0" w:line="31"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22 Victoria Street</w:t>
      </w:r>
    </w:p>
    <w:p>
      <w:pPr>
        <w:spacing w:after="0" w:line="9"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Hamilton HM 12</w:t>
      </w:r>
    </w:p>
    <w:p>
      <w:pPr>
        <w:spacing w:after="0" w:line="9"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Bermuda</w:t>
      </w:r>
    </w:p>
    <w:p>
      <w:pPr>
        <w:spacing w:after="0" w:line="9"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(Address of principal executive offices)</w:t>
      </w:r>
    </w:p>
    <w:p>
      <w:pPr>
        <w:spacing w:after="0" w:line="203" w:lineRule="exact"/>
        <w:rPr>
          <w:sz w:val="24"/>
          <w:szCs w:val="24"/>
          <w:color w:val="auto"/>
        </w:rPr>
      </w:pPr>
    </w:p>
    <w:p>
      <w:pPr>
        <w:ind w:left="5580" w:hanging="428"/>
        <w:spacing w:after="0"/>
        <w:tabs>
          <w:tab w:leader="none" w:pos="5580" w:val="left"/>
        </w:tabs>
        <w:numPr>
          <w:ilvl w:val="0"/>
          <w:numId w:val="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296-6395</w:t>
      </w:r>
    </w:p>
    <w:p>
      <w:pPr>
        <w:spacing w:after="0" w:line="31" w:lineRule="exact"/>
        <w:rPr>
          <w:rFonts w:ascii="Times New Roman" w:cs="Times New Roman" w:eastAsia="Times New Roman" w:hAnsi="Times New Roman"/>
          <w:sz w:val="18"/>
          <w:szCs w:val="18"/>
          <w:b w:val="1"/>
          <w:bCs w:val="1"/>
          <w:color w:val="auto"/>
        </w:rPr>
      </w:pPr>
    </w:p>
    <w:p>
      <w:pPr>
        <w:ind w:left="4560"/>
        <w:spacing w:after="0"/>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(Registrant’s telephone number,</w:t>
      </w:r>
    </w:p>
    <w:p>
      <w:pPr>
        <w:spacing w:after="0" w:line="9" w:lineRule="exact"/>
        <w:rPr>
          <w:rFonts w:ascii="Times New Roman" w:cs="Times New Roman" w:eastAsia="Times New Roman" w:hAnsi="Times New Roman"/>
          <w:sz w:val="18"/>
          <w:szCs w:val="18"/>
          <w:b w:val="1"/>
          <w:bCs w:val="1"/>
          <w:color w:val="auto"/>
        </w:rPr>
      </w:pPr>
    </w:p>
    <w:p>
      <w:pPr>
        <w:ind w:left="4980"/>
        <w:spacing w:after="0"/>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including area code)</w:t>
      </w:r>
    </w:p>
    <w:p>
      <w:pPr>
        <w:spacing w:after="0" w:line="203"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N/A</w:t>
      </w:r>
    </w:p>
    <w:p>
      <w:pPr>
        <w:spacing w:after="0" w:line="31"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(Former name or former address, if changed since last report.)</w:t>
      </w:r>
    </w:p>
    <w:p>
      <w:pPr>
        <w:spacing w:after="0" w:line="207" w:lineRule="exact"/>
        <w:rPr>
          <w:sz w:val="24"/>
          <w:szCs w:val="24"/>
          <w:color w:val="auto"/>
        </w:rPr>
      </w:pPr>
    </w:p>
    <w:p>
      <w:pPr>
        <w:spacing w:after="0" w:line="282" w:lineRule="auto"/>
        <w:rPr>
          <w:sz w:val="20"/>
          <w:szCs w:val="20"/>
          <w:color w:val="auto"/>
        </w:rPr>
      </w:pPr>
      <w:r>
        <w:rPr>
          <w:rFonts w:ascii="Times New Roman" w:cs="Times New Roman" w:eastAsia="Times New Roman" w:hAnsi="Times New Roman"/>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62"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o Written communications pursuant to Rule 425 under the Securities Act (17 CFR 230.425)</w:t>
      </w:r>
    </w:p>
    <w:p>
      <w:pPr>
        <w:spacing w:after="0" w:line="225"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o Soliciting material pursuant to Rule 14a-12 under the Exchange Act (17 CFR 240.14a-12)</w:t>
      </w:r>
    </w:p>
    <w:p>
      <w:pPr>
        <w:spacing w:after="0" w:line="225"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o Pre-commencement communications pursuant to Rule 14d-2(b) under the Exchange Act (17 CFR 240.14d-2(b))</w:t>
      </w:r>
    </w:p>
    <w:p>
      <w:pPr>
        <w:spacing w:after="0" w:line="225"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o 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154940</wp:posOffset>
            </wp:positionV>
            <wp:extent cx="7246620" cy="260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197485</wp:posOffset>
            </wp:positionV>
            <wp:extent cx="7246620" cy="26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443865</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52"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Item 8.01 Other Events.</w:t>
      </w:r>
    </w:p>
    <w:p>
      <w:pPr>
        <w:spacing w:after="0" w:line="229" w:lineRule="exact"/>
        <w:rPr>
          <w:sz w:val="24"/>
          <w:szCs w:val="24"/>
          <w:color w:val="auto"/>
        </w:rPr>
      </w:pPr>
    </w:p>
    <w:p>
      <w:pPr>
        <w:ind w:right="80"/>
        <w:spacing w:after="0" w:line="261" w:lineRule="auto"/>
        <w:rPr>
          <w:sz w:val="20"/>
          <w:szCs w:val="20"/>
          <w:color w:val="auto"/>
        </w:rPr>
      </w:pPr>
      <w:r>
        <w:rPr>
          <w:rFonts w:ascii="Times New Roman" w:cs="Times New Roman" w:eastAsia="Times New Roman" w:hAnsi="Times New Roman"/>
          <w:sz w:val="18"/>
          <w:szCs w:val="18"/>
          <w:color w:val="auto"/>
        </w:rPr>
        <w:t>On August 17, 2007, Marvell Technology Group Ltd. (“Marvell”) issued a press release announcing that it currently plans to hold its 2007 annual general meeting of shareholders at 3:30 p.m., local time, on Friday, October 19, 2007, at the Hyatt Regency Hotel, Santa Clara Convention Center, 5101 Great America Parkway, Santa Clara, California 95054 (the “Annual Meeting”). Shareholders of record as of the close of business on August 31, 2007 are entitled to notice of and vote at the Annual Meeting.</w:t>
      </w:r>
    </w:p>
    <w:p>
      <w:pPr>
        <w:spacing w:after="0" w:line="180"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u w:val="single" w:color="auto"/>
          <w:color w:val="auto"/>
        </w:rPr>
        <w:t>Deadline for Shareholder Proposals Pursuant to Rule 14a-8</w:t>
      </w:r>
    </w:p>
    <w:p>
      <w:pPr>
        <w:spacing w:after="0" w:line="27" w:lineRule="exact"/>
        <w:rPr>
          <w:sz w:val="24"/>
          <w:szCs w:val="24"/>
          <w:color w:val="auto"/>
        </w:rPr>
      </w:pPr>
    </w:p>
    <w:p>
      <w:pPr>
        <w:spacing w:after="0" w:line="252" w:lineRule="auto"/>
        <w:rPr>
          <w:sz w:val="20"/>
          <w:szCs w:val="20"/>
          <w:color w:val="auto"/>
        </w:rPr>
      </w:pPr>
      <w:r>
        <w:rPr>
          <w:rFonts w:ascii="Times New Roman" w:cs="Times New Roman" w:eastAsia="Times New Roman" w:hAnsi="Times New Roman"/>
          <w:sz w:val="18"/>
          <w:szCs w:val="18"/>
          <w:color w:val="auto"/>
        </w:rPr>
        <w:t>The date on which the Annual Meeting will be held constitutes a change of more than 30 days from the anniversary of Marvell’s 2006 annual general meeting of shareholders. As a result, pursuant to Rule 14a-8 under the Securities Exchange Act of 1934, as amended, Marvell has set a new deadline for the receipt of shareholder proposals submitted pursuant to Rule 14a-8 for inclusion in Marvell’s proxy materials for the Annual Meeting. The new deadline for delivering shareholder proposals to Marvell is the close of business on August 30, 2007. Such proposals should be delivered to Marvell’s principal executive offices at the following address: Canon’s Court, 22 Victoria Street, Hamilton HM 12, Bermuda, Attention: Secretary. Such proposals also will need to comply with the rules of the Securities and Exchange Commission regarding the inclusion of shareholder proposals in Marvell’s proxy materials, and may be omitted if not in compliance with applicable requirements.</w:t>
      </w:r>
    </w:p>
    <w:p>
      <w:pPr>
        <w:spacing w:after="0" w:line="189"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u w:val="single" w:color="auto"/>
          <w:color w:val="auto"/>
        </w:rPr>
        <w:t>Deadline for Shareholder Proposals Not Pursuant to Rule 14a-8</w:t>
      </w:r>
    </w:p>
    <w:p>
      <w:pPr>
        <w:spacing w:after="0" w:line="27"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As further set forth in Marvell’s proxy statement for the 2006 fiscal year, shareholder proposals, including director nominations, may also be made at the</w:t>
      </w:r>
    </w:p>
    <w:p>
      <w:pPr>
        <w:sectPr>
          <w:pgSz w:w="11900" w:h="16838" w:orient="portrait"/>
          <w:cols w:equalWidth="0" w:num="1">
            <w:col w:w="11380"/>
          </w:cols>
          <w:pgMar w:left="240" w:top="957" w:right="279" w:bottom="0" w:gutter="0" w:footer="0" w:header="0"/>
          <w:type w:val="continuous"/>
        </w:sectPr>
      </w:pPr>
    </w:p>
    <w:bookmarkStart w:id="1" w:name="page2"/>
    <w:bookmarkEnd w:id="1"/>
    <w:p>
      <w:pPr>
        <w:spacing w:after="0"/>
        <w:rPr>
          <w:sz w:val="20"/>
          <w:szCs w:val="20"/>
          <w:color w:val="auto"/>
        </w:rPr>
      </w:pPr>
      <w:r>
        <w:rPr>
          <w:rFonts w:ascii="Times New Roman" w:cs="Times New Roman" w:eastAsia="Times New Roman" w:hAnsi="Times New Roman"/>
          <w:sz w:val="18"/>
          <w:szCs w:val="18"/>
          <w:color w:val="auto"/>
        </w:rPr>
        <w:t>Annual Meeting in accordance with the terms of Marvell’s bye-laws and the applicable provisions of the Bermuda Companies Act of 1981.</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The press release constitutes public announcement of the date of the Annual Meeting for purposes of bye-law 32 of Marvell’s bye-laws.</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The text of the press release is being filed hereto as Exhibit 99.1 to this Current Report on Form 8-K and is incorporated herein in its entirety by reference.</w:t>
      </w:r>
    </w:p>
    <w:p>
      <w:pPr>
        <w:spacing w:after="0" w:line="22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Item 9.01.  </w:t>
      </w:r>
      <w:r>
        <w:rPr>
          <w:rFonts w:ascii="Times New Roman" w:cs="Times New Roman" w:eastAsia="Times New Roman" w:hAnsi="Times New Roman"/>
          <w:sz w:val="18"/>
          <w:szCs w:val="18"/>
          <w:b w:val="1"/>
          <w:bCs w:val="1"/>
          <w:u w:val="single" w:color="auto"/>
          <w:color w:val="auto"/>
        </w:rPr>
        <w:t>Financial Statements and Exhibits</w:t>
      </w:r>
      <w:r>
        <w:rPr>
          <w:rFonts w:ascii="Times New Roman" w:cs="Times New Roman" w:eastAsia="Times New Roman" w:hAnsi="Times New Roman"/>
          <w:sz w:val="18"/>
          <w:szCs w:val="18"/>
          <w:b w:val="1"/>
          <w:bCs w:val="1"/>
          <w:color w:val="auto"/>
        </w:rPr>
        <w:t>.</w:t>
      </w:r>
    </w:p>
    <w:p>
      <w:pPr>
        <w:spacing w:after="0" w:line="2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(d)  Exhibits</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The following exhibit is filed pursuant to Item 8.01:</w:t>
      </w: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173"/>
        </w:trPr>
        <w:tc>
          <w:tcPr>
            <w:tcW w:w="1520" w:type="dxa"/>
            <w:vAlign w:val="bottom"/>
            <w:gridSpan w:val="2"/>
          </w:tcPr>
          <w:p>
            <w:pPr>
              <w:jc w:val="center"/>
              <w:ind w:right="460"/>
              <w:spacing w:after="0"/>
              <w:rPr>
                <w:sz w:val="20"/>
                <w:szCs w:val="20"/>
                <w:color w:val="auto"/>
              </w:rPr>
            </w:pPr>
            <w:r>
              <w:rPr>
                <w:rFonts w:ascii="Times New Roman" w:cs="Times New Roman" w:eastAsia="Times New Roman" w:hAnsi="Times New Roman"/>
                <w:sz w:val="14"/>
                <w:szCs w:val="14"/>
                <w:b w:val="1"/>
                <w:bCs w:val="1"/>
                <w:color w:val="auto"/>
              </w:rPr>
              <w:t>Exhibit No.</w:t>
            </w:r>
          </w:p>
        </w:tc>
        <w:tc>
          <w:tcPr>
            <w:tcW w:w="9900" w:type="dxa"/>
            <w:vAlign w:val="bottom"/>
          </w:tcPr>
          <w:p>
            <w:pPr>
              <w:spacing w:after="0"/>
              <w:rPr>
                <w:sz w:val="20"/>
                <w:szCs w:val="20"/>
                <w:color w:val="auto"/>
              </w:rPr>
            </w:pPr>
            <w:r>
              <w:rPr>
                <w:rFonts w:ascii="Times New Roman" w:cs="Times New Roman" w:eastAsia="Times New Roman" w:hAnsi="Times New Roman"/>
                <w:sz w:val="14"/>
                <w:szCs w:val="14"/>
                <w:b w:val="1"/>
                <w:bCs w:val="1"/>
                <w:color w:val="auto"/>
              </w:rPr>
              <w:t>Description</w:t>
            </w:r>
          </w:p>
        </w:tc>
      </w:tr>
      <w:tr>
        <w:trPr>
          <w:trHeight w:val="228"/>
        </w:trPr>
        <w:tc>
          <w:tcPr>
            <w:tcW w:w="1080" w:type="dxa"/>
            <w:vAlign w:val="bottom"/>
            <w:tcBorders>
              <w:top w:val="single" w:sz="8" w:color="auto"/>
            </w:tcBorders>
          </w:tcPr>
          <w:p>
            <w:pPr>
              <w:jc w:val="right"/>
              <w:ind w:right="299"/>
              <w:spacing w:after="0"/>
              <w:rPr>
                <w:sz w:val="20"/>
                <w:szCs w:val="20"/>
                <w:color w:val="auto"/>
              </w:rPr>
            </w:pPr>
            <w:r>
              <w:rPr>
                <w:rFonts w:ascii="Times New Roman" w:cs="Times New Roman" w:eastAsia="Times New Roman" w:hAnsi="Times New Roman"/>
                <w:sz w:val="18"/>
                <w:szCs w:val="18"/>
                <w:color w:val="auto"/>
              </w:rPr>
              <w:t>99.1</w:t>
            </w:r>
          </w:p>
        </w:tc>
        <w:tc>
          <w:tcPr>
            <w:tcW w:w="440" w:type="dxa"/>
            <w:vAlign w:val="bottom"/>
          </w:tcPr>
          <w:p>
            <w:pPr>
              <w:spacing w:after="0"/>
              <w:rPr>
                <w:sz w:val="19"/>
                <w:szCs w:val="19"/>
                <w:color w:val="auto"/>
              </w:rPr>
            </w:pPr>
          </w:p>
        </w:tc>
        <w:tc>
          <w:tcPr>
            <w:tcW w:w="9900" w:type="dxa"/>
            <w:vAlign w:val="bottom"/>
            <w:tcBorders>
              <w:top w:val="single" w:sz="8" w:color="auto"/>
            </w:tcBorders>
          </w:tcPr>
          <w:p>
            <w:pPr>
              <w:spacing w:after="0"/>
              <w:rPr>
                <w:sz w:val="20"/>
                <w:szCs w:val="20"/>
                <w:color w:val="auto"/>
              </w:rPr>
            </w:pPr>
            <w:r>
              <w:rPr>
                <w:rFonts w:ascii="Times New Roman" w:cs="Times New Roman" w:eastAsia="Times New Roman" w:hAnsi="Times New Roman"/>
                <w:sz w:val="18"/>
                <w:szCs w:val="18"/>
                <w:color w:val="auto"/>
              </w:rPr>
              <w:t>Press Release dated August 17, 2007</w:t>
            </w:r>
          </w:p>
        </w:tc>
      </w:tr>
    </w:tbl>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jc w:val="center"/>
        <w:ind w:right="40"/>
        <w:spacing w:after="0"/>
        <w:rPr>
          <w:sz w:val="20"/>
          <w:szCs w:val="20"/>
          <w:color w:val="auto"/>
        </w:rPr>
      </w:pPr>
      <w:r>
        <w:rPr>
          <w:rFonts w:ascii="Times New Roman" w:cs="Times New Roman" w:eastAsia="Times New Roman" w:hAnsi="Times New Roman"/>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ind w:right="40"/>
        <w:spacing w:after="0"/>
        <w:rPr>
          <w:sz w:val="20"/>
          <w:szCs w:val="20"/>
          <w:color w:val="auto"/>
        </w:rPr>
      </w:pPr>
      <w:r>
        <w:rPr>
          <w:rFonts w:ascii="Times New Roman" w:cs="Times New Roman" w:eastAsia="Times New Roman" w:hAnsi="Times New Roman"/>
          <w:sz w:val="18"/>
          <w:szCs w:val="18"/>
          <w:b w:val="1"/>
          <w:bCs w:val="1"/>
          <w:color w:val="auto"/>
        </w:rPr>
        <w:t>SIGNATURE</w:t>
      </w:r>
    </w:p>
    <w:p>
      <w:pPr>
        <w:spacing w:after="0" w:line="229" w:lineRule="exact"/>
        <w:rPr>
          <w:sz w:val="20"/>
          <w:szCs w:val="20"/>
          <w:color w:val="auto"/>
        </w:rPr>
      </w:pPr>
    </w:p>
    <w:p>
      <w:pPr>
        <w:ind w:right="80" w:firstLine="648"/>
        <w:spacing w:after="0" w:line="282" w:lineRule="auto"/>
        <w:rPr>
          <w:sz w:val="20"/>
          <w:szCs w:val="20"/>
          <w:color w:val="auto"/>
        </w:rPr>
      </w:pPr>
      <w:r>
        <w:rPr>
          <w:rFonts w:ascii="Times New Roman" w:cs="Times New Roman" w:eastAsia="Times New Roman" w:hAnsi="Times New Roman"/>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62"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Dated: August 17, 2007</w:t>
      </w:r>
    </w:p>
    <w:p>
      <w:pPr>
        <w:spacing w:after="0" w:line="225" w:lineRule="exact"/>
        <w:rPr>
          <w:sz w:val="20"/>
          <w:szCs w:val="20"/>
          <w:color w:val="auto"/>
        </w:rPr>
      </w:pPr>
    </w:p>
    <w:p>
      <w:pPr>
        <w:ind w:left="5780"/>
        <w:spacing w:after="0"/>
        <w:rPr>
          <w:sz w:val="20"/>
          <w:szCs w:val="20"/>
          <w:color w:val="auto"/>
        </w:rPr>
      </w:pPr>
      <w:r>
        <w:rPr>
          <w:rFonts w:ascii="Times New Roman" w:cs="Times New Roman" w:eastAsia="Times New Roman" w:hAnsi="Times New Roman"/>
          <w:sz w:val="18"/>
          <w:szCs w:val="18"/>
          <w:color w:val="auto"/>
        </w:rPr>
        <w:t>MARVELL TECHNOLOGY GROUP LTD.</w:t>
      </w:r>
    </w:p>
    <w:p>
      <w:pPr>
        <w:spacing w:after="0" w:line="225" w:lineRule="exact"/>
        <w:rPr>
          <w:sz w:val="20"/>
          <w:szCs w:val="20"/>
          <w:color w:val="auto"/>
        </w:rPr>
      </w:pPr>
    </w:p>
    <w:p>
      <w:pPr>
        <w:ind w:left="5780"/>
        <w:spacing w:after="0"/>
        <w:tabs>
          <w:tab w:leader="none" w:pos="8020" w:val="left"/>
        </w:tabs>
        <w:rPr>
          <w:sz w:val="20"/>
          <w:szCs w:val="20"/>
          <w:color w:val="auto"/>
        </w:rPr>
      </w:pPr>
      <w:r>
        <w:rPr>
          <w:rFonts w:ascii="Times New Roman" w:cs="Times New Roman" w:eastAsia="Times New Roman" w:hAnsi="Times New Roman"/>
          <w:sz w:val="18"/>
          <w:szCs w:val="18"/>
          <w:color w:val="auto"/>
        </w:rPr>
        <w:t>By:</w:t>
      </w:r>
      <w:r>
        <w:rPr>
          <w:sz w:val="20"/>
          <w:szCs w:val="20"/>
          <w:color w:val="auto"/>
        </w:rPr>
        <w:tab/>
      </w:r>
      <w:r>
        <w:rPr>
          <w:rFonts w:ascii="Times New Roman" w:cs="Times New Roman" w:eastAsia="Times New Roman" w:hAnsi="Times New Roman"/>
          <w:sz w:val="18"/>
          <w:szCs w:val="18"/>
          <w:color w:val="auto"/>
        </w:rPr>
        <w:t>/s/ Michael Rashkin</w:t>
      </w:r>
    </w:p>
    <w:p>
      <w:pPr>
        <w:spacing w:after="0" w:line="27" w:lineRule="exact"/>
        <w:rPr>
          <w:sz w:val="20"/>
          <w:szCs w:val="20"/>
          <w:color w:val="auto"/>
        </w:rPr>
      </w:pPr>
    </w:p>
    <w:p>
      <w:pPr>
        <w:jc w:val="center"/>
        <w:ind w:left="6120"/>
        <w:spacing w:after="0"/>
        <w:rPr>
          <w:sz w:val="20"/>
          <w:szCs w:val="20"/>
          <w:color w:val="auto"/>
        </w:rPr>
      </w:pPr>
      <w:r>
        <w:rPr>
          <w:rFonts w:ascii="Times New Roman" w:cs="Times New Roman" w:eastAsia="Times New Roman" w:hAnsi="Times New Roman"/>
          <w:sz w:val="18"/>
          <w:szCs w:val="18"/>
          <w:color w:val="auto"/>
        </w:rPr>
        <w:t>Michael Rashkin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3890010</wp:posOffset>
            </wp:positionH>
            <wp:positionV relativeFrom="paragraph">
              <wp:posOffset>-130810</wp:posOffset>
            </wp:positionV>
            <wp:extent cx="336169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3361690" cy="8890"/>
                    </a:xfrm>
                    <a:prstGeom prst="rect">
                      <a:avLst/>
                    </a:prstGeom>
                    <a:noFill/>
                  </pic:spPr>
                </pic:pic>
              </a:graphicData>
            </a:graphic>
          </wp:anchor>
        </w:drawing>
      </w:r>
    </w:p>
    <w:p>
      <w:pPr>
        <w:spacing w:after="0" w:line="3" w:lineRule="exact"/>
        <w:rPr>
          <w:sz w:val="20"/>
          <w:szCs w:val="20"/>
          <w:color w:val="auto"/>
        </w:rPr>
      </w:pPr>
    </w:p>
    <w:p>
      <w:pPr>
        <w:jc w:val="center"/>
        <w:ind w:left="6120"/>
        <w:spacing w:after="0"/>
        <w:rPr>
          <w:sz w:val="20"/>
          <w:szCs w:val="20"/>
          <w:color w:val="auto"/>
        </w:rPr>
      </w:pPr>
      <w:r>
        <w:rPr>
          <w:rFonts w:ascii="Times New Roman" w:cs="Times New Roman" w:eastAsia="Times New Roman" w:hAnsi="Times New Roman"/>
          <w:sz w:val="18"/>
          <w:szCs w:val="18"/>
          <w:color w:val="auto"/>
        </w:rPr>
        <w:t>Interim Chief Financial Officer</w:t>
      </w:r>
    </w:p>
    <w:p>
      <w:pPr>
        <w:spacing w:after="0" w:line="200" w:lineRule="exact"/>
        <w:rPr>
          <w:sz w:val="20"/>
          <w:szCs w:val="20"/>
          <w:color w:val="auto"/>
        </w:rPr>
      </w:pPr>
    </w:p>
    <w:p>
      <w:pPr>
        <w:spacing w:after="0" w:line="200" w:lineRule="exact"/>
        <w:rPr>
          <w:sz w:val="20"/>
          <w:szCs w:val="20"/>
          <w:color w:val="auto"/>
        </w:rPr>
      </w:pPr>
    </w:p>
    <w:p>
      <w:pPr>
        <w:spacing w:after="0" w:line="239" w:lineRule="exact"/>
        <w:rPr>
          <w:sz w:val="20"/>
          <w:szCs w:val="20"/>
          <w:color w:val="auto"/>
        </w:rPr>
      </w:pPr>
    </w:p>
    <w:p>
      <w:pPr>
        <w:jc w:val="center"/>
        <w:ind w:right="40"/>
        <w:spacing w:after="0"/>
        <w:rPr>
          <w:sz w:val="20"/>
          <w:szCs w:val="20"/>
          <w:color w:val="auto"/>
        </w:rPr>
      </w:pPr>
      <w:r>
        <w:rPr>
          <w:rFonts w:ascii="Times New Roman" w:cs="Times New Roman" w:eastAsia="Times New Roman" w:hAnsi="Times New Roman"/>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ind w:right="40"/>
        <w:spacing w:after="0"/>
        <w:rPr>
          <w:sz w:val="20"/>
          <w:szCs w:val="20"/>
          <w:color w:val="auto"/>
        </w:rPr>
      </w:pPr>
      <w:r>
        <w:rPr>
          <w:rFonts w:ascii="Times New Roman" w:cs="Times New Roman" w:eastAsia="Times New Roman" w:hAnsi="Times New Roman"/>
          <w:sz w:val="18"/>
          <w:szCs w:val="18"/>
          <w:b w:val="1"/>
          <w:bCs w:val="1"/>
          <w:color w:val="auto"/>
        </w:rPr>
        <w:t>EXHIBIT INDEX</w:t>
      </w:r>
    </w:p>
    <w:p>
      <w:pPr>
        <w:spacing w:after="0" w:line="209" w:lineRule="exact"/>
        <w:rPr>
          <w:sz w:val="20"/>
          <w:szCs w:val="20"/>
          <w:color w:val="auto"/>
        </w:rPr>
      </w:pPr>
    </w:p>
    <w:tbl>
      <w:tblPr>
        <w:tblLayout w:type="fixed"/>
        <w:tblInd w:w="0" w:type="dxa"/>
        <w:tblCellMar>
          <w:top w:w="0" w:type="dxa"/>
          <w:left w:w="0" w:type="dxa"/>
          <w:bottom w:w="0" w:type="dxa"/>
          <w:right w:w="0" w:type="dxa"/>
        </w:tblCellMar>
      </w:tblPr>
      <w:tr>
        <w:trPr>
          <w:trHeight w:val="173"/>
        </w:trPr>
        <w:tc>
          <w:tcPr>
            <w:tcW w:w="1520" w:type="dxa"/>
            <w:vAlign w:val="bottom"/>
            <w:gridSpan w:val="2"/>
          </w:tcPr>
          <w:p>
            <w:pPr>
              <w:jc w:val="center"/>
              <w:ind w:right="460"/>
              <w:spacing w:after="0"/>
              <w:rPr>
                <w:sz w:val="20"/>
                <w:szCs w:val="20"/>
                <w:color w:val="auto"/>
              </w:rPr>
            </w:pPr>
            <w:r>
              <w:rPr>
                <w:rFonts w:ascii="Times New Roman" w:cs="Times New Roman" w:eastAsia="Times New Roman" w:hAnsi="Times New Roman"/>
                <w:sz w:val="14"/>
                <w:szCs w:val="14"/>
                <w:b w:val="1"/>
                <w:bCs w:val="1"/>
                <w:color w:val="auto"/>
              </w:rPr>
              <w:t>Exhibit No.</w:t>
            </w:r>
          </w:p>
        </w:tc>
        <w:tc>
          <w:tcPr>
            <w:tcW w:w="9900" w:type="dxa"/>
            <w:vAlign w:val="bottom"/>
          </w:tcPr>
          <w:p>
            <w:pPr>
              <w:spacing w:after="0"/>
              <w:rPr>
                <w:sz w:val="20"/>
                <w:szCs w:val="20"/>
                <w:color w:val="auto"/>
              </w:rPr>
            </w:pPr>
            <w:r>
              <w:rPr>
                <w:rFonts w:ascii="Times New Roman" w:cs="Times New Roman" w:eastAsia="Times New Roman" w:hAnsi="Times New Roman"/>
                <w:sz w:val="14"/>
                <w:szCs w:val="14"/>
                <w:b w:val="1"/>
                <w:bCs w:val="1"/>
                <w:color w:val="auto"/>
              </w:rPr>
              <w:t>Description</w:t>
            </w:r>
          </w:p>
        </w:tc>
        <w:tc>
          <w:tcPr>
            <w:tcW w:w="40" w:type="dxa"/>
            <w:vAlign w:val="bottom"/>
          </w:tcPr>
          <w:p>
            <w:pPr>
              <w:spacing w:after="0"/>
              <w:rPr>
                <w:sz w:val="15"/>
                <w:szCs w:val="15"/>
                <w:color w:val="auto"/>
              </w:rPr>
            </w:pPr>
          </w:p>
        </w:tc>
      </w:tr>
      <w:tr>
        <w:trPr>
          <w:trHeight w:val="228"/>
        </w:trPr>
        <w:tc>
          <w:tcPr>
            <w:tcW w:w="1080" w:type="dxa"/>
            <w:vAlign w:val="bottom"/>
            <w:tcBorders>
              <w:top w:val="single" w:sz="8" w:color="auto"/>
            </w:tcBorders>
          </w:tcPr>
          <w:p>
            <w:pPr>
              <w:jc w:val="right"/>
              <w:ind w:right="299"/>
              <w:spacing w:after="0"/>
              <w:rPr>
                <w:sz w:val="20"/>
                <w:szCs w:val="20"/>
                <w:color w:val="auto"/>
              </w:rPr>
            </w:pPr>
            <w:r>
              <w:rPr>
                <w:rFonts w:ascii="Times New Roman" w:cs="Times New Roman" w:eastAsia="Times New Roman" w:hAnsi="Times New Roman"/>
                <w:sz w:val="18"/>
                <w:szCs w:val="18"/>
                <w:color w:val="auto"/>
              </w:rPr>
              <w:t>99.1</w:t>
            </w:r>
          </w:p>
        </w:tc>
        <w:tc>
          <w:tcPr>
            <w:tcW w:w="440" w:type="dxa"/>
            <w:vAlign w:val="bottom"/>
          </w:tcPr>
          <w:p>
            <w:pPr>
              <w:spacing w:after="0"/>
              <w:rPr>
                <w:sz w:val="19"/>
                <w:szCs w:val="19"/>
                <w:color w:val="auto"/>
              </w:rPr>
            </w:pPr>
          </w:p>
        </w:tc>
        <w:tc>
          <w:tcPr>
            <w:tcW w:w="9900" w:type="dxa"/>
            <w:vAlign w:val="bottom"/>
            <w:tcBorders>
              <w:top w:val="single" w:sz="8" w:color="auto"/>
            </w:tcBorders>
          </w:tcPr>
          <w:p>
            <w:pPr>
              <w:spacing w:after="0"/>
              <w:rPr>
                <w:sz w:val="20"/>
                <w:szCs w:val="20"/>
                <w:color w:val="auto"/>
              </w:rPr>
            </w:pPr>
            <w:r>
              <w:rPr>
                <w:rFonts w:ascii="Times New Roman" w:cs="Times New Roman" w:eastAsia="Times New Roman" w:hAnsi="Times New Roman"/>
                <w:sz w:val="18"/>
                <w:szCs w:val="18"/>
                <w:color w:val="auto"/>
              </w:rPr>
              <w:t>Press Release dated August 17, 2007</w:t>
            </w:r>
          </w:p>
        </w:tc>
        <w:tc>
          <w:tcPr>
            <w:tcW w:w="40" w:type="dxa"/>
            <w:vAlign w:val="bottom"/>
          </w:tcPr>
          <w:p>
            <w:pPr>
              <w:spacing w:after="0"/>
              <w:rPr>
                <w:sz w:val="19"/>
                <w:szCs w:val="19"/>
                <w:color w:val="auto"/>
              </w:rPr>
            </w:pPr>
          </w:p>
        </w:tc>
      </w:tr>
      <w:tr>
        <w:trPr>
          <w:trHeight w:val="897"/>
        </w:trPr>
        <w:tc>
          <w:tcPr>
            <w:tcW w:w="1080" w:type="dxa"/>
            <w:vAlign w:val="bottom"/>
            <w:tcBorders>
              <w:bottom w:val="single" w:sz="8" w:color="010101"/>
            </w:tcBorders>
          </w:tcPr>
          <w:p>
            <w:pPr>
              <w:spacing w:after="0"/>
              <w:rPr>
                <w:sz w:val="24"/>
                <w:szCs w:val="24"/>
                <w:color w:val="auto"/>
              </w:rPr>
            </w:pPr>
          </w:p>
        </w:tc>
        <w:tc>
          <w:tcPr>
            <w:tcW w:w="440" w:type="dxa"/>
            <w:vAlign w:val="bottom"/>
            <w:tcBorders>
              <w:bottom w:val="single" w:sz="8" w:color="010101"/>
            </w:tcBorders>
          </w:tcPr>
          <w:p>
            <w:pPr>
              <w:spacing w:after="0"/>
              <w:rPr>
                <w:sz w:val="24"/>
                <w:szCs w:val="24"/>
                <w:color w:val="auto"/>
              </w:rPr>
            </w:pPr>
          </w:p>
        </w:tc>
        <w:tc>
          <w:tcPr>
            <w:tcW w:w="990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21" w:right="199" w:bottom="1440" w:gutter="0" w:footer="0" w:header="0"/>
        </w:sectPr>
      </w:pPr>
    </w:p>
    <w:bookmarkStart w:id="2" w:name="page3"/>
    <w:bookmarkEnd w:id="2"/>
    <w:p>
      <w:pPr>
        <w:jc w:val="right"/>
        <w:spacing w:after="0"/>
        <w:rPr>
          <w:sz w:val="20"/>
          <w:szCs w:val="20"/>
          <w:color w:val="auto"/>
        </w:rPr>
      </w:pPr>
      <w:r>
        <w:rPr>
          <w:rFonts w:ascii="Times New Roman" w:cs="Times New Roman" w:eastAsia="Times New Roman" w:hAnsi="Times New Roman"/>
          <w:sz w:val="18"/>
          <w:szCs w:val="18"/>
          <w:b w:val="1"/>
          <w:bCs w:val="1"/>
          <w:color w:val="auto"/>
        </w:rPr>
        <w:t>Exhibit 99.1</w:t>
      </w:r>
    </w:p>
    <w:p>
      <w:pPr>
        <w:spacing w:after="0" w:line="225" w:lineRule="exact"/>
        <w:rPr>
          <w:sz w:val="20"/>
          <w:szCs w:val="20"/>
          <w:color w:val="auto"/>
        </w:rPr>
      </w:pPr>
    </w:p>
    <w:p>
      <w:pPr>
        <w:jc w:val="center"/>
        <w:spacing w:after="0" w:line="268" w:lineRule="auto"/>
        <w:rPr>
          <w:sz w:val="20"/>
          <w:szCs w:val="20"/>
          <w:color w:val="auto"/>
        </w:rPr>
      </w:pPr>
      <w:r>
        <w:rPr>
          <w:rFonts w:ascii="Times New Roman" w:cs="Times New Roman" w:eastAsia="Times New Roman" w:hAnsi="Times New Roman"/>
          <w:sz w:val="18"/>
          <w:szCs w:val="18"/>
          <w:b w:val="1"/>
          <w:bCs w:val="1"/>
          <w:color w:val="auto"/>
        </w:rPr>
        <w:t>MARVELL ANNOUNCES DATE OF ITS 2007 ANNUAL GENERAL MEETING OF SHAREHOLDERS AND DEADLINES FOR SUBMITTING SHAREHOLDER PROPOSALS</w:t>
      </w:r>
    </w:p>
    <w:p>
      <w:pPr>
        <w:spacing w:after="0" w:line="171" w:lineRule="exact"/>
        <w:rPr>
          <w:sz w:val="20"/>
          <w:szCs w:val="20"/>
          <w:color w:val="auto"/>
        </w:rPr>
      </w:pPr>
    </w:p>
    <w:p>
      <w:pPr>
        <w:ind w:right="20" w:firstLine="648"/>
        <w:spacing w:after="0" w:line="262" w:lineRule="auto"/>
        <w:rPr>
          <w:sz w:val="20"/>
          <w:szCs w:val="20"/>
          <w:color w:val="auto"/>
        </w:rPr>
      </w:pPr>
      <w:r>
        <w:rPr>
          <w:rFonts w:ascii="Times New Roman" w:cs="Times New Roman" w:eastAsia="Times New Roman" w:hAnsi="Times New Roman"/>
          <w:sz w:val="18"/>
          <w:szCs w:val="18"/>
          <w:b w:val="1"/>
          <w:bCs w:val="1"/>
          <w:color w:val="auto"/>
        </w:rPr>
        <w:t xml:space="preserve">Santa Clara, California (August 17, 2007) </w:t>
      </w:r>
      <w:r>
        <w:rPr>
          <w:rFonts w:ascii="Times New Roman" w:cs="Times New Roman" w:eastAsia="Times New Roman" w:hAnsi="Times New Roman"/>
          <w:sz w:val="18"/>
          <w:szCs w:val="18"/>
          <w:color w:val="auto"/>
        </w:rPr>
        <w:t>— Marvell Technology Group Ltd. (NASDAQ: MRVL), a leader in storage, communications, and</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consumer silicon solutions, today announced that it currently plans to hold its 2007 annual general meeting of shareholders at 3:30 p.m., local time, on Friday, October 19, 2007, at the Hyatt Regency Hotel, Santa Clara Convention Center, 5101 Great America Parkway, Santa Clara, California 95054. Shareholders of record as of the close of business on August 31, 2007 are entitled to notice of and vote at the 2007 annual general meeting.</w:t>
      </w:r>
    </w:p>
    <w:p>
      <w:pPr>
        <w:spacing w:after="0" w:line="18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u w:val="single" w:color="auto"/>
          <w:color w:val="auto"/>
        </w:rPr>
        <w:t>Deadline for Shareholder Proposals Pursuant to Rule 14a-8</w:t>
      </w:r>
    </w:p>
    <w:p>
      <w:pPr>
        <w:spacing w:after="0" w:line="225" w:lineRule="exact"/>
        <w:rPr>
          <w:sz w:val="20"/>
          <w:szCs w:val="20"/>
          <w:color w:val="auto"/>
        </w:rPr>
      </w:pPr>
    </w:p>
    <w:p>
      <w:pPr>
        <w:ind w:right="120" w:firstLine="648"/>
        <w:spacing w:after="0" w:line="255" w:lineRule="auto"/>
        <w:rPr>
          <w:sz w:val="20"/>
          <w:szCs w:val="20"/>
          <w:color w:val="auto"/>
        </w:rPr>
      </w:pPr>
      <w:r>
        <w:rPr>
          <w:rFonts w:ascii="Times New Roman" w:cs="Times New Roman" w:eastAsia="Times New Roman" w:hAnsi="Times New Roman"/>
          <w:sz w:val="18"/>
          <w:szCs w:val="18"/>
          <w:color w:val="auto"/>
        </w:rPr>
        <w:t>The date on which the 2007 annual general meeting will be held constitutes a change of more than 30 days from the anniversary of Marvell’s 2006 annual general meeting of shareholders. As a result, pursuant to Rule 14a-8 under the Securities Exchange Act of 1934, as amended, Marvell has set a new deadline for the receipt of shareholder proposals submitted pursuant to Rule 14a-8 for inclusion in Marvell’s proxy materials for the 2007 annual general meeting. The new deadline for delivering shareholder proposals to Marvell is the close of business on August 30, 2007. Such proposals should be delivered to Marvell’s principal executive offices at the following address: Canon’s Court, 22 Victoria Street, Hamilton HM 12, Bermuda, Attention: Secretary. Such proposals also will need to comply with the rules of the Securities and Exchange Commission regarding the inclusion of shareholder proposals in Marvell’s proxy materials, and may be omitted if not in compliance with applicable requirements.</w:t>
      </w:r>
    </w:p>
    <w:p>
      <w:pPr>
        <w:spacing w:after="0" w:line="18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u w:val="single" w:color="auto"/>
          <w:color w:val="auto"/>
        </w:rPr>
        <w:t>Deadline for Shareholder Proposals Not Pursuant to Rule 14a-8</w:t>
      </w:r>
    </w:p>
    <w:p>
      <w:pPr>
        <w:spacing w:after="0" w:line="225" w:lineRule="exact"/>
        <w:rPr>
          <w:sz w:val="20"/>
          <w:szCs w:val="20"/>
          <w:color w:val="auto"/>
        </w:rPr>
      </w:pPr>
    </w:p>
    <w:p>
      <w:pPr>
        <w:ind w:right="20" w:firstLine="648"/>
        <w:spacing w:after="0" w:line="282" w:lineRule="auto"/>
        <w:rPr>
          <w:sz w:val="20"/>
          <w:szCs w:val="20"/>
          <w:color w:val="auto"/>
        </w:rPr>
      </w:pPr>
      <w:r>
        <w:rPr>
          <w:rFonts w:ascii="Times New Roman" w:cs="Times New Roman" w:eastAsia="Times New Roman" w:hAnsi="Times New Roman"/>
          <w:sz w:val="18"/>
          <w:szCs w:val="18"/>
          <w:color w:val="auto"/>
        </w:rPr>
        <w:t>As further set forth in Marvell’s proxy statement for the 2006 fiscal year, shareholder proposals, including director nominations, may also be made at the 2007 annual general meeting in accordance with the terms of Marvell’s bye-laws and the Bermuda Companies Act of 1981.</w:t>
      </w:r>
    </w:p>
    <w:p>
      <w:pPr>
        <w:spacing w:after="0" w:line="15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About Marvell</w:t>
      </w:r>
    </w:p>
    <w:p>
      <w:pPr>
        <w:spacing w:after="0" w:line="229" w:lineRule="exact"/>
        <w:rPr>
          <w:sz w:val="20"/>
          <w:szCs w:val="20"/>
          <w:color w:val="auto"/>
        </w:rPr>
      </w:pPr>
    </w:p>
    <w:p>
      <w:pPr>
        <w:ind w:right="160" w:firstLine="648"/>
        <w:spacing w:after="0" w:line="255" w:lineRule="auto"/>
        <w:rPr>
          <w:sz w:val="20"/>
          <w:szCs w:val="20"/>
          <w:color w:val="auto"/>
        </w:rPr>
      </w:pPr>
      <w:r>
        <w:rPr>
          <w:rFonts w:ascii="Times New Roman" w:cs="Times New Roman" w:eastAsia="Times New Roman" w:hAnsi="Times New Roman"/>
          <w:sz w:val="18"/>
          <w:szCs w:val="18"/>
          <w:color w:val="auto"/>
        </w:rPr>
        <w:t>Marvell (NASDAQ: MRVL) is a leader in storage, communications and consumer silicon solutions. The Company’s diverse product portfolio includes switching, transceiver, communications controller, wireless, and storage solutions that power the entire communications infrastructure, including enterprise, metro, home, and storage networking. As used in this release, the term “Marvell” refers to Marvell Technology Group Ltd. and its subsidiaries, including Marvell Semiconductor, Inc. (MSI), Marvell Asia Pte Ltd (MAPL), Marvell Japan K.K., Marvell Taiwan Ltd., Marvell International Ltd. (MIL), Marvell U.K. Limited, Marvell Semiconductor Israel Ltd. (MSIL), Marvell Software Solutions Israel Ltd., and Marvell Semiconductor Germany GmbH. MSI is headquartered in Santa Clara, Calif., and designs, develops and markets products on behalf of MIL and MAPL. MSI may be contacted at (408) 222-2500 or at www.marvell.com.</w:t>
      </w:r>
    </w:p>
    <w:p>
      <w:pPr>
        <w:spacing w:after="0" w:line="18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Marvell</w:t>
      </w:r>
      <w:r>
        <w:rPr>
          <w:rFonts w:ascii="Times New Roman" w:cs="Times New Roman" w:eastAsia="Times New Roman" w:hAnsi="Times New Roman"/>
          <w:sz w:val="23"/>
          <w:szCs w:val="23"/>
          <w:i w:val="1"/>
          <w:iCs w:val="1"/>
          <w:color w:val="auto"/>
          <w:vertAlign w:val="superscript"/>
        </w:rPr>
        <w:t>®</w:t>
      </w:r>
      <w:r>
        <w:rPr>
          <w:rFonts w:ascii="Times New Roman" w:cs="Times New Roman" w:eastAsia="Times New Roman" w:hAnsi="Times New Roman"/>
          <w:sz w:val="18"/>
          <w:szCs w:val="18"/>
          <w:i w:val="1"/>
          <w:iCs w:val="1"/>
          <w:color w:val="auto"/>
        </w:rPr>
        <w:t xml:space="preserve"> and the Marvell logo are trademarks of Marvell. All other trademarks are the property of their respective owners.</w:t>
      </w:r>
    </w:p>
    <w:p>
      <w:pPr>
        <w:spacing w:after="0" w:line="16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Company Contact</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Mike Rashkin</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Interim Chief Financial Officer</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408.222.2500</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u w:val="single" w:color="auto"/>
          <w:color w:val="auto"/>
        </w:rPr>
        <w:t>mrashkin@marvell.com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775335</wp:posOffset>
            </wp:positionV>
            <wp:extent cx="7267575" cy="298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420"/>
      </w:cols>
      <w:pgMar w:left="240" w:top="117"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44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2019-12-14T20:21:50Z</dcterms:created>
  <dcterms:modified xsi:type="dcterms:W3CDTF">2019-12-14T20:21:50Z</dcterms:modified>
</cp:coreProperties>
</file>